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</w:tblGrid>
      <w:tr w:rsidR="00B70EBD" w:rsidRPr="00C71107" w14:paraId="6D6C6E54" w14:textId="77777777" w:rsidTr="00BF0843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530E7A08" w14:textId="09DC1881" w:rsidR="00B70EBD" w:rsidRPr="00C71107" w:rsidRDefault="00B70EBD" w:rsidP="00BF0843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Številka:</w:t>
            </w:r>
            <w:r w:rsidR="006C5995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506AAD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D06057" w:rsidRPr="00D06057">
              <w:rPr>
                <w:rFonts w:cs="Arial"/>
                <w:sz w:val="20"/>
                <w:szCs w:val="20"/>
                <w:lang w:val="sl-SI" w:eastAsia="sl-SI"/>
              </w:rPr>
              <w:t>007-252/2021</w:t>
            </w:r>
            <w:r w:rsidR="00D06057">
              <w:rPr>
                <w:rFonts w:cs="Arial"/>
                <w:sz w:val="20"/>
                <w:szCs w:val="20"/>
                <w:lang w:val="sl-SI" w:eastAsia="sl-SI"/>
              </w:rPr>
              <w:t>-</w:t>
            </w:r>
            <w:r w:rsidR="00F95E98">
              <w:rPr>
                <w:rFonts w:cs="Arial"/>
                <w:sz w:val="20"/>
                <w:szCs w:val="20"/>
                <w:lang w:val="sl-SI" w:eastAsia="sl-SI"/>
              </w:rPr>
              <w:t>5</w:t>
            </w:r>
          </w:p>
        </w:tc>
      </w:tr>
      <w:tr w:rsidR="00B70EBD" w:rsidRPr="00506AAD" w14:paraId="4694FD3F" w14:textId="77777777" w:rsidTr="00BF0843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73D17C28" w14:textId="07B8D6D9" w:rsidR="00B70EBD" w:rsidRPr="00C71107" w:rsidRDefault="00B70EBD" w:rsidP="00BF0843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Ljubljana,</w:t>
            </w:r>
            <w:r w:rsidR="006C5995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CD6CF0">
              <w:rPr>
                <w:rFonts w:cs="Arial"/>
                <w:sz w:val="20"/>
                <w:szCs w:val="20"/>
                <w:lang w:val="sl-SI" w:eastAsia="sl-SI"/>
              </w:rPr>
              <w:t>2</w:t>
            </w:r>
            <w:r w:rsidR="00F0655A">
              <w:rPr>
                <w:rFonts w:cs="Arial"/>
                <w:sz w:val="20"/>
                <w:szCs w:val="20"/>
                <w:lang w:val="sl-SI" w:eastAsia="sl-SI"/>
              </w:rPr>
              <w:t>6</w:t>
            </w:r>
            <w:r w:rsidR="00C10FDC">
              <w:rPr>
                <w:rFonts w:cs="Arial"/>
                <w:sz w:val="20"/>
                <w:szCs w:val="20"/>
                <w:lang w:val="sl-SI" w:eastAsia="sl-SI"/>
              </w:rPr>
              <w:t xml:space="preserve">. </w:t>
            </w:r>
            <w:r w:rsidR="00F21A23">
              <w:rPr>
                <w:rFonts w:cs="Arial"/>
                <w:sz w:val="20"/>
                <w:szCs w:val="20"/>
                <w:lang w:val="sl-SI" w:eastAsia="sl-SI"/>
              </w:rPr>
              <w:t>3.</w:t>
            </w:r>
            <w:r w:rsidR="00C10FDC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D51D41">
              <w:rPr>
                <w:rFonts w:cs="Arial"/>
                <w:sz w:val="20"/>
                <w:szCs w:val="20"/>
                <w:lang w:val="sl-SI" w:eastAsia="sl-SI"/>
              </w:rPr>
              <w:t>2021</w:t>
            </w:r>
          </w:p>
        </w:tc>
      </w:tr>
      <w:tr w:rsidR="00B70EBD" w:rsidRPr="00506AAD" w14:paraId="6E8B3208" w14:textId="77777777" w:rsidTr="00BF0843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5CC43752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6F2517">
              <w:rPr>
                <w:rFonts w:cs="Arial"/>
                <w:sz w:val="20"/>
                <w:szCs w:val="20"/>
                <w:lang w:val="sl-SI" w:eastAsia="sl-SI"/>
              </w:rPr>
              <w:t xml:space="preserve">EVA: </w:t>
            </w:r>
            <w:r w:rsidR="00F01D9A" w:rsidRPr="00F01D9A">
              <w:rPr>
                <w:rFonts w:cs="Arial"/>
                <w:sz w:val="20"/>
                <w:szCs w:val="20"/>
                <w:lang w:val="sl-SI" w:eastAsia="sl-SI"/>
              </w:rPr>
              <w:t>2021-3130-0013</w:t>
            </w:r>
          </w:p>
        </w:tc>
      </w:tr>
      <w:tr w:rsidR="00B70EBD" w:rsidRPr="00506AAD" w14:paraId="421BF6EB" w14:textId="77777777" w:rsidTr="00BF0843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6D0B56AA" w14:textId="77777777" w:rsidR="00B70EBD" w:rsidRPr="00C71107" w:rsidRDefault="00B70EBD" w:rsidP="00BF0843">
            <w:pPr>
              <w:rPr>
                <w:rFonts w:cs="Arial"/>
                <w:szCs w:val="20"/>
                <w:lang w:val="sl-SI"/>
              </w:rPr>
            </w:pPr>
          </w:p>
          <w:p w14:paraId="6708980A" w14:textId="77777777" w:rsidR="00B70EBD" w:rsidRPr="006314F5" w:rsidRDefault="00B70EBD" w:rsidP="00BF0843">
            <w:pPr>
              <w:rPr>
                <w:rFonts w:cs="Arial"/>
                <w:b/>
                <w:szCs w:val="20"/>
                <w:lang w:val="sl-SI"/>
              </w:rPr>
            </w:pPr>
            <w:r w:rsidRPr="006314F5">
              <w:rPr>
                <w:rFonts w:cs="Arial"/>
                <w:b/>
                <w:szCs w:val="20"/>
                <w:lang w:val="sl-SI"/>
              </w:rPr>
              <w:t>GENERALNI SEKRETARIAT VLADE REPUBLIKE SLOVENIJE</w:t>
            </w:r>
          </w:p>
          <w:p w14:paraId="4FBDA135" w14:textId="77777777" w:rsidR="00B70EBD" w:rsidRPr="00C13FCE" w:rsidRDefault="00C143E2" w:rsidP="00BF0843">
            <w:pPr>
              <w:rPr>
                <w:rStyle w:val="Hiperpovezava"/>
              </w:rPr>
            </w:pPr>
            <w:r w:rsidRPr="00C13FCE">
              <w:rPr>
                <w:rStyle w:val="Hiperpovezava"/>
                <w:szCs w:val="20"/>
                <w:lang w:val="sl-SI"/>
              </w:rPr>
              <w:t>g</w:t>
            </w:r>
            <w:hyperlink r:id="rId8" w:history="1">
              <w:r w:rsidR="0041541E" w:rsidRPr="001A6732">
                <w:rPr>
                  <w:rStyle w:val="Hiperpovezava"/>
                  <w:szCs w:val="20"/>
                  <w:lang w:val="sl-SI"/>
                </w:rPr>
                <w:t>p.gs@gov.si</w:t>
              </w:r>
            </w:hyperlink>
          </w:p>
          <w:p w14:paraId="38DE4579" w14:textId="77777777" w:rsidR="00B70EBD" w:rsidRPr="00C71107" w:rsidRDefault="00B70EBD" w:rsidP="00BF0843">
            <w:pPr>
              <w:rPr>
                <w:rFonts w:cs="Arial"/>
                <w:szCs w:val="20"/>
                <w:lang w:val="sl-SI"/>
              </w:rPr>
            </w:pPr>
          </w:p>
        </w:tc>
      </w:tr>
      <w:tr w:rsidR="00B70EBD" w:rsidRPr="00F95E98" w14:paraId="14BD4D30" w14:textId="77777777" w:rsidTr="00BF0843">
        <w:tc>
          <w:tcPr>
            <w:tcW w:w="9100" w:type="dxa"/>
            <w:gridSpan w:val="12"/>
          </w:tcPr>
          <w:p w14:paraId="45DC658B" w14:textId="77777777" w:rsidR="00A93C1F" w:rsidRDefault="00A93C1F" w:rsidP="00BF0843">
            <w:pPr>
              <w:spacing w:line="240" w:lineRule="atLeast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33306CF9" w14:textId="77777777" w:rsidR="00B439D1" w:rsidRPr="009D56D3" w:rsidRDefault="00B70EBD" w:rsidP="00BF0843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  <w:r w:rsidRPr="0055317B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bookmarkStart w:id="0" w:name="_Hlk35508307"/>
            <w:r w:rsidR="00A93C1F" w:rsidRPr="009D56D3">
              <w:rPr>
                <w:rFonts w:cs="Arial"/>
                <w:b/>
                <w:szCs w:val="20"/>
                <w:lang w:val="sl-SI" w:eastAsia="sl-SI"/>
              </w:rPr>
              <w:t xml:space="preserve">Predlog </w:t>
            </w:r>
            <w:r w:rsidR="0055317B" w:rsidRPr="009D56D3">
              <w:rPr>
                <w:rFonts w:cs="Arial"/>
                <w:b/>
                <w:szCs w:val="20"/>
                <w:lang w:val="sl-SI" w:eastAsia="sl-SI"/>
              </w:rPr>
              <w:t>Uredb</w:t>
            </w:r>
            <w:r w:rsidR="00A93C1F" w:rsidRPr="009D56D3">
              <w:rPr>
                <w:rFonts w:cs="Arial"/>
                <w:b/>
                <w:szCs w:val="20"/>
                <w:lang w:val="sl-SI" w:eastAsia="sl-SI"/>
              </w:rPr>
              <w:t>e</w:t>
            </w:r>
            <w:r w:rsidR="0055317B" w:rsidRPr="009D56D3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55317B" w:rsidRPr="009D56D3">
              <w:rPr>
                <w:rFonts w:cs="Arial"/>
                <w:b/>
                <w:szCs w:val="20"/>
                <w:lang w:val="sl-SI"/>
              </w:rPr>
              <w:t xml:space="preserve">o </w:t>
            </w:r>
            <w:r w:rsidR="00F6511E" w:rsidRPr="009D56D3">
              <w:rPr>
                <w:rFonts w:cs="Arial"/>
                <w:b/>
                <w:szCs w:val="20"/>
                <w:lang w:val="sl-SI"/>
              </w:rPr>
              <w:t>sprememb</w:t>
            </w:r>
            <w:r w:rsidR="00C10FDC">
              <w:rPr>
                <w:rFonts w:cs="Arial"/>
                <w:b/>
                <w:szCs w:val="20"/>
                <w:lang w:val="sl-SI"/>
              </w:rPr>
              <w:t>i</w:t>
            </w:r>
            <w:r w:rsidR="00D51D41" w:rsidRPr="009D56D3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F8226C" w:rsidRPr="009D56D3">
              <w:rPr>
                <w:rFonts w:cs="Arial"/>
                <w:b/>
                <w:szCs w:val="20"/>
                <w:lang w:val="sl-SI"/>
              </w:rPr>
              <w:t xml:space="preserve">Uredbe </w:t>
            </w:r>
            <w:bookmarkEnd w:id="0"/>
            <w:r w:rsidR="00F8226C" w:rsidRPr="009D56D3">
              <w:rPr>
                <w:rFonts w:cs="Arial"/>
                <w:b/>
                <w:szCs w:val="20"/>
                <w:lang w:val="sl-SI"/>
              </w:rPr>
              <w:t xml:space="preserve">o notranji organizaciji, </w:t>
            </w:r>
          </w:p>
          <w:p w14:paraId="63D16060" w14:textId="77777777" w:rsidR="00B439D1" w:rsidRPr="009D56D3" w:rsidRDefault="00B439D1" w:rsidP="00BF0843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  <w:r w:rsidRPr="009D56D3">
              <w:rPr>
                <w:rFonts w:cs="Arial"/>
                <w:b/>
                <w:szCs w:val="20"/>
                <w:lang w:val="sl-SI"/>
              </w:rPr>
              <w:t xml:space="preserve">                 </w:t>
            </w:r>
            <w:r w:rsidR="00F8226C" w:rsidRPr="009D56D3">
              <w:rPr>
                <w:rFonts w:cs="Arial"/>
                <w:b/>
                <w:szCs w:val="20"/>
                <w:lang w:val="sl-SI"/>
              </w:rPr>
              <w:t>sistemizaciji, delovnih</w:t>
            </w:r>
            <w:r w:rsidR="00A93C1F" w:rsidRPr="009D56D3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F8226C" w:rsidRPr="009D56D3">
              <w:rPr>
                <w:rFonts w:cs="Arial"/>
                <w:b/>
                <w:szCs w:val="20"/>
                <w:lang w:val="sl-SI"/>
              </w:rPr>
              <w:t>mestih in</w:t>
            </w:r>
            <w:r w:rsidR="00A93C1F" w:rsidRPr="009D56D3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F8226C" w:rsidRPr="009D56D3">
              <w:rPr>
                <w:rFonts w:cs="Arial"/>
                <w:b/>
                <w:szCs w:val="20"/>
                <w:lang w:val="sl-SI"/>
              </w:rPr>
              <w:t xml:space="preserve">nazivih v organih javne uprave in v pravosodnih </w:t>
            </w:r>
          </w:p>
          <w:p w14:paraId="726B2D7F" w14:textId="77777777" w:rsidR="00A93C1F" w:rsidRPr="009D56D3" w:rsidRDefault="00B439D1" w:rsidP="00BF0843">
            <w:pPr>
              <w:spacing w:line="240" w:lineRule="atLeast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9D56D3">
              <w:rPr>
                <w:rFonts w:cs="Arial"/>
                <w:b/>
                <w:szCs w:val="20"/>
                <w:lang w:val="sl-SI"/>
              </w:rPr>
              <w:t xml:space="preserve">                 </w:t>
            </w:r>
            <w:r w:rsidR="00F8226C" w:rsidRPr="009D56D3">
              <w:rPr>
                <w:rFonts w:cs="Arial"/>
                <w:b/>
                <w:szCs w:val="20"/>
                <w:lang w:val="sl-SI"/>
              </w:rPr>
              <w:t xml:space="preserve">organih </w:t>
            </w:r>
            <w:r w:rsidR="00C10FDC">
              <w:rPr>
                <w:rFonts w:cs="Arial"/>
                <w:b/>
                <w:szCs w:val="20"/>
                <w:lang w:val="sl-SI"/>
              </w:rPr>
              <w:t>– PREDLOG ZA OBRAVNAVO</w:t>
            </w:r>
          </w:p>
        </w:tc>
      </w:tr>
      <w:tr w:rsidR="00B70EBD" w:rsidRPr="00C71107" w14:paraId="6254B055" w14:textId="77777777" w:rsidTr="00BF0843">
        <w:tc>
          <w:tcPr>
            <w:tcW w:w="9100" w:type="dxa"/>
            <w:gridSpan w:val="12"/>
          </w:tcPr>
          <w:p w14:paraId="3D46DB37" w14:textId="77777777" w:rsidR="00B70EBD" w:rsidRPr="00C71107" w:rsidRDefault="00B70EBD" w:rsidP="00BF0843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71107">
              <w:rPr>
                <w:sz w:val="20"/>
                <w:szCs w:val="20"/>
              </w:rPr>
              <w:t>1. Predlog sklepov vlade:</w:t>
            </w:r>
          </w:p>
        </w:tc>
      </w:tr>
      <w:tr w:rsidR="00B70EBD" w:rsidRPr="00F95E98" w14:paraId="640E4948" w14:textId="77777777" w:rsidTr="00BF0843">
        <w:tc>
          <w:tcPr>
            <w:tcW w:w="9100" w:type="dxa"/>
            <w:gridSpan w:val="12"/>
          </w:tcPr>
          <w:p w14:paraId="65FDA789" w14:textId="77777777" w:rsidR="0055317B" w:rsidRDefault="0055317B" w:rsidP="0055317B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both"/>
              <w:textAlignment w:val="baseline"/>
              <w:rPr>
                <w:rFonts w:cs="Arial"/>
                <w:color w:val="000000"/>
                <w:lang w:val="sl-SI" w:eastAsia="sl-SI"/>
              </w:rPr>
            </w:pPr>
            <w:r w:rsidRPr="0055317B">
              <w:rPr>
                <w:rFonts w:cs="Arial"/>
                <w:color w:val="000000"/>
                <w:lang w:val="sl-SI" w:eastAsia="sl-SI"/>
              </w:rPr>
              <w:t xml:space="preserve">Na podlagi drugega odstavka 21. člena Zakona </w:t>
            </w:r>
            <w:r w:rsidRPr="00D47DA1">
              <w:rPr>
                <w:rFonts w:cs="Arial"/>
                <w:color w:val="000000"/>
                <w:lang w:val="sl-SI" w:eastAsia="sl-SI"/>
              </w:rPr>
              <w:t>o Vladi Republike Slovenije (</w:t>
            </w:r>
            <w:r w:rsidR="00D47DA1" w:rsidRPr="00D47DA1">
              <w:rPr>
                <w:lang w:val="sl-SI"/>
              </w:rPr>
              <w:t>Uradni list RS, št. 24/05 – uradno prečiščeno besedilo, 109/08, 38/10 – ZUK</w:t>
            </w:r>
            <w:r w:rsidR="00D47DA1">
              <w:t>N, 8/12, 21/13, 47/13 – ZDU-1G, 65/14 in 55/17)</w:t>
            </w:r>
            <w:r w:rsidRPr="0055317B">
              <w:rPr>
                <w:rFonts w:cs="Arial"/>
                <w:color w:val="000000"/>
                <w:lang w:val="sl-SI" w:eastAsia="sl-SI"/>
              </w:rPr>
              <w:t xml:space="preserve"> je Vlada Republike Slovenije na .. seji dne ... sprejela </w:t>
            </w:r>
          </w:p>
          <w:p w14:paraId="4F1119DF" w14:textId="77777777" w:rsidR="0055317B" w:rsidRDefault="0055317B" w:rsidP="0055317B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both"/>
              <w:textAlignment w:val="baseline"/>
              <w:rPr>
                <w:rFonts w:cs="Arial"/>
                <w:color w:val="000000"/>
                <w:lang w:val="sl-SI" w:eastAsia="sl-SI"/>
              </w:rPr>
            </w:pPr>
          </w:p>
          <w:p w14:paraId="5E1A5774" w14:textId="77777777" w:rsidR="0055317B" w:rsidRPr="00F8226C" w:rsidRDefault="0055317B" w:rsidP="0055317B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center"/>
              <w:textAlignment w:val="baseline"/>
              <w:rPr>
                <w:rFonts w:cs="Arial"/>
                <w:b/>
                <w:bCs/>
                <w:color w:val="000000"/>
                <w:lang w:val="sl-SI" w:eastAsia="sl-SI"/>
              </w:rPr>
            </w:pPr>
            <w:r w:rsidRPr="00F8226C">
              <w:rPr>
                <w:rFonts w:cs="Arial"/>
                <w:b/>
                <w:bCs/>
                <w:color w:val="000000"/>
                <w:lang w:val="sl-SI" w:eastAsia="sl-SI"/>
              </w:rPr>
              <w:t>SKLEP</w:t>
            </w:r>
          </w:p>
          <w:p w14:paraId="3399D602" w14:textId="77777777" w:rsidR="00F8226C" w:rsidRPr="0055317B" w:rsidRDefault="00F8226C" w:rsidP="0055317B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center"/>
              <w:textAlignment w:val="baseline"/>
              <w:rPr>
                <w:rFonts w:cs="Arial"/>
                <w:color w:val="000000"/>
                <w:lang w:val="sl-SI" w:eastAsia="sl-SI"/>
              </w:rPr>
            </w:pPr>
          </w:p>
          <w:p w14:paraId="2FB3CE8A" w14:textId="77777777" w:rsidR="0055317B" w:rsidRDefault="0055317B" w:rsidP="00A93C1F">
            <w:pPr>
              <w:spacing w:line="240" w:lineRule="atLeast"/>
              <w:jc w:val="both"/>
              <w:rPr>
                <w:rFonts w:cs="Arial"/>
                <w:color w:val="000000"/>
                <w:lang w:val="sl-SI"/>
              </w:rPr>
            </w:pPr>
            <w:r w:rsidRPr="0055317B">
              <w:rPr>
                <w:rFonts w:cs="Arial"/>
                <w:color w:val="000000"/>
                <w:lang w:val="sl-SI" w:eastAsia="sl-SI"/>
              </w:rPr>
              <w:t xml:space="preserve">Vlada Republike Slovenije je izdala </w:t>
            </w:r>
            <w:r w:rsidRPr="009D56D3">
              <w:rPr>
                <w:rFonts w:cs="Arial"/>
                <w:lang w:val="sl-SI" w:eastAsia="sl-SI"/>
              </w:rPr>
              <w:t xml:space="preserve">Uredbo </w:t>
            </w:r>
            <w:r w:rsidR="00F8226C" w:rsidRPr="009D56D3">
              <w:rPr>
                <w:rFonts w:cs="Arial"/>
                <w:lang w:val="sl-SI" w:eastAsia="sl-SI"/>
              </w:rPr>
              <w:t xml:space="preserve">o </w:t>
            </w:r>
            <w:r w:rsidR="00F6511E" w:rsidRPr="009D56D3">
              <w:rPr>
                <w:rFonts w:cs="Arial"/>
                <w:lang w:val="sl-SI" w:eastAsia="sl-SI"/>
              </w:rPr>
              <w:t>sprememb</w:t>
            </w:r>
            <w:r w:rsidR="00C10FDC">
              <w:rPr>
                <w:rFonts w:cs="Arial"/>
                <w:lang w:val="sl-SI" w:eastAsia="sl-SI"/>
              </w:rPr>
              <w:t>i</w:t>
            </w:r>
            <w:r w:rsidR="00D51D41" w:rsidRPr="009D56D3">
              <w:rPr>
                <w:rFonts w:cs="Arial"/>
                <w:lang w:val="sl-SI" w:eastAsia="sl-SI"/>
              </w:rPr>
              <w:t xml:space="preserve"> </w:t>
            </w:r>
            <w:r w:rsidR="00F8226C" w:rsidRPr="009D56D3">
              <w:rPr>
                <w:rFonts w:cs="Arial"/>
                <w:bCs/>
                <w:szCs w:val="20"/>
                <w:lang w:val="sl-SI"/>
              </w:rPr>
              <w:t>Uredbe o notranji organizaciji, sistemizaciji, delovnih mestih in nazivih v organih javne uprave in v pravosodnih organih</w:t>
            </w:r>
            <w:r w:rsidR="00F8226C" w:rsidRPr="009D56D3">
              <w:rPr>
                <w:rFonts w:cs="Arial"/>
                <w:lang w:val="sl-SI" w:eastAsia="sl-SI"/>
              </w:rPr>
              <w:t xml:space="preserve"> </w:t>
            </w:r>
            <w:r w:rsidR="00E64F43" w:rsidRPr="00F01D9A">
              <w:rPr>
                <w:rFonts w:cs="Arial"/>
                <w:lang w:val="sl-SI" w:eastAsia="sl-SI"/>
              </w:rPr>
              <w:t>(EVA</w:t>
            </w:r>
            <w:r w:rsidR="00F01D9A" w:rsidRPr="00F01D9A">
              <w:rPr>
                <w:rFonts w:cs="Arial"/>
                <w:lang w:val="sl-SI" w:eastAsia="sl-SI"/>
              </w:rPr>
              <w:t xml:space="preserve"> 2021-3130-0013</w:t>
            </w:r>
            <w:r w:rsidR="000B43E9" w:rsidRPr="00265A58">
              <w:rPr>
                <w:rFonts w:cs="Arial"/>
                <w:lang w:val="sl-SI" w:eastAsia="sl-SI"/>
              </w:rPr>
              <w:t xml:space="preserve">) </w:t>
            </w:r>
            <w:r w:rsidR="006C5995">
              <w:rPr>
                <w:rFonts w:cs="Arial"/>
                <w:color w:val="000000"/>
                <w:lang w:val="sl-SI" w:eastAsia="sl-SI"/>
              </w:rPr>
              <w:t>ter</w:t>
            </w:r>
            <w:r w:rsidRPr="0055317B">
              <w:rPr>
                <w:rFonts w:cs="Arial"/>
                <w:color w:val="000000"/>
                <w:lang w:val="sl-SI" w:eastAsia="sl-SI"/>
              </w:rPr>
              <w:t xml:space="preserve"> jo objavi v Uradnem listu Republike Slovenije.</w:t>
            </w:r>
          </w:p>
          <w:p w14:paraId="2007465F" w14:textId="77777777" w:rsidR="00A93C1F" w:rsidRDefault="00A93C1F" w:rsidP="00A93C1F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522373DE" w14:textId="77777777" w:rsidR="00D51D41" w:rsidRPr="00A93C1F" w:rsidRDefault="00D51D41" w:rsidP="00A93C1F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3520DED2" w14:textId="77777777" w:rsidR="0055317B" w:rsidRPr="00F914FB" w:rsidRDefault="0055317B" w:rsidP="00F914FB">
            <w:pPr>
              <w:pStyle w:val="Naslov3"/>
              <w:spacing w:before="0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</w:pPr>
            <w:r w:rsidRPr="00F914FB"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  <w:t xml:space="preserve">                                                                                                </w:t>
            </w:r>
            <w:r w:rsidR="00F914FB" w:rsidRPr="00F914FB"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  <w:t xml:space="preserve">mag. Janja </w:t>
            </w:r>
            <w:proofErr w:type="spellStart"/>
            <w:r w:rsidR="00F914FB" w:rsidRPr="00F914FB"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  <w:t>Garvas</w:t>
            </w:r>
            <w:proofErr w:type="spellEnd"/>
            <w:r w:rsidR="00F914FB" w:rsidRPr="00F914FB"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  <w:t xml:space="preserve"> Hočeva</w:t>
            </w:r>
            <w:r w:rsidR="00F914FB">
              <w:rPr>
                <w:rFonts w:ascii="Arial" w:eastAsia="Times New Roman" w:hAnsi="Arial" w:cs="Arial"/>
                <w:color w:val="000000"/>
                <w:sz w:val="20"/>
                <w:lang w:val="sl-SI" w:eastAsia="sl-SI"/>
              </w:rPr>
              <w:t>r</w:t>
            </w:r>
          </w:p>
          <w:p w14:paraId="4910E997" w14:textId="77777777" w:rsidR="0055317B" w:rsidRPr="00F914FB" w:rsidRDefault="0055317B" w:rsidP="0055317B">
            <w:pPr>
              <w:pStyle w:val="Neotevilenodstavek"/>
              <w:spacing w:before="0" w:after="0" w:line="260" w:lineRule="exact"/>
              <w:rPr>
                <w:rFonts w:cs="Arial"/>
                <w:color w:val="000000"/>
                <w:sz w:val="20"/>
                <w:szCs w:val="24"/>
                <w:lang w:val="sl-SI" w:eastAsia="sl-SI"/>
              </w:rPr>
            </w:pPr>
            <w:r w:rsidRP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 xml:space="preserve">                                                                                         </w:t>
            </w:r>
            <w:r w:rsid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 xml:space="preserve">  V.D. </w:t>
            </w:r>
            <w:r w:rsidRP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>GENERALN</w:t>
            </w:r>
            <w:r w:rsid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>EGA</w:t>
            </w:r>
            <w:r w:rsidRP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 xml:space="preserve"> SEKRETAR</w:t>
            </w:r>
            <w:r w:rsidR="00F914FB">
              <w:rPr>
                <w:rFonts w:cs="Arial"/>
                <w:color w:val="000000"/>
                <w:sz w:val="20"/>
                <w:szCs w:val="24"/>
                <w:lang w:val="sl-SI" w:eastAsia="sl-SI"/>
              </w:rPr>
              <w:t>JA</w:t>
            </w:r>
          </w:p>
          <w:p w14:paraId="28DE34C0" w14:textId="77777777" w:rsidR="0055317B" w:rsidRPr="0055317B" w:rsidRDefault="0055317B" w:rsidP="0055317B">
            <w:pPr>
              <w:spacing w:before="60" w:after="120"/>
              <w:rPr>
                <w:rFonts w:cs="Arial"/>
                <w:color w:val="000000"/>
                <w:szCs w:val="20"/>
                <w:lang w:val="sl-SI"/>
              </w:rPr>
            </w:pPr>
          </w:p>
          <w:p w14:paraId="6F9A7CFE" w14:textId="77777777" w:rsidR="0055317B" w:rsidRPr="0055317B" w:rsidRDefault="0055317B" w:rsidP="0055317B">
            <w:pPr>
              <w:overflowPunct w:val="0"/>
              <w:autoSpaceDE w:val="0"/>
              <w:autoSpaceDN w:val="0"/>
              <w:adjustRightInd w:val="0"/>
              <w:spacing w:before="60" w:after="60" w:line="26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5317B">
              <w:rPr>
                <w:rFonts w:cs="Arial"/>
                <w:color w:val="000000"/>
                <w:szCs w:val="20"/>
                <w:lang w:val="sl-SI" w:eastAsia="sl-SI"/>
              </w:rPr>
              <w:t>Prejmejo:</w:t>
            </w:r>
          </w:p>
          <w:p w14:paraId="14BA14E9" w14:textId="277E915E" w:rsidR="00D51D41" w:rsidRDefault="00D51D41" w:rsidP="00D87D2A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Ministrstvo za </w:t>
            </w:r>
            <w:r w:rsidR="00C10FDC">
              <w:rPr>
                <w:rFonts w:cs="Arial"/>
                <w:iCs/>
                <w:szCs w:val="20"/>
                <w:lang w:val="sl-SI" w:eastAsia="sl-SI"/>
              </w:rPr>
              <w:t>delo, družino, socialne zadeve in enake možnosti</w:t>
            </w:r>
          </w:p>
          <w:p w14:paraId="41C0F334" w14:textId="77777777" w:rsidR="00D51D41" w:rsidRDefault="00D51D41" w:rsidP="00D87D2A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Ministrstvo za finance</w:t>
            </w:r>
          </w:p>
          <w:p w14:paraId="223EF373" w14:textId="77777777" w:rsidR="00B70EBD" w:rsidRPr="00A93C1F" w:rsidRDefault="0055317B" w:rsidP="00D87D2A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55317B">
              <w:rPr>
                <w:rFonts w:cs="Arial"/>
                <w:iCs/>
                <w:szCs w:val="20"/>
                <w:lang w:val="sl-SI" w:eastAsia="sl-SI"/>
              </w:rPr>
              <w:t>Služba Vlade RS za zakonodajo</w:t>
            </w:r>
          </w:p>
        </w:tc>
      </w:tr>
      <w:tr w:rsidR="00B70EBD" w:rsidRPr="00F95E98" w14:paraId="0C673324" w14:textId="77777777" w:rsidTr="00BF0843">
        <w:tc>
          <w:tcPr>
            <w:tcW w:w="9100" w:type="dxa"/>
            <w:gridSpan w:val="12"/>
          </w:tcPr>
          <w:p w14:paraId="131E4C70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B70EBD" w:rsidRPr="00C71107" w14:paraId="1BF8707E" w14:textId="77777777" w:rsidTr="00BF0843">
        <w:tc>
          <w:tcPr>
            <w:tcW w:w="9100" w:type="dxa"/>
            <w:gridSpan w:val="12"/>
          </w:tcPr>
          <w:p w14:paraId="6E21A65F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70EBD" w:rsidRPr="00F95E98" w14:paraId="17A9ABB3" w14:textId="77777777" w:rsidTr="00BF0843">
        <w:tc>
          <w:tcPr>
            <w:tcW w:w="9100" w:type="dxa"/>
            <w:gridSpan w:val="12"/>
          </w:tcPr>
          <w:p w14:paraId="25004D7E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B70EBD" w:rsidRPr="00F95E98" w14:paraId="3EE7D0F7" w14:textId="77777777" w:rsidTr="00BF0843">
        <w:tc>
          <w:tcPr>
            <w:tcW w:w="9100" w:type="dxa"/>
            <w:gridSpan w:val="12"/>
          </w:tcPr>
          <w:p w14:paraId="632CAC18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Boštjan Koritnik, minister</w:t>
            </w:r>
          </w:p>
          <w:p w14:paraId="43D30C28" w14:textId="77777777" w:rsidR="00B70EBD" w:rsidRDefault="00B70EBD" w:rsidP="00C36FD6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Peter Pogačar, generalni direktor, Ministrstvo za javno upravo</w:t>
            </w:r>
          </w:p>
          <w:p w14:paraId="1286228A" w14:textId="77777777" w:rsidR="0055317B" w:rsidRPr="00C71107" w:rsidRDefault="0055317B" w:rsidP="00C36FD6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Štefka Korade Purg, vodja sektorja, Ministrstvo za javno upravo</w:t>
            </w:r>
          </w:p>
        </w:tc>
      </w:tr>
      <w:tr w:rsidR="00B70EBD" w:rsidRPr="00F95E98" w14:paraId="1910E933" w14:textId="77777777" w:rsidTr="00BF0843">
        <w:tc>
          <w:tcPr>
            <w:tcW w:w="9100" w:type="dxa"/>
            <w:gridSpan w:val="12"/>
          </w:tcPr>
          <w:p w14:paraId="5E485C7C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3.b Zunanji strokovnjaki, ki so </w:t>
            </w: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B70EBD" w:rsidRPr="00C71107" w14:paraId="7A900138" w14:textId="77777777" w:rsidTr="00BF0843">
        <w:tc>
          <w:tcPr>
            <w:tcW w:w="9100" w:type="dxa"/>
            <w:gridSpan w:val="12"/>
          </w:tcPr>
          <w:p w14:paraId="38CF0F70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70EBD" w:rsidRPr="00F95E98" w14:paraId="67090693" w14:textId="77777777" w:rsidTr="00BF0843">
        <w:tc>
          <w:tcPr>
            <w:tcW w:w="9100" w:type="dxa"/>
            <w:gridSpan w:val="12"/>
          </w:tcPr>
          <w:p w14:paraId="018BB0C4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B70EBD" w:rsidRPr="00C71107" w14:paraId="2F01AB45" w14:textId="77777777" w:rsidTr="00BF0843">
        <w:tc>
          <w:tcPr>
            <w:tcW w:w="9100" w:type="dxa"/>
            <w:gridSpan w:val="12"/>
          </w:tcPr>
          <w:p w14:paraId="604E1828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70EBD" w:rsidRPr="00C71107" w14:paraId="1C448937" w14:textId="77777777" w:rsidTr="00BF0843">
        <w:tc>
          <w:tcPr>
            <w:tcW w:w="9100" w:type="dxa"/>
            <w:gridSpan w:val="12"/>
          </w:tcPr>
          <w:p w14:paraId="6E144FC1" w14:textId="77777777" w:rsidR="00B70EBD" w:rsidRPr="00C71107" w:rsidRDefault="00B70EBD" w:rsidP="00BF0843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B70EBD" w:rsidRPr="00BD1C7E" w14:paraId="109F6ABB" w14:textId="77777777" w:rsidTr="00BF0843">
        <w:tc>
          <w:tcPr>
            <w:tcW w:w="9100" w:type="dxa"/>
            <w:gridSpan w:val="12"/>
          </w:tcPr>
          <w:p w14:paraId="0C50BE41" w14:textId="77777777" w:rsidR="00225723" w:rsidRPr="00265A58" w:rsidRDefault="00F8226C" w:rsidP="00BD1C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lang w:val="sl-SI"/>
              </w:rPr>
            </w:pPr>
            <w:r w:rsidRPr="009D56D3">
              <w:rPr>
                <w:rFonts w:cs="Arial"/>
                <w:lang w:val="sl-SI"/>
              </w:rPr>
              <w:t>V Uredbi o notranji organizaciji, sistemizaciji, delovnih mestih in nazivih v organih javne uprave in v pravosodnih organih se</w:t>
            </w:r>
            <w:r w:rsidR="009D56D3" w:rsidRPr="009D56D3">
              <w:rPr>
                <w:rFonts w:cs="Arial"/>
                <w:lang w:val="sl-SI"/>
              </w:rPr>
              <w:t xml:space="preserve"> </w:t>
            </w:r>
            <w:r w:rsidR="009D56D3" w:rsidRPr="00F729C0">
              <w:rPr>
                <w:rFonts w:cs="Arial"/>
                <w:lang w:val="sl-SI"/>
              </w:rPr>
              <w:t xml:space="preserve">spreminja </w:t>
            </w:r>
            <w:r w:rsidR="00C10FDC">
              <w:rPr>
                <w:rFonts w:cs="Arial"/>
                <w:lang w:val="sl-SI"/>
              </w:rPr>
              <w:t>1</w:t>
            </w:r>
            <w:r w:rsidR="009D56D3" w:rsidRPr="00F729C0">
              <w:rPr>
                <w:rFonts w:cs="Arial"/>
                <w:lang w:val="sl-SI"/>
              </w:rPr>
              <w:t xml:space="preserve">. točka 13. člena, ki ureja število in vrste direktoratov v Ministrstvu za </w:t>
            </w:r>
            <w:r w:rsidR="00C10FDC">
              <w:rPr>
                <w:rFonts w:cs="Arial"/>
                <w:lang w:val="sl-SI"/>
              </w:rPr>
              <w:t>delo, družino, socialne zadeve in enake možnosti</w:t>
            </w:r>
            <w:r w:rsidR="00BD1C7E">
              <w:rPr>
                <w:rFonts w:cs="Arial"/>
                <w:lang w:val="sl-SI"/>
              </w:rPr>
              <w:t xml:space="preserve">. </w:t>
            </w:r>
          </w:p>
        </w:tc>
      </w:tr>
      <w:tr w:rsidR="00B70EBD" w:rsidRPr="00C71107" w14:paraId="57BBC8F9" w14:textId="77777777" w:rsidTr="00BF0843">
        <w:tc>
          <w:tcPr>
            <w:tcW w:w="9100" w:type="dxa"/>
            <w:gridSpan w:val="12"/>
          </w:tcPr>
          <w:p w14:paraId="4ECE345E" w14:textId="77777777" w:rsidR="00B70EBD" w:rsidRPr="00C71107" w:rsidRDefault="00B70EBD" w:rsidP="00BF0843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B70EBD" w:rsidRPr="00C71107" w14:paraId="3ABB8002" w14:textId="77777777" w:rsidTr="00BF0843">
        <w:tc>
          <w:tcPr>
            <w:tcW w:w="1448" w:type="dxa"/>
          </w:tcPr>
          <w:p w14:paraId="5A19D597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2C23F998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 xml:space="preserve">javnofinančna sredstva nad 40.000 EUR v tekočem in </w:t>
            </w:r>
            <w:r w:rsidRPr="00C71107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7B2AF9BB" w14:textId="77777777" w:rsidR="00B70EBD" w:rsidRPr="00C10FDC" w:rsidRDefault="00C10FDC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lastRenderedPageBreak/>
              <w:t>NE</w:t>
            </w:r>
          </w:p>
        </w:tc>
      </w:tr>
      <w:tr w:rsidR="00B70EBD" w:rsidRPr="00C71107" w14:paraId="6EA59A54" w14:textId="77777777" w:rsidTr="00BF0843">
        <w:tc>
          <w:tcPr>
            <w:tcW w:w="1448" w:type="dxa"/>
          </w:tcPr>
          <w:p w14:paraId="462A96FB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6AEEF53F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6C435876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41CDA7C2" w14:textId="77777777" w:rsidTr="00BF0843">
        <w:tc>
          <w:tcPr>
            <w:tcW w:w="1448" w:type="dxa"/>
          </w:tcPr>
          <w:p w14:paraId="621E8545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7EB928A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3361963E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24E5DA31" w14:textId="77777777" w:rsidTr="00BF0843">
        <w:tc>
          <w:tcPr>
            <w:tcW w:w="1448" w:type="dxa"/>
          </w:tcPr>
          <w:p w14:paraId="09A99226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49587905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62279E04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60D1FA5B" w14:textId="77777777" w:rsidTr="00BF0843">
        <w:tc>
          <w:tcPr>
            <w:tcW w:w="1448" w:type="dxa"/>
          </w:tcPr>
          <w:p w14:paraId="20F0625E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40FA7E73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64D1D47F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56605A1C" w14:textId="77777777" w:rsidTr="00BF0843">
        <w:tc>
          <w:tcPr>
            <w:tcW w:w="1448" w:type="dxa"/>
          </w:tcPr>
          <w:p w14:paraId="727E5650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73C2326C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7C1540B5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0142B7A9" w14:textId="77777777" w:rsidTr="00BF0843">
        <w:tc>
          <w:tcPr>
            <w:tcW w:w="1448" w:type="dxa"/>
            <w:tcBorders>
              <w:bottom w:val="single" w:sz="4" w:space="0" w:color="auto"/>
            </w:tcBorders>
          </w:tcPr>
          <w:p w14:paraId="496DD5D6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15B161A4" w14:textId="77777777" w:rsidR="00B70EBD" w:rsidRPr="00C71107" w:rsidRDefault="00B70EBD" w:rsidP="00BF0843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dokumente razvojnega načrtovanja:</w:t>
            </w:r>
          </w:p>
          <w:p w14:paraId="50FB7D76" w14:textId="77777777" w:rsidR="00B70EBD" w:rsidRPr="00C71107" w:rsidRDefault="00B70EBD" w:rsidP="00D87D2A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nacionalne dokumente razvojnega načrtovanja</w:t>
            </w:r>
          </w:p>
          <w:p w14:paraId="5B08EA23" w14:textId="77777777" w:rsidR="00B70EBD" w:rsidRPr="00C71107" w:rsidRDefault="00B70EBD" w:rsidP="00D87D2A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000B2B7E" w14:textId="77777777" w:rsidR="00B70EBD" w:rsidRPr="00C71107" w:rsidRDefault="00B70EBD" w:rsidP="00D87D2A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Cs/>
                <w:sz w:val="20"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47902E08" w14:textId="77777777" w:rsidR="00B70EBD" w:rsidRPr="00A25B32" w:rsidRDefault="00B70EBD" w:rsidP="00BF0843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A25B32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F95E98" w14:paraId="0BDD0FE4" w14:textId="77777777" w:rsidTr="00BF0843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BD5" w14:textId="77777777" w:rsidR="00B70EBD" w:rsidRPr="00C71107" w:rsidRDefault="00B70EBD" w:rsidP="00BF084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65DD687B" w14:textId="77777777" w:rsidR="00A969E9" w:rsidRDefault="00B70EBD" w:rsidP="00230C1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 w:val="0"/>
                <w:sz w:val="20"/>
                <w:szCs w:val="20"/>
                <w:lang w:val="sl-SI" w:eastAsia="sl-SI"/>
              </w:rPr>
              <w:t>(Samo če izberete DA pod točko 6.a.)</w:t>
            </w:r>
          </w:p>
          <w:p w14:paraId="79FE3708" w14:textId="77777777" w:rsidR="0041541E" w:rsidRDefault="0041541E" w:rsidP="00D51D41">
            <w:pPr>
              <w:rPr>
                <w:rFonts w:cs="Arial"/>
                <w:b/>
                <w:szCs w:val="20"/>
                <w:lang w:val="sl-SI" w:eastAsia="sl-SI"/>
              </w:rPr>
            </w:pPr>
          </w:p>
          <w:p w14:paraId="289233E1" w14:textId="77777777" w:rsidR="00F33018" w:rsidRPr="00C71107" w:rsidRDefault="00F33018" w:rsidP="00C10FD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B70EBD" w:rsidRPr="00F95E98" w14:paraId="241621C3" w14:textId="77777777" w:rsidTr="00BF0843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671" w14:textId="77777777" w:rsidR="00B70EBD" w:rsidRPr="00C71107" w:rsidRDefault="00B70EBD" w:rsidP="00BF0843">
            <w:pPr>
              <w:pStyle w:val="Oddelek"/>
              <w:numPr>
                <w:ilvl w:val="0"/>
                <w:numId w:val="0"/>
              </w:numPr>
              <w:spacing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sz w:val="20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B70EBD" w:rsidRPr="00C71107" w14:paraId="00E72469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EF9" w14:textId="77777777" w:rsidR="00B70EBD" w:rsidRPr="00C71107" w:rsidRDefault="00B70EBD" w:rsidP="00BF0843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54BA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4E0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B27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0E4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B70EBD" w:rsidRPr="00C71107" w14:paraId="620E2A73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1DB" w14:textId="77777777" w:rsidR="00B70EBD" w:rsidRPr="00C71107" w:rsidRDefault="00B70EBD" w:rsidP="00BF0843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7110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71107">
              <w:rPr>
                <w:b/>
                <w:szCs w:val="20"/>
                <w:lang w:val="sl-SI"/>
              </w:rPr>
              <w:t>–</w:t>
            </w:r>
            <w:r w:rsidRPr="00C71107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3DC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A68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5872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DE3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0EBD" w:rsidRPr="00C71107" w14:paraId="0411C55B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793" w14:textId="77777777" w:rsidR="00B70EBD" w:rsidRPr="00C71107" w:rsidRDefault="00B70EBD" w:rsidP="00BF0843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7110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71107">
              <w:rPr>
                <w:b/>
                <w:szCs w:val="20"/>
                <w:lang w:val="sl-SI"/>
              </w:rPr>
              <w:t>–</w:t>
            </w:r>
            <w:r w:rsidRPr="00C71107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E86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8A3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1CE0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A49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0EBD" w:rsidRPr="00C71107" w14:paraId="208582AC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D7A6" w14:textId="77777777" w:rsidR="00B70EBD" w:rsidRPr="00C71107" w:rsidRDefault="00B70EBD" w:rsidP="00BF0843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7110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71107">
              <w:rPr>
                <w:b/>
                <w:szCs w:val="20"/>
                <w:lang w:val="sl-SI"/>
              </w:rPr>
              <w:t>–</w:t>
            </w:r>
            <w:r w:rsidRPr="00C71107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DFDC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B9E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E4B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A53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70EBD" w:rsidRPr="00C71107" w14:paraId="7F6268CC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3E2" w14:textId="77777777" w:rsidR="00B70EBD" w:rsidRPr="00C71107" w:rsidRDefault="00B70EBD" w:rsidP="00BF0843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7110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71107">
              <w:rPr>
                <w:b/>
                <w:szCs w:val="20"/>
                <w:lang w:val="sl-SI"/>
              </w:rPr>
              <w:t>–</w:t>
            </w:r>
            <w:r w:rsidRPr="00C71107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A73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88E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7411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79FC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70EBD" w:rsidRPr="00C71107" w14:paraId="58C91580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969" w14:textId="77777777" w:rsidR="00B70EBD" w:rsidRPr="00C71107" w:rsidRDefault="00B70EBD" w:rsidP="00BF0843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7110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71107">
              <w:rPr>
                <w:b/>
                <w:szCs w:val="20"/>
                <w:lang w:val="sl-SI"/>
              </w:rPr>
              <w:t>–</w:t>
            </w:r>
            <w:r w:rsidRPr="00C71107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25D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EF1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67E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BD3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0EBD" w:rsidRPr="00F95E98" w14:paraId="10A4CE5C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AC643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C71107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B70EBD" w:rsidRPr="00F95E98" w14:paraId="54B47091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8D66FB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C71107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C71107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B70EBD" w:rsidRPr="00C71107" w14:paraId="408BBB68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C29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806F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D5C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A6DD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A41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70EBD" w:rsidRPr="00C71107" w14:paraId="37EC86B6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5CAC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ECD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98E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76E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A7EA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70EBD" w:rsidRPr="00C71107" w14:paraId="5F982F04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1A2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DB56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7E1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379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F8A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70EBD" w:rsidRPr="00C71107" w14:paraId="7E69E0DA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9D25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7110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579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57C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70EBD" w:rsidRPr="00C71107" w14:paraId="4BE9CD25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4003C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C71107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C71107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B70EBD" w:rsidRPr="00C71107" w14:paraId="3133718A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EBFE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4A29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D66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1D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402" w14:textId="77777777" w:rsidR="00B70EBD" w:rsidRPr="00C71107" w:rsidRDefault="00B70EBD" w:rsidP="00BF0843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B70EBD" w:rsidRPr="00C71107" w14:paraId="4EB3ACD1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98B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E3D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4B5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8D6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E7E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70EBD" w:rsidRPr="00C71107" w14:paraId="3F68A342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DFB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7110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124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EB1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70EBD" w:rsidRPr="00C71107" w14:paraId="790FE6B0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BF557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C71107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C71107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B70EBD" w:rsidRPr="00C71107" w14:paraId="1953CAB6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734" w14:textId="77777777" w:rsidR="00B70EBD" w:rsidRPr="00C71107" w:rsidRDefault="00B70EBD" w:rsidP="00BF0843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7D1A" w14:textId="77777777" w:rsidR="00B70EBD" w:rsidRPr="00C71107" w:rsidRDefault="00B70EBD" w:rsidP="00BF0843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7FD" w14:textId="77777777" w:rsidR="00B70EBD" w:rsidRPr="00C71107" w:rsidRDefault="00B70EBD" w:rsidP="00BF0843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70EBD" w:rsidRPr="00C71107" w14:paraId="56B4D0F6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BA1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C37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33D1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70EBD" w:rsidRPr="00C71107" w14:paraId="2E188691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6E7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E72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F13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70EBD" w:rsidRPr="00C71107" w14:paraId="4FD231E0" w14:textId="77777777" w:rsidTr="00BF0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A45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7110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1D9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BA8B" w14:textId="77777777" w:rsidR="00B70EBD" w:rsidRPr="00C71107" w:rsidRDefault="00B70EBD" w:rsidP="00BF0843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70EBD" w:rsidRPr="00F95E98" w14:paraId="4A07BE9D" w14:textId="77777777" w:rsidTr="001A1D47">
        <w:trPr>
          <w:trHeight w:val="762"/>
        </w:trPr>
        <w:tc>
          <w:tcPr>
            <w:tcW w:w="9100" w:type="dxa"/>
            <w:gridSpan w:val="12"/>
          </w:tcPr>
          <w:p w14:paraId="4DD02DE0" w14:textId="77777777" w:rsidR="00B70EBD" w:rsidRPr="00C71107" w:rsidRDefault="00B70EBD" w:rsidP="00BF0843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C71107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467CB980" w14:textId="77777777" w:rsidR="00B70EBD" w:rsidRPr="00C71107" w:rsidRDefault="00B70EBD" w:rsidP="00D87D2A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39E53626" w14:textId="77777777" w:rsidR="00B70EBD" w:rsidRPr="00C71107" w:rsidRDefault="00B70EBD" w:rsidP="00BF0843">
            <w:pPr>
              <w:widowControl w:val="0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295B10B2" w14:textId="77777777" w:rsidR="00B70EBD" w:rsidRPr="00C71107" w:rsidRDefault="00B70EBD" w:rsidP="00D87D2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259C3BAE" w14:textId="77777777" w:rsidR="00B70EBD" w:rsidRPr="00C71107" w:rsidRDefault="00B70EBD" w:rsidP="00D87D2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75AA52D5" w14:textId="77777777" w:rsidR="00B70EBD" w:rsidRPr="00C71107" w:rsidRDefault="00B70EBD" w:rsidP="00D87D2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2238A04E" w14:textId="77777777" w:rsidR="00B70EBD" w:rsidRPr="00C71107" w:rsidRDefault="00B70EBD" w:rsidP="00BF0843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716A8B9A" w14:textId="77777777" w:rsidR="00B70EBD" w:rsidRPr="00C71107" w:rsidRDefault="00B70EBD" w:rsidP="00D87D2A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1F7A86C9" w14:textId="77777777" w:rsidR="00B70EBD" w:rsidRPr="00C71107" w:rsidRDefault="00B70EBD" w:rsidP="00BF084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3A919FF7" w14:textId="77777777" w:rsidR="00B70EBD" w:rsidRPr="00C71107" w:rsidRDefault="00B70EBD" w:rsidP="00BF0843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71107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C71107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7FB2A37D" w14:textId="77777777" w:rsidR="00B70EBD" w:rsidRPr="00C71107" w:rsidRDefault="00B70EBD" w:rsidP="00BF084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C7110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71107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0336EDAC" w14:textId="77777777" w:rsidR="00B70EBD" w:rsidRPr="00C71107" w:rsidRDefault="00B70EBD" w:rsidP="00D87D2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6D488B51" w14:textId="77777777" w:rsidR="00B70EBD" w:rsidRPr="00C71107" w:rsidRDefault="00B70EBD" w:rsidP="00D87D2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1315863C" w14:textId="77777777" w:rsidR="00B70EBD" w:rsidRPr="00C71107" w:rsidRDefault="00B70EBD" w:rsidP="00D87D2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3BCB7441" w14:textId="77777777" w:rsidR="00B70EBD" w:rsidRPr="00C71107" w:rsidRDefault="00B70EBD" w:rsidP="00BF084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C7110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71107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737ADE5" w14:textId="77777777" w:rsidR="00B70EBD" w:rsidRPr="00C71107" w:rsidRDefault="00B70EBD" w:rsidP="00BF0843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71107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C71107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7E16DA38" w14:textId="77777777" w:rsidR="00B70EBD" w:rsidRPr="00C71107" w:rsidRDefault="00B70EBD" w:rsidP="00BF084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C71107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71107">
              <w:rPr>
                <w:rFonts w:cs="Arial"/>
                <w:szCs w:val="20"/>
                <w:lang w:val="sl-SI" w:eastAsia="sl-SI"/>
              </w:rPr>
              <w:t>.</w:t>
            </w:r>
          </w:p>
          <w:p w14:paraId="4DBE80BE" w14:textId="77777777" w:rsidR="00B70EBD" w:rsidRPr="00C71107" w:rsidRDefault="00B70EBD" w:rsidP="00BF0843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71107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C71107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205DD02B" w14:textId="77777777" w:rsidR="00B70EBD" w:rsidRPr="00C71107" w:rsidRDefault="00B70EBD" w:rsidP="00BF0843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71107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C71107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71107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C7110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71107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B70EBD" w:rsidRPr="00F95E98" w14:paraId="6A390A23" w14:textId="77777777" w:rsidTr="00BF0843">
        <w:trPr>
          <w:trHeight w:val="1152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6155" w14:textId="77777777" w:rsidR="00B70EBD" w:rsidRPr="00C71107" w:rsidRDefault="00B70EBD" w:rsidP="006A2E8B">
            <w:pPr>
              <w:rPr>
                <w:rFonts w:cs="Arial"/>
                <w:b/>
                <w:szCs w:val="20"/>
                <w:lang w:val="sl-SI"/>
              </w:rPr>
            </w:pPr>
            <w:bookmarkStart w:id="1" w:name="_Hlk51156396"/>
            <w:r w:rsidRPr="00C71107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bookmarkEnd w:id="1"/>
          <w:p w14:paraId="762ABA9D" w14:textId="77777777" w:rsidR="00F729C0" w:rsidRDefault="00B70EBD" w:rsidP="006A2E8B">
            <w:pPr>
              <w:rPr>
                <w:rFonts w:cs="Arial"/>
                <w:szCs w:val="20"/>
                <w:lang w:val="sl-SI"/>
              </w:rPr>
            </w:pPr>
            <w:r w:rsidRPr="00C71107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604616D7" w14:textId="77777777" w:rsidR="006A2E8B" w:rsidRDefault="006A2E8B" w:rsidP="006A2E8B">
            <w:pPr>
              <w:rPr>
                <w:rFonts w:cs="Arial"/>
                <w:szCs w:val="20"/>
                <w:lang w:val="sl-SI"/>
              </w:rPr>
            </w:pPr>
          </w:p>
          <w:p w14:paraId="7BE70F0B" w14:textId="77777777" w:rsidR="006A2E8B" w:rsidRPr="00520025" w:rsidRDefault="00C10FDC" w:rsidP="00F3301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Finančne posledice zaradi </w:t>
            </w:r>
            <w:r w:rsidRPr="00C10FDC">
              <w:rPr>
                <w:rFonts w:cs="Arial"/>
                <w:szCs w:val="20"/>
                <w:lang w:val="sl-SI" w:eastAsia="sl-SI"/>
              </w:rPr>
              <w:t>prevz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 w:rsidRPr="00C10FDC">
              <w:rPr>
                <w:rFonts w:cs="Arial"/>
                <w:szCs w:val="20"/>
                <w:lang w:val="sl-SI" w:eastAsia="sl-SI"/>
              </w:rPr>
              <w:t>m</w:t>
            </w:r>
            <w:r>
              <w:rPr>
                <w:rFonts w:cs="Arial"/>
                <w:szCs w:val="20"/>
                <w:lang w:val="sl-SI" w:eastAsia="sl-SI"/>
              </w:rPr>
              <w:t>a</w:t>
            </w:r>
            <w:r w:rsidRPr="00C10FDC">
              <w:rPr>
                <w:rFonts w:cs="Arial"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szCs w:val="20"/>
                <w:lang w:val="sl-SI" w:eastAsia="sl-SI"/>
              </w:rPr>
              <w:t xml:space="preserve">delovnega področja </w:t>
            </w:r>
            <w:r w:rsidRPr="00FD6CEB">
              <w:rPr>
                <w:rFonts w:cs="Arial"/>
                <w:szCs w:val="20"/>
                <w:lang w:val="sl-SI"/>
              </w:rPr>
              <w:t>vojnih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D6CEB">
              <w:rPr>
                <w:rFonts w:cs="Arial"/>
                <w:szCs w:val="20"/>
                <w:lang w:val="sl-SI"/>
              </w:rPr>
              <w:t>invalidov, vojnih veteranov in žrtev vojnega nasilja</w:t>
            </w:r>
            <w:r>
              <w:rPr>
                <w:rFonts w:cs="Arial"/>
                <w:szCs w:val="20"/>
                <w:lang w:val="sl-SI"/>
              </w:rPr>
              <w:t xml:space="preserve"> so urejene v Zakonu o </w:t>
            </w:r>
            <w:r w:rsidRPr="00BD1C7E">
              <w:rPr>
                <w:rFonts w:cs="Arial"/>
                <w:szCs w:val="20"/>
                <w:lang w:val="sl-SI"/>
              </w:rPr>
              <w:t>spremembah in dopolnitvah Zakona o državni upravi (Uradni list RS, št.</w:t>
            </w:r>
            <w:r w:rsidR="00BD1C7E" w:rsidRPr="00BD1C7E">
              <w:rPr>
                <w:rFonts w:cs="Arial"/>
                <w:szCs w:val="20"/>
                <w:lang w:val="sl-SI"/>
              </w:rPr>
              <w:t xml:space="preserve"> 36/21</w:t>
            </w:r>
            <w:r w:rsidR="00BD1C7E">
              <w:rPr>
                <w:rFonts w:cs="Arial"/>
                <w:szCs w:val="20"/>
                <w:lang w:val="sl-SI"/>
              </w:rPr>
              <w:t>).</w:t>
            </w:r>
          </w:p>
        </w:tc>
      </w:tr>
      <w:tr w:rsidR="00B70EBD" w:rsidRPr="00F95E98" w14:paraId="1B0D98A3" w14:textId="77777777" w:rsidTr="00BF0843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C558" w14:textId="77777777" w:rsidR="00B70EBD" w:rsidRPr="00C71107" w:rsidRDefault="00B70EBD" w:rsidP="00BF0843">
            <w:pPr>
              <w:rPr>
                <w:rFonts w:cs="Arial"/>
                <w:b/>
                <w:szCs w:val="20"/>
                <w:lang w:val="sl-SI"/>
              </w:rPr>
            </w:pPr>
            <w:r w:rsidRPr="00C71107">
              <w:rPr>
                <w:rFonts w:cs="Arial"/>
                <w:b/>
                <w:szCs w:val="20"/>
                <w:lang w:val="sl-SI"/>
              </w:rPr>
              <w:lastRenderedPageBreak/>
              <w:t>8. Predstavitev sodelovanja z združenji občin:</w:t>
            </w:r>
          </w:p>
        </w:tc>
      </w:tr>
      <w:tr w:rsidR="00B70EBD" w:rsidRPr="00C71107" w14:paraId="4E2651B9" w14:textId="77777777" w:rsidTr="00BF0843">
        <w:tc>
          <w:tcPr>
            <w:tcW w:w="6669" w:type="dxa"/>
            <w:gridSpan w:val="9"/>
          </w:tcPr>
          <w:p w14:paraId="73A56C9E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2C44ED93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6B5AE3C3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18E094FF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</w:tc>
        <w:tc>
          <w:tcPr>
            <w:tcW w:w="2431" w:type="dxa"/>
            <w:gridSpan w:val="3"/>
          </w:tcPr>
          <w:p w14:paraId="7AC0B680" w14:textId="77777777" w:rsidR="00B70EBD" w:rsidRPr="00E556DA" w:rsidRDefault="00B70EBD" w:rsidP="00BF0843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F95E98" w14:paraId="6AC20FD6" w14:textId="77777777" w:rsidTr="00BF0843">
        <w:trPr>
          <w:trHeight w:val="274"/>
        </w:trPr>
        <w:tc>
          <w:tcPr>
            <w:tcW w:w="9100" w:type="dxa"/>
            <w:gridSpan w:val="12"/>
          </w:tcPr>
          <w:p w14:paraId="2F19FE8D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1347209F" w14:textId="77777777" w:rsidR="00B70EBD" w:rsidRPr="00E556DA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Skupnosti občin Slovenije SOS: </w:t>
            </w:r>
            <w:r w:rsidRPr="00E556D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NE</w:t>
            </w:r>
          </w:p>
          <w:p w14:paraId="2ABB2C7C" w14:textId="77777777" w:rsidR="00B70EBD" w:rsidRPr="00E556DA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občin Slovenije ZOS: NE</w:t>
            </w:r>
          </w:p>
          <w:p w14:paraId="69A657C7" w14:textId="77777777" w:rsidR="00B70EBD" w:rsidRPr="00E556DA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mestnih občin Slovenije ZMOS: NE</w:t>
            </w:r>
          </w:p>
          <w:p w14:paraId="2D82591E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7CA195FB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5E03C654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51DC6001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0E5BD7E3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7475EAEA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Bistveni predlogi in pripombe, ki niso bili upoštevani.</w:t>
            </w:r>
          </w:p>
        </w:tc>
      </w:tr>
      <w:tr w:rsidR="00B70EBD" w:rsidRPr="00C71107" w14:paraId="7153A2EE" w14:textId="77777777" w:rsidTr="00BF0843">
        <w:tc>
          <w:tcPr>
            <w:tcW w:w="9100" w:type="dxa"/>
            <w:gridSpan w:val="12"/>
            <w:vAlign w:val="center"/>
          </w:tcPr>
          <w:p w14:paraId="31E67642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9. Predstavitev sodelovanja javnosti:</w:t>
            </w:r>
          </w:p>
        </w:tc>
      </w:tr>
      <w:tr w:rsidR="00B70EBD" w:rsidRPr="00C71107" w14:paraId="512231D1" w14:textId="77777777" w:rsidTr="00BF0843">
        <w:tc>
          <w:tcPr>
            <w:tcW w:w="6669" w:type="dxa"/>
            <w:gridSpan w:val="9"/>
          </w:tcPr>
          <w:p w14:paraId="309E8650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4C937CA9" w14:textId="77777777" w:rsidR="00B70EBD" w:rsidRPr="00E556DA" w:rsidRDefault="00B70EBD" w:rsidP="00BF0843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515F7E" w14:paraId="7798E326" w14:textId="77777777" w:rsidTr="00BF0843">
        <w:tc>
          <w:tcPr>
            <w:tcW w:w="9100" w:type="dxa"/>
            <w:gridSpan w:val="12"/>
          </w:tcPr>
          <w:p w14:paraId="27DDF146" w14:textId="77777777" w:rsidR="00E556DA" w:rsidRDefault="00E556DA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087DD5D0" w14:textId="77777777" w:rsidR="00E556DA" w:rsidRPr="00532355" w:rsidRDefault="00E556DA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532355">
              <w:rPr>
                <w:rFonts w:cs="Arial"/>
                <w:iCs/>
                <w:sz w:val="20"/>
                <w:szCs w:val="20"/>
                <w:lang w:val="sl-SI" w:eastAsia="sl-SI"/>
              </w:rPr>
              <w:t>Gradiva ni treba objavljati na spletni strani, ker gre za urejanje notranje organizacije organov državne uprave.</w:t>
            </w:r>
          </w:p>
          <w:p w14:paraId="5E8035B2" w14:textId="77777777" w:rsidR="00520025" w:rsidRPr="002E1BDD" w:rsidRDefault="00520025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</w:p>
        </w:tc>
      </w:tr>
      <w:tr w:rsidR="00B70EBD" w:rsidRPr="00F95E98" w14:paraId="719757C1" w14:textId="77777777" w:rsidTr="00BF0843">
        <w:tc>
          <w:tcPr>
            <w:tcW w:w="9100" w:type="dxa"/>
            <w:gridSpan w:val="12"/>
          </w:tcPr>
          <w:p w14:paraId="3F4F21D0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(Če je odgovor DA, navedite:</w:t>
            </w:r>
          </w:p>
          <w:p w14:paraId="59D10FE3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Datum objave: ………</w:t>
            </w:r>
          </w:p>
          <w:p w14:paraId="445B63D0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V razpravo so bili vključeni: </w:t>
            </w:r>
          </w:p>
          <w:p w14:paraId="0110EF12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nevladne organizacije, </w:t>
            </w:r>
          </w:p>
          <w:p w14:paraId="01B0241D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predstavniki zainteresirane javnosti,</w:t>
            </w:r>
          </w:p>
          <w:p w14:paraId="5D662435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predstavniki strokovne javnosti.</w:t>
            </w:r>
          </w:p>
          <w:p w14:paraId="3287E905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Mnenja, predlogi in pripombe z navedbo predlagateljev </w:t>
            </w:r>
            <w:r w:rsidRPr="00C71107">
              <w:rPr>
                <w:rFonts w:cs="Arial"/>
                <w:sz w:val="20"/>
                <w:szCs w:val="20"/>
                <w:lang w:val="sl-SI" w:eastAsia="sl-SI"/>
              </w:rPr>
              <w:t>(imen in priimkov fizičnih oseb, ki niso poslovni subjekti, ne navajajte</w:t>
            </w: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):</w:t>
            </w:r>
          </w:p>
          <w:p w14:paraId="2303354B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Upoštevani so bili:</w:t>
            </w:r>
          </w:p>
          <w:p w14:paraId="4D2034DE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67991272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76658B88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30A6E4BB" w14:textId="77777777" w:rsidR="00B70EBD" w:rsidRPr="00C71107" w:rsidRDefault="00B70EBD" w:rsidP="00D87D2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0DA1AB62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Bistvena mnenja, predlogi in pripombe, ki niso bili upoštevani, ter razlogi za neupoštevanje</w:t>
            </w:r>
          </w:p>
          <w:p w14:paraId="0E389317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Poročilo je bilo dano ……………..</w:t>
            </w:r>
          </w:p>
          <w:p w14:paraId="2B6F8D95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iCs/>
                <w:sz w:val="20"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</w:tc>
      </w:tr>
      <w:tr w:rsidR="00B70EBD" w:rsidRPr="00C71107" w14:paraId="377B4527" w14:textId="77777777" w:rsidTr="00BF0843">
        <w:tc>
          <w:tcPr>
            <w:tcW w:w="6669" w:type="dxa"/>
            <w:gridSpan w:val="9"/>
            <w:vAlign w:val="center"/>
          </w:tcPr>
          <w:p w14:paraId="560E8405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05EB85DE" w14:textId="77777777" w:rsidR="00B70EBD" w:rsidRPr="00E556DA" w:rsidRDefault="00B70EBD" w:rsidP="00BF0843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70EBD" w:rsidRPr="00C71107" w14:paraId="534A0E7A" w14:textId="77777777" w:rsidTr="00BF0843">
        <w:tc>
          <w:tcPr>
            <w:tcW w:w="6669" w:type="dxa"/>
            <w:gridSpan w:val="9"/>
            <w:vAlign w:val="center"/>
          </w:tcPr>
          <w:p w14:paraId="0F18C928" w14:textId="77777777" w:rsidR="00B70EBD" w:rsidRPr="00C71107" w:rsidRDefault="00B70EBD" w:rsidP="00BF0843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C71107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44E9AACB" w14:textId="77777777" w:rsidR="00B70EBD" w:rsidRPr="00E556DA" w:rsidRDefault="00B70EBD" w:rsidP="00BF0843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E556DA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</w:tbl>
    <w:p w14:paraId="0833BDD8" w14:textId="77777777" w:rsidR="00CD6CF0" w:rsidRDefault="00CD6CF0" w:rsidP="0055317B">
      <w:pPr>
        <w:spacing w:line="240" w:lineRule="auto"/>
        <w:ind w:left="5040"/>
        <w:jc w:val="center"/>
        <w:rPr>
          <w:lang w:val="sl-SI"/>
        </w:rPr>
      </w:pPr>
    </w:p>
    <w:p w14:paraId="5B1A4B44" w14:textId="3B996E92" w:rsidR="001A1D47" w:rsidRDefault="0055317B" w:rsidP="0055317B">
      <w:pPr>
        <w:spacing w:line="240" w:lineRule="auto"/>
        <w:ind w:left="5040"/>
        <w:jc w:val="center"/>
        <w:rPr>
          <w:lang w:val="sl-SI"/>
        </w:rPr>
      </w:pPr>
      <w:r>
        <w:rPr>
          <w:lang w:val="sl-SI"/>
        </w:rPr>
        <w:t>Boštjan Koritnik</w:t>
      </w:r>
    </w:p>
    <w:p w14:paraId="1AC64D97" w14:textId="77777777" w:rsidR="00E556DA" w:rsidRDefault="0055317B" w:rsidP="00E556DA">
      <w:pPr>
        <w:spacing w:line="240" w:lineRule="auto"/>
        <w:ind w:left="5040"/>
        <w:jc w:val="center"/>
        <w:rPr>
          <w:lang w:val="sl-SI"/>
        </w:rPr>
      </w:pPr>
      <w:r>
        <w:rPr>
          <w:lang w:val="sl-SI"/>
        </w:rPr>
        <w:t>MINISTER</w:t>
      </w:r>
    </w:p>
    <w:p w14:paraId="5275199E" w14:textId="77777777" w:rsidR="00CD6CF0" w:rsidRDefault="00CD6CF0">
      <w:pPr>
        <w:spacing w:line="240" w:lineRule="auto"/>
        <w:rPr>
          <w:lang w:val="sl-SI"/>
        </w:rPr>
      </w:pPr>
    </w:p>
    <w:p w14:paraId="3E03C83A" w14:textId="77777777" w:rsidR="00CD6CF0" w:rsidRDefault="00CD6CF0">
      <w:pPr>
        <w:spacing w:line="240" w:lineRule="auto"/>
        <w:rPr>
          <w:lang w:val="sl-SI"/>
        </w:rPr>
      </w:pPr>
    </w:p>
    <w:p w14:paraId="449B642F" w14:textId="7164AB12" w:rsidR="0055317B" w:rsidRDefault="0055317B">
      <w:pPr>
        <w:spacing w:line="240" w:lineRule="auto"/>
        <w:rPr>
          <w:lang w:val="sl-SI"/>
        </w:rPr>
      </w:pPr>
      <w:r>
        <w:rPr>
          <w:lang w:val="sl-SI"/>
        </w:rPr>
        <w:t xml:space="preserve">Priloga: </w:t>
      </w:r>
    </w:p>
    <w:p w14:paraId="185F401C" w14:textId="77777777" w:rsidR="00E556DA" w:rsidRPr="004D4100" w:rsidRDefault="00E556DA" w:rsidP="00C10FDC">
      <w:pPr>
        <w:pStyle w:val="Naslovpredpisa"/>
        <w:numPr>
          <w:ilvl w:val="0"/>
          <w:numId w:val="4"/>
        </w:numPr>
        <w:spacing w:before="0" w:after="0" w:line="240" w:lineRule="auto"/>
        <w:jc w:val="both"/>
        <w:rPr>
          <w:b w:val="0"/>
          <w:snapToGrid w:val="0"/>
          <w:sz w:val="20"/>
          <w:szCs w:val="20"/>
          <w:lang w:val="sl-SI"/>
        </w:rPr>
      </w:pPr>
      <w:r w:rsidRPr="00265A58">
        <w:rPr>
          <w:b w:val="0"/>
          <w:snapToGrid w:val="0"/>
          <w:sz w:val="20"/>
          <w:szCs w:val="20"/>
          <w:lang w:val="sl-SI"/>
        </w:rPr>
        <w:t xml:space="preserve">Predlog </w:t>
      </w:r>
      <w:r w:rsidRPr="004D4100">
        <w:rPr>
          <w:b w:val="0"/>
          <w:snapToGrid w:val="0"/>
          <w:sz w:val="20"/>
          <w:szCs w:val="20"/>
          <w:lang w:val="sl-SI"/>
        </w:rPr>
        <w:t xml:space="preserve">Uredbe o </w:t>
      </w:r>
      <w:r w:rsidR="00F6511E" w:rsidRPr="004D4100">
        <w:rPr>
          <w:b w:val="0"/>
          <w:snapToGrid w:val="0"/>
          <w:sz w:val="20"/>
          <w:szCs w:val="20"/>
          <w:lang w:val="sl-SI"/>
        </w:rPr>
        <w:t>sprememb</w:t>
      </w:r>
      <w:r w:rsidR="00C10FDC">
        <w:rPr>
          <w:b w:val="0"/>
          <w:snapToGrid w:val="0"/>
          <w:sz w:val="20"/>
          <w:szCs w:val="20"/>
          <w:lang w:val="sl-SI"/>
        </w:rPr>
        <w:t>i</w:t>
      </w:r>
      <w:r w:rsidR="005851EE" w:rsidRPr="004D4100">
        <w:rPr>
          <w:b w:val="0"/>
          <w:snapToGrid w:val="0"/>
          <w:sz w:val="20"/>
          <w:szCs w:val="20"/>
          <w:lang w:val="sl-SI"/>
        </w:rPr>
        <w:t xml:space="preserve"> </w:t>
      </w:r>
      <w:r w:rsidRPr="004D4100">
        <w:rPr>
          <w:rFonts w:cs="Arial"/>
          <w:b w:val="0"/>
          <w:bCs/>
          <w:sz w:val="20"/>
          <w:szCs w:val="20"/>
          <w:lang w:val="sl-SI" w:eastAsia="sl-SI"/>
        </w:rPr>
        <w:t xml:space="preserve">Uredbe o notranji organizaciji, sistemizaciji, delovnih mestih in nazivih v organih javne uprave in v pravosodnih organih </w:t>
      </w:r>
      <w:r w:rsidRPr="004D4100">
        <w:rPr>
          <w:rFonts w:cs="Arial"/>
          <w:bCs/>
          <w:sz w:val="20"/>
          <w:szCs w:val="20"/>
          <w:lang w:val="sl-SI" w:eastAsia="sl-SI"/>
        </w:rPr>
        <w:t xml:space="preserve"> </w:t>
      </w:r>
    </w:p>
    <w:p w14:paraId="192B2E44" w14:textId="77777777" w:rsidR="00957C82" w:rsidRPr="009A2182" w:rsidRDefault="0055317B" w:rsidP="009A2182">
      <w:pPr>
        <w:spacing w:line="240" w:lineRule="auto"/>
        <w:rPr>
          <w:lang w:val="sl-SI"/>
        </w:rPr>
      </w:pPr>
      <w:r>
        <w:rPr>
          <w:lang w:val="sl-SI"/>
        </w:rPr>
        <w:br w:type="page"/>
      </w:r>
      <w:bookmarkStart w:id="2" w:name="_Hlk37930269"/>
    </w:p>
    <w:p w14:paraId="289AB41B" w14:textId="77777777" w:rsidR="00E556DA" w:rsidRPr="00E90E28" w:rsidRDefault="00E556DA" w:rsidP="00E556DA">
      <w:pPr>
        <w:pStyle w:val="Golobesedilo"/>
        <w:jc w:val="left"/>
        <w:rPr>
          <w:rFonts w:ascii="Arial" w:hAnsi="Arial" w:cs="Arial"/>
          <w:b/>
        </w:rPr>
      </w:pPr>
      <w:r w:rsidRPr="00E90E28">
        <w:rPr>
          <w:rFonts w:ascii="Arial" w:hAnsi="Arial" w:cs="Arial"/>
          <w:b/>
        </w:rPr>
        <w:lastRenderedPageBreak/>
        <w:t>PREDLOG</w:t>
      </w:r>
    </w:p>
    <w:p w14:paraId="51FC3BA3" w14:textId="77777777" w:rsidR="00E556DA" w:rsidRPr="00E90E28" w:rsidRDefault="00E556DA" w:rsidP="00E556DA">
      <w:pPr>
        <w:spacing w:line="240" w:lineRule="auto"/>
        <w:rPr>
          <w:rFonts w:cs="Arial"/>
          <w:szCs w:val="20"/>
          <w:lang w:val="sl-SI"/>
        </w:rPr>
      </w:pPr>
    </w:p>
    <w:p w14:paraId="5488AF29" w14:textId="77777777" w:rsidR="00E556DA" w:rsidRPr="00E90E28" w:rsidRDefault="00E556DA" w:rsidP="00E556DA">
      <w:pPr>
        <w:spacing w:line="240" w:lineRule="auto"/>
        <w:jc w:val="both"/>
        <w:rPr>
          <w:rFonts w:cs="Arial"/>
          <w:szCs w:val="20"/>
          <w:lang w:val="sl-SI"/>
        </w:rPr>
      </w:pPr>
      <w:bookmarkStart w:id="3" w:name="_Hlk20122387"/>
      <w:r w:rsidRPr="00E90E28">
        <w:rPr>
          <w:rFonts w:cs="Arial"/>
          <w:szCs w:val="20"/>
          <w:lang w:val="sl-SI"/>
        </w:rPr>
        <w:t>Na podlagi prvega odstavka 41. člena Zakona o javnih uslužbencih (Uradni list RS, št. 63/07 – uradno prečiščeno besedilo, 65/08, 69/08 – ZTFI-A, 69/08 – ZZavar-E</w:t>
      </w:r>
      <w:r w:rsidR="00D402F5">
        <w:rPr>
          <w:rFonts w:cs="Arial"/>
          <w:szCs w:val="20"/>
          <w:lang w:val="sl-SI"/>
        </w:rPr>
        <w:t>,</w:t>
      </w:r>
      <w:r w:rsidRPr="00E90E28">
        <w:rPr>
          <w:rFonts w:cs="Arial"/>
          <w:szCs w:val="20"/>
          <w:lang w:val="sl-SI"/>
        </w:rPr>
        <w:t xml:space="preserve"> 40/12 – ZUJF</w:t>
      </w:r>
      <w:r w:rsidR="00D402F5">
        <w:rPr>
          <w:rFonts w:cs="Arial"/>
          <w:szCs w:val="20"/>
          <w:lang w:val="sl-SI"/>
        </w:rPr>
        <w:t xml:space="preserve">, </w:t>
      </w:r>
      <w:r w:rsidR="00D402F5" w:rsidRPr="00D402F5">
        <w:rPr>
          <w:rFonts w:cs="Arial"/>
          <w:szCs w:val="20"/>
          <w:lang w:val="sl-SI"/>
        </w:rPr>
        <w:t xml:space="preserve">158/20 – </w:t>
      </w:r>
      <w:proofErr w:type="spellStart"/>
      <w:r w:rsidR="00D402F5" w:rsidRPr="00D402F5">
        <w:rPr>
          <w:rFonts w:cs="Arial"/>
          <w:szCs w:val="20"/>
          <w:lang w:val="sl-SI"/>
        </w:rPr>
        <w:t>ZIntPK</w:t>
      </w:r>
      <w:proofErr w:type="spellEnd"/>
      <w:r w:rsidR="00D402F5" w:rsidRPr="00D402F5">
        <w:rPr>
          <w:rFonts w:cs="Arial"/>
          <w:szCs w:val="20"/>
          <w:lang w:val="sl-SI"/>
        </w:rPr>
        <w:t>-C in 203/20 – ZIUPOPDVE</w:t>
      </w:r>
      <w:r w:rsidRPr="00E90E28">
        <w:rPr>
          <w:rFonts w:cs="Arial"/>
          <w:szCs w:val="20"/>
          <w:lang w:val="sl-SI"/>
        </w:rPr>
        <w:t>) Vlada Republike Slovenije izdaja</w:t>
      </w:r>
    </w:p>
    <w:p w14:paraId="1AB494A9" w14:textId="77777777" w:rsidR="00E556DA" w:rsidRPr="00E90E28" w:rsidRDefault="00E556DA" w:rsidP="00E556DA">
      <w:pPr>
        <w:spacing w:line="240" w:lineRule="auto"/>
        <w:jc w:val="both"/>
        <w:rPr>
          <w:rFonts w:cs="Arial"/>
          <w:szCs w:val="20"/>
          <w:lang w:val="sl-SI"/>
        </w:rPr>
      </w:pPr>
    </w:p>
    <w:p w14:paraId="1CB7C5ED" w14:textId="77777777" w:rsidR="00E556DA" w:rsidRPr="00E90E28" w:rsidRDefault="00E556DA" w:rsidP="00E556DA">
      <w:pPr>
        <w:spacing w:line="240" w:lineRule="auto"/>
        <w:jc w:val="both"/>
        <w:rPr>
          <w:rFonts w:cs="Arial"/>
          <w:szCs w:val="20"/>
          <w:lang w:val="sl-SI"/>
        </w:rPr>
      </w:pPr>
    </w:p>
    <w:p w14:paraId="5130E738" w14:textId="77777777" w:rsidR="00E556DA" w:rsidRPr="00E90E28" w:rsidRDefault="00E556DA" w:rsidP="00E556DA">
      <w:pPr>
        <w:spacing w:line="240" w:lineRule="auto"/>
        <w:jc w:val="both"/>
        <w:rPr>
          <w:rFonts w:cs="Arial"/>
          <w:szCs w:val="20"/>
          <w:lang w:val="sl-SI"/>
        </w:rPr>
      </w:pPr>
    </w:p>
    <w:p w14:paraId="5C232C2E" w14:textId="77777777" w:rsidR="00E556DA" w:rsidRPr="00E90E28" w:rsidRDefault="00E556DA" w:rsidP="00E556DA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>U R E D B O</w:t>
      </w:r>
    </w:p>
    <w:p w14:paraId="4C62BC93" w14:textId="77777777" w:rsidR="00E556DA" w:rsidRPr="00E90E28" w:rsidRDefault="00E556DA" w:rsidP="00E556DA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ED0DB8">
        <w:rPr>
          <w:rFonts w:cs="Arial"/>
          <w:b/>
          <w:szCs w:val="20"/>
          <w:lang w:val="sl-SI"/>
        </w:rPr>
        <w:t xml:space="preserve">o </w:t>
      </w:r>
      <w:r w:rsidR="00F6511E" w:rsidRPr="00ED0DB8">
        <w:rPr>
          <w:rFonts w:cs="Arial"/>
          <w:b/>
          <w:szCs w:val="20"/>
          <w:lang w:val="sl-SI"/>
        </w:rPr>
        <w:t>sprememb</w:t>
      </w:r>
      <w:r w:rsidR="002D5D25">
        <w:rPr>
          <w:rFonts w:cs="Arial"/>
          <w:b/>
          <w:szCs w:val="20"/>
          <w:lang w:val="sl-SI"/>
        </w:rPr>
        <w:t>i</w:t>
      </w:r>
      <w:r w:rsidR="005851EE" w:rsidRPr="00ED0DB8">
        <w:rPr>
          <w:rFonts w:cs="Arial"/>
          <w:b/>
          <w:szCs w:val="20"/>
          <w:lang w:val="sl-SI"/>
        </w:rPr>
        <w:t xml:space="preserve"> </w:t>
      </w:r>
      <w:r w:rsidR="00BD1C7E">
        <w:rPr>
          <w:rFonts w:cs="Arial"/>
          <w:b/>
          <w:szCs w:val="20"/>
          <w:lang w:val="sl-SI"/>
        </w:rPr>
        <w:t>Uredbe</w:t>
      </w:r>
      <w:r w:rsidRPr="00E90E28">
        <w:rPr>
          <w:rFonts w:cs="Arial"/>
          <w:b/>
          <w:szCs w:val="20"/>
          <w:lang w:val="sl-SI"/>
        </w:rPr>
        <w:t xml:space="preserve"> o notranji organizaciji, sistemizaciji, delovnih mestih in nazivih v organih javne uprave in v pravosodnih organih</w:t>
      </w:r>
    </w:p>
    <w:p w14:paraId="02E92168" w14:textId="77777777" w:rsidR="00E556DA" w:rsidRPr="00E90E28" w:rsidRDefault="00E556DA" w:rsidP="00E556DA">
      <w:pPr>
        <w:spacing w:line="240" w:lineRule="auto"/>
        <w:jc w:val="both"/>
        <w:rPr>
          <w:rFonts w:cs="Arial"/>
          <w:color w:val="FF0000"/>
          <w:szCs w:val="20"/>
          <w:lang w:val="sl-SI"/>
        </w:rPr>
      </w:pPr>
    </w:p>
    <w:p w14:paraId="44B349A1" w14:textId="77777777" w:rsidR="00E556DA" w:rsidRPr="00E90E28" w:rsidRDefault="00E556DA" w:rsidP="00E556DA">
      <w:pPr>
        <w:spacing w:line="240" w:lineRule="auto"/>
        <w:jc w:val="both"/>
        <w:rPr>
          <w:rFonts w:cs="Arial"/>
          <w:color w:val="FF0000"/>
          <w:szCs w:val="20"/>
          <w:lang w:val="sl-SI"/>
        </w:rPr>
      </w:pPr>
    </w:p>
    <w:p w14:paraId="2D1C7DD5" w14:textId="77777777" w:rsidR="00E556DA" w:rsidRPr="00E90E28" w:rsidRDefault="00E556DA" w:rsidP="00D87D2A">
      <w:pPr>
        <w:numPr>
          <w:ilvl w:val="0"/>
          <w:numId w:val="9"/>
        </w:numPr>
        <w:spacing w:line="240" w:lineRule="auto"/>
        <w:jc w:val="center"/>
        <w:rPr>
          <w:rFonts w:cs="Arial"/>
          <w:szCs w:val="20"/>
          <w:lang w:val="sl-SI"/>
        </w:rPr>
      </w:pPr>
      <w:r w:rsidRPr="00E90E28">
        <w:rPr>
          <w:rFonts w:cs="Arial"/>
          <w:szCs w:val="20"/>
          <w:lang w:val="sl-SI"/>
        </w:rPr>
        <w:t>člen</w:t>
      </w:r>
    </w:p>
    <w:p w14:paraId="391424C7" w14:textId="77777777" w:rsidR="00E556DA" w:rsidRPr="00E90E28" w:rsidRDefault="00E556DA" w:rsidP="00E556DA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54D3BC4F" w14:textId="07C4C708" w:rsidR="00BD1C7E" w:rsidRPr="00BD1C7E" w:rsidRDefault="00E556DA" w:rsidP="00513DCB">
      <w:pPr>
        <w:shd w:val="clear" w:color="auto" w:fill="FFFFFF"/>
        <w:spacing w:line="240" w:lineRule="auto"/>
        <w:jc w:val="both"/>
        <w:rPr>
          <w:rFonts w:cs="Arial"/>
          <w:szCs w:val="20"/>
          <w:lang w:val="sl-SI"/>
        </w:rPr>
      </w:pPr>
      <w:bookmarkStart w:id="4" w:name="_Hlk40950497"/>
      <w:r w:rsidRPr="00E90E28">
        <w:rPr>
          <w:rFonts w:cs="Arial"/>
          <w:szCs w:val="20"/>
          <w:lang w:val="sl-SI"/>
        </w:rPr>
        <w:t xml:space="preserve">V Uredbi </w:t>
      </w:r>
      <w:r w:rsidR="001421E8" w:rsidRPr="001421E8">
        <w:rPr>
          <w:rFonts w:cs="Arial"/>
          <w:szCs w:val="20"/>
          <w:lang w:val="sl-SI"/>
        </w:rPr>
        <w:t xml:space="preserve">o notranji organizaciji, sistemizaciji, delovnih mestih in nazivih v organih javne uprave in v pravosodnih organih (Uradni list RS, št. 58/03, 81/03, 109/03, 43/04, 58/04 – </w:t>
      </w:r>
      <w:proofErr w:type="spellStart"/>
      <w:r w:rsidR="001421E8" w:rsidRPr="001421E8">
        <w:rPr>
          <w:rFonts w:cs="Arial"/>
          <w:szCs w:val="20"/>
          <w:lang w:val="sl-SI"/>
        </w:rPr>
        <w:t>popr</w:t>
      </w:r>
      <w:proofErr w:type="spellEnd"/>
      <w:r w:rsidR="001421E8" w:rsidRPr="001421E8">
        <w:rPr>
          <w:rFonts w:cs="Arial"/>
          <w:szCs w:val="20"/>
          <w:lang w:val="sl-SI"/>
        </w:rPr>
        <w:t xml:space="preserve">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40/17, 41/17, 11/19, 25/19, 54/19, 67/19, 89/20, 104/20, 118/20, 168/20 in 31/21) </w:t>
      </w:r>
      <w:r w:rsidRPr="00B439D1">
        <w:rPr>
          <w:rFonts w:cs="Arial"/>
          <w:szCs w:val="20"/>
          <w:lang w:val="sl-SI"/>
        </w:rPr>
        <w:t>se</w:t>
      </w:r>
      <w:r w:rsidR="00532355">
        <w:rPr>
          <w:rFonts w:cs="Arial"/>
          <w:szCs w:val="20"/>
          <w:lang w:val="sl-SI"/>
        </w:rPr>
        <w:t xml:space="preserve"> v 13. členu </w:t>
      </w:r>
      <w:r w:rsidR="001421E8">
        <w:rPr>
          <w:rFonts w:cs="Arial"/>
          <w:szCs w:val="20"/>
          <w:lang w:val="sl-SI"/>
        </w:rPr>
        <w:t xml:space="preserve">v 1. točki </w:t>
      </w:r>
      <w:r w:rsidR="00BD1C7E">
        <w:rPr>
          <w:rFonts w:cs="Arial"/>
          <w:szCs w:val="20"/>
          <w:lang w:val="sl-SI"/>
        </w:rPr>
        <w:t>v šesti alineji črta</w:t>
      </w:r>
      <w:r w:rsidR="00D6321F">
        <w:rPr>
          <w:rFonts w:cs="Arial"/>
          <w:szCs w:val="20"/>
          <w:lang w:val="sl-SI"/>
        </w:rPr>
        <w:t>ta vejica in</w:t>
      </w:r>
      <w:r w:rsidR="00BD1C7E">
        <w:rPr>
          <w:rFonts w:cs="Arial"/>
          <w:szCs w:val="20"/>
          <w:lang w:val="sl-SI"/>
        </w:rPr>
        <w:t xml:space="preserve"> besedilo </w:t>
      </w:r>
      <w:r w:rsidR="00D6321F">
        <w:rPr>
          <w:lang w:val="sl-SI"/>
        </w:rPr>
        <w:t>»</w:t>
      </w:r>
      <w:r w:rsidR="00BD1C7E" w:rsidRPr="00BD1C7E">
        <w:rPr>
          <w:lang w:val="sl-SI"/>
        </w:rPr>
        <w:t>vojne veterane in žrtve vojnega nasilja</w:t>
      </w:r>
      <w:r w:rsidR="00D6321F">
        <w:rPr>
          <w:lang w:val="sl-SI"/>
        </w:rPr>
        <w:t>«</w:t>
      </w:r>
      <w:r w:rsidR="00BD1C7E">
        <w:rPr>
          <w:lang w:val="sl-SI"/>
        </w:rPr>
        <w:t>.</w:t>
      </w:r>
    </w:p>
    <w:p w14:paraId="59EC109E" w14:textId="77777777" w:rsidR="00532355" w:rsidRDefault="00532355" w:rsidP="00513DCB">
      <w:pPr>
        <w:shd w:val="clear" w:color="auto" w:fill="FFFFFF"/>
        <w:spacing w:line="240" w:lineRule="auto"/>
        <w:jc w:val="both"/>
        <w:rPr>
          <w:rFonts w:cs="Arial"/>
          <w:szCs w:val="20"/>
          <w:lang w:val="sl-SI"/>
        </w:rPr>
      </w:pPr>
    </w:p>
    <w:p w14:paraId="50466925" w14:textId="77777777" w:rsidR="00532355" w:rsidRDefault="00532355" w:rsidP="00513DCB">
      <w:pPr>
        <w:shd w:val="clear" w:color="auto" w:fill="FFFFFF"/>
        <w:spacing w:line="240" w:lineRule="auto"/>
        <w:jc w:val="both"/>
        <w:rPr>
          <w:rFonts w:cs="Arial"/>
          <w:szCs w:val="20"/>
          <w:lang w:val="sl-SI"/>
        </w:rPr>
      </w:pPr>
    </w:p>
    <w:bookmarkEnd w:id="4"/>
    <w:p w14:paraId="383C91ED" w14:textId="77777777" w:rsidR="002D5D25" w:rsidRPr="00E90E28" w:rsidRDefault="002D5D25" w:rsidP="00E556DA">
      <w:pPr>
        <w:spacing w:line="240" w:lineRule="auto"/>
        <w:rPr>
          <w:rFonts w:cs="Arial"/>
          <w:color w:val="FF0000"/>
          <w:szCs w:val="20"/>
          <w:lang w:val="sl-SI"/>
        </w:rPr>
      </w:pPr>
    </w:p>
    <w:p w14:paraId="06B6F0A4" w14:textId="3CA04333" w:rsidR="00E556DA" w:rsidRPr="00E90E28" w:rsidRDefault="00205B0B" w:rsidP="00CD6CF0">
      <w:pPr>
        <w:spacing w:line="240" w:lineRule="auto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PREHODNA IN </w:t>
      </w:r>
      <w:r w:rsidR="00E556DA" w:rsidRPr="00E90E28">
        <w:rPr>
          <w:rFonts w:cs="Arial"/>
          <w:szCs w:val="20"/>
          <w:lang w:val="sl-SI"/>
        </w:rPr>
        <w:t>KONČNA DOLOČBA</w:t>
      </w:r>
    </w:p>
    <w:p w14:paraId="333A7841" w14:textId="77777777" w:rsidR="005611B3" w:rsidRDefault="005611B3" w:rsidP="00CD6CF0">
      <w:pPr>
        <w:spacing w:line="240" w:lineRule="auto"/>
        <w:jc w:val="both"/>
        <w:rPr>
          <w:lang w:val="sl-SI"/>
        </w:rPr>
      </w:pPr>
    </w:p>
    <w:p w14:paraId="652423B0" w14:textId="161468A9" w:rsidR="005F69A6" w:rsidRDefault="00205B0B" w:rsidP="00CD6CF0">
      <w:pPr>
        <w:pStyle w:val="Odstavekseznama"/>
        <w:numPr>
          <w:ilvl w:val="0"/>
          <w:numId w:val="9"/>
        </w:numPr>
        <w:spacing w:line="240" w:lineRule="auto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člen</w:t>
      </w:r>
    </w:p>
    <w:p w14:paraId="27FFD757" w14:textId="1CF4E412" w:rsidR="00205B0B" w:rsidRDefault="00205B0B" w:rsidP="00CD6CF0">
      <w:pPr>
        <w:pStyle w:val="Odstavekseznama"/>
        <w:spacing w:line="240" w:lineRule="auto"/>
        <w:rPr>
          <w:rFonts w:cs="Arial"/>
          <w:szCs w:val="20"/>
          <w:lang w:val="sl-SI"/>
        </w:rPr>
      </w:pPr>
    </w:p>
    <w:p w14:paraId="79DE5A9B" w14:textId="68EC8559" w:rsidR="00205B0B" w:rsidRPr="00CD6CF0" w:rsidRDefault="00205B0B" w:rsidP="00CD6CF0">
      <w:pPr>
        <w:shd w:val="clear" w:color="auto" w:fill="FFFFFF"/>
        <w:spacing w:line="240" w:lineRule="auto"/>
        <w:jc w:val="both"/>
        <w:rPr>
          <w:rFonts w:cs="Arial"/>
          <w:szCs w:val="20"/>
          <w:lang w:val="sl-SI"/>
        </w:rPr>
      </w:pPr>
      <w:r w:rsidRPr="00CD6CF0">
        <w:rPr>
          <w:rFonts w:cs="Arial"/>
          <w:szCs w:val="20"/>
          <w:lang w:val="sl-SI"/>
        </w:rPr>
        <w:t>Akt</w:t>
      </w:r>
      <w:r w:rsidR="008C22B4" w:rsidRPr="00CD6CF0">
        <w:rPr>
          <w:rFonts w:cs="Arial"/>
          <w:szCs w:val="20"/>
          <w:lang w:val="sl-SI"/>
        </w:rPr>
        <w:t>a</w:t>
      </w:r>
      <w:r w:rsidRPr="00CD6CF0">
        <w:rPr>
          <w:rFonts w:cs="Arial"/>
          <w:szCs w:val="20"/>
          <w:lang w:val="sl-SI"/>
        </w:rPr>
        <w:t xml:space="preserve"> o notranji organizaciji in sistemizaciji delovnih mest Ministrstva za delo, družino, socialne zadeve in enake možnosti ter Ministrstva za obrambo se uskladita s to uredbo najpozneje do 13. </w:t>
      </w:r>
      <w:r w:rsidR="00F0655A">
        <w:rPr>
          <w:rFonts w:cs="Arial"/>
          <w:szCs w:val="20"/>
          <w:lang w:val="sl-SI"/>
        </w:rPr>
        <w:t>junija</w:t>
      </w:r>
      <w:r w:rsidRPr="00CD6CF0">
        <w:rPr>
          <w:rFonts w:cs="Arial"/>
          <w:szCs w:val="20"/>
          <w:lang w:val="sl-SI"/>
        </w:rPr>
        <w:t xml:space="preserve"> 2021. Najpozneje v tem roku Ministrstvo za obrambo od Ministrstva za delo, družino, socialne zadeve in enake možnosti prevzame naloge v skladu s tem zakonom, ustrezne javne uslužbence, opremo, dokumentacijo in prostore.</w:t>
      </w:r>
    </w:p>
    <w:p w14:paraId="15C3F05A" w14:textId="77777777" w:rsidR="00205B0B" w:rsidRPr="00205B0B" w:rsidRDefault="00205B0B" w:rsidP="00CD6CF0">
      <w:pPr>
        <w:shd w:val="clear" w:color="auto" w:fill="FFFFFF"/>
        <w:spacing w:line="240" w:lineRule="auto"/>
        <w:jc w:val="both"/>
        <w:rPr>
          <w:rFonts w:cs="Arial"/>
          <w:szCs w:val="20"/>
          <w:lang w:val="sl-SI"/>
        </w:rPr>
      </w:pPr>
    </w:p>
    <w:p w14:paraId="3679FB1E" w14:textId="77777777" w:rsidR="005F69A6" w:rsidRPr="005F69A6" w:rsidRDefault="005F69A6" w:rsidP="00532355">
      <w:pPr>
        <w:pStyle w:val="Odstavekseznama"/>
        <w:numPr>
          <w:ilvl w:val="0"/>
          <w:numId w:val="9"/>
        </w:numPr>
        <w:spacing w:line="240" w:lineRule="auto"/>
        <w:jc w:val="center"/>
        <w:rPr>
          <w:rFonts w:cs="Arial"/>
          <w:szCs w:val="20"/>
          <w:lang w:val="sl-SI"/>
        </w:rPr>
      </w:pPr>
      <w:r w:rsidRPr="005F69A6">
        <w:rPr>
          <w:rFonts w:cs="Arial"/>
          <w:szCs w:val="20"/>
          <w:lang w:val="sl-SI"/>
        </w:rPr>
        <w:t>člen</w:t>
      </w:r>
    </w:p>
    <w:p w14:paraId="00A3821F" w14:textId="77777777" w:rsidR="00E556DA" w:rsidRPr="00B439D1" w:rsidRDefault="00E556DA" w:rsidP="00E556DA">
      <w:pPr>
        <w:spacing w:line="240" w:lineRule="auto"/>
        <w:rPr>
          <w:rFonts w:cs="Arial"/>
          <w:szCs w:val="20"/>
          <w:lang w:val="sl-SI"/>
        </w:rPr>
      </w:pPr>
    </w:p>
    <w:p w14:paraId="1BC39909" w14:textId="77777777" w:rsidR="00E556DA" w:rsidRPr="00B439D1" w:rsidRDefault="00E556DA" w:rsidP="00E556DA">
      <w:pPr>
        <w:spacing w:line="240" w:lineRule="auto"/>
        <w:jc w:val="both"/>
        <w:rPr>
          <w:rFonts w:cs="Arial"/>
          <w:szCs w:val="20"/>
          <w:lang w:val="sl-SI"/>
        </w:rPr>
      </w:pPr>
      <w:r w:rsidRPr="00B439D1">
        <w:rPr>
          <w:rFonts w:cs="Arial"/>
          <w:szCs w:val="20"/>
          <w:lang w:val="sl-SI"/>
        </w:rPr>
        <w:t xml:space="preserve">Ta uredba začne veljati naslednji dan po objavi v Uradnem listu Republike Slovenije. </w:t>
      </w:r>
    </w:p>
    <w:p w14:paraId="39D2A378" w14:textId="77777777" w:rsidR="00E556DA" w:rsidRPr="00E90E28" w:rsidRDefault="00E556DA" w:rsidP="00E556DA">
      <w:pPr>
        <w:spacing w:after="120" w:line="240" w:lineRule="atLeast"/>
        <w:jc w:val="both"/>
        <w:rPr>
          <w:rFonts w:cs="Arial"/>
          <w:szCs w:val="20"/>
          <w:lang w:val="sl-SI"/>
        </w:rPr>
      </w:pPr>
    </w:p>
    <w:p w14:paraId="60D61695" w14:textId="77777777" w:rsidR="00E90E28" w:rsidRPr="006F2517" w:rsidRDefault="00E90E28" w:rsidP="00E90E28">
      <w:pPr>
        <w:rPr>
          <w:rFonts w:cs="Arial"/>
          <w:szCs w:val="20"/>
          <w:lang w:val="sl-SI"/>
        </w:rPr>
      </w:pPr>
      <w:r w:rsidRPr="00E90E28">
        <w:rPr>
          <w:rFonts w:cs="Arial"/>
          <w:color w:val="000000"/>
          <w:szCs w:val="20"/>
          <w:lang w:val="sl-SI"/>
        </w:rPr>
        <w:t>Št</w:t>
      </w:r>
      <w:r w:rsidRPr="006F2517">
        <w:rPr>
          <w:rFonts w:cs="Arial"/>
          <w:szCs w:val="20"/>
          <w:lang w:val="sl-SI"/>
        </w:rPr>
        <w:t xml:space="preserve">. </w:t>
      </w:r>
    </w:p>
    <w:p w14:paraId="102D4E83" w14:textId="77777777" w:rsidR="00E90E28" w:rsidRPr="000F3C57" w:rsidRDefault="00E90E28" w:rsidP="00E90E28">
      <w:pPr>
        <w:rPr>
          <w:rFonts w:cs="Arial"/>
          <w:szCs w:val="20"/>
          <w:lang w:val="sl-SI"/>
        </w:rPr>
      </w:pPr>
      <w:r w:rsidRPr="000F3C57">
        <w:rPr>
          <w:rFonts w:cs="Arial"/>
          <w:szCs w:val="20"/>
          <w:lang w:val="sl-SI"/>
        </w:rPr>
        <w:t>Ljubljana,</w:t>
      </w:r>
      <w:r w:rsidR="00D55690">
        <w:rPr>
          <w:rFonts w:cs="Arial"/>
          <w:szCs w:val="20"/>
          <w:lang w:val="sl-SI"/>
        </w:rPr>
        <w:t xml:space="preserve"> </w:t>
      </w:r>
      <w:r w:rsidR="00D55690" w:rsidRPr="006F2517">
        <w:rPr>
          <w:rFonts w:cs="Arial"/>
          <w:szCs w:val="20"/>
          <w:lang w:val="sl-SI"/>
        </w:rPr>
        <w:t>dne</w:t>
      </w:r>
      <w:r w:rsidRPr="006F2517">
        <w:rPr>
          <w:rFonts w:cs="Arial"/>
          <w:szCs w:val="20"/>
          <w:lang w:val="sl-SI"/>
        </w:rPr>
        <w:t xml:space="preserve"> </w:t>
      </w:r>
    </w:p>
    <w:p w14:paraId="3529BF26" w14:textId="77777777" w:rsidR="00E90E28" w:rsidRPr="000F3C57" w:rsidRDefault="00E90E28" w:rsidP="00E90E28">
      <w:pPr>
        <w:rPr>
          <w:rFonts w:cs="Arial"/>
          <w:szCs w:val="20"/>
          <w:lang w:val="sl-SI"/>
        </w:rPr>
      </w:pPr>
      <w:r w:rsidRPr="00E90E28">
        <w:rPr>
          <w:rFonts w:cs="Arial"/>
          <w:color w:val="000000"/>
          <w:szCs w:val="20"/>
          <w:lang w:val="sl-SI"/>
        </w:rPr>
        <w:t>EVA</w:t>
      </w:r>
      <w:r w:rsidRPr="000F3C57">
        <w:rPr>
          <w:rFonts w:cs="Arial"/>
          <w:szCs w:val="20"/>
          <w:lang w:val="sl-SI"/>
        </w:rPr>
        <w:t xml:space="preserve"> </w:t>
      </w:r>
      <w:r w:rsidR="00F01D9A" w:rsidRPr="00F01D9A">
        <w:rPr>
          <w:rFonts w:cs="Arial"/>
          <w:szCs w:val="20"/>
          <w:lang w:val="sl-SI"/>
        </w:rPr>
        <w:t>2021-3130-0013</w:t>
      </w:r>
    </w:p>
    <w:p w14:paraId="1D96DA31" w14:textId="77777777" w:rsidR="00E90E28" w:rsidRPr="00E90E28" w:rsidRDefault="00E90E28" w:rsidP="00E90E28">
      <w:pPr>
        <w:jc w:val="center"/>
        <w:rPr>
          <w:rStyle w:val="Hiperpovezava"/>
          <w:u w:val="none"/>
          <w:lang w:val="sl-SI"/>
        </w:rPr>
      </w:pPr>
      <w:r w:rsidRPr="00E90E28"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           </w:t>
      </w:r>
      <w:hyperlink r:id="rId9" w:anchor="Vlada Republike Slovenije" w:history="1">
        <w:r w:rsidRPr="00E90E28">
          <w:rPr>
            <w:rStyle w:val="Hiperpovezava"/>
            <w:rFonts w:cs="Arial"/>
            <w:color w:val="000000"/>
            <w:szCs w:val="20"/>
            <w:u w:val="none"/>
            <w:lang w:val="sl-SI"/>
          </w:rPr>
          <w:t>Vlada Republike Slovenije</w:t>
        </w:r>
      </w:hyperlink>
    </w:p>
    <w:p w14:paraId="3F3D44EB" w14:textId="77777777" w:rsidR="00E90E28" w:rsidRPr="00E90E28" w:rsidRDefault="00E90E28" w:rsidP="00E90E28">
      <w:pPr>
        <w:rPr>
          <w:rFonts w:cs="Arial"/>
          <w:color w:val="000000"/>
          <w:lang w:val="sl-SI"/>
        </w:rPr>
      </w:pPr>
      <w:r w:rsidRPr="00E90E28"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                             Janez Janša </w:t>
      </w:r>
    </w:p>
    <w:p w14:paraId="2C89D146" w14:textId="77777777" w:rsidR="00E90E28" w:rsidRPr="00E90E28" w:rsidRDefault="00E90E28" w:rsidP="00E90E28">
      <w:pPr>
        <w:rPr>
          <w:rFonts w:cs="Arial"/>
          <w:color w:val="000000"/>
          <w:szCs w:val="20"/>
          <w:lang w:val="sl-SI"/>
        </w:rPr>
      </w:pPr>
      <w:r w:rsidRPr="00E90E28"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                               predsednik </w:t>
      </w:r>
    </w:p>
    <w:p w14:paraId="3E2E4578" w14:textId="77777777" w:rsidR="00E556DA" w:rsidRPr="00E90E28" w:rsidRDefault="00E556DA" w:rsidP="00E556DA">
      <w:pPr>
        <w:rPr>
          <w:rFonts w:cs="Arial"/>
          <w:b/>
          <w:szCs w:val="20"/>
          <w:lang w:val="sl-SI"/>
        </w:rPr>
      </w:pPr>
      <w:r w:rsidRPr="00E90E28">
        <w:rPr>
          <w:color w:val="FF0000"/>
          <w:lang w:val="sl-SI"/>
        </w:rPr>
        <w:br w:type="page"/>
      </w:r>
      <w:bookmarkEnd w:id="3"/>
      <w:r w:rsidRPr="00E90E28">
        <w:rPr>
          <w:rFonts w:cs="Arial"/>
          <w:b/>
          <w:szCs w:val="20"/>
          <w:lang w:val="sl-SI"/>
        </w:rPr>
        <w:lastRenderedPageBreak/>
        <w:t xml:space="preserve">OBRAZLOŽITEV: </w:t>
      </w:r>
    </w:p>
    <w:p w14:paraId="102BDAAC" w14:textId="77777777" w:rsidR="00E556DA" w:rsidRPr="00E90E28" w:rsidRDefault="00E556DA" w:rsidP="00E556DA">
      <w:pPr>
        <w:spacing w:line="240" w:lineRule="atLeast"/>
        <w:ind w:left="357"/>
        <w:jc w:val="both"/>
        <w:rPr>
          <w:rFonts w:cs="Arial"/>
          <w:b/>
          <w:szCs w:val="20"/>
          <w:lang w:val="sl-SI"/>
        </w:rPr>
      </w:pPr>
    </w:p>
    <w:p w14:paraId="7D70B64C" w14:textId="77777777" w:rsidR="00E556DA" w:rsidRPr="00E90E28" w:rsidRDefault="00E556DA" w:rsidP="00D87D2A">
      <w:pPr>
        <w:numPr>
          <w:ilvl w:val="0"/>
          <w:numId w:val="11"/>
        </w:numPr>
        <w:tabs>
          <w:tab w:val="clear" w:pos="1440"/>
          <w:tab w:val="num" w:pos="567"/>
        </w:tabs>
        <w:spacing w:line="240" w:lineRule="atLeast"/>
        <w:ind w:left="357" w:hanging="357"/>
        <w:jc w:val="both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>UVOD</w:t>
      </w:r>
    </w:p>
    <w:p w14:paraId="680E7C31" w14:textId="77777777" w:rsidR="00E556DA" w:rsidRPr="00E90E28" w:rsidRDefault="00E556DA" w:rsidP="00E556DA">
      <w:pPr>
        <w:tabs>
          <w:tab w:val="left" w:pos="708"/>
        </w:tabs>
        <w:spacing w:line="240" w:lineRule="atLeast"/>
        <w:ind w:left="360"/>
        <w:jc w:val="both"/>
        <w:rPr>
          <w:rFonts w:cs="Arial"/>
          <w:szCs w:val="20"/>
          <w:lang w:val="sl-SI"/>
        </w:rPr>
      </w:pPr>
    </w:p>
    <w:p w14:paraId="0EBF43F0" w14:textId="77777777" w:rsidR="00E556DA" w:rsidRPr="00E90E28" w:rsidRDefault="00E556DA" w:rsidP="00D87D2A">
      <w:pPr>
        <w:numPr>
          <w:ilvl w:val="0"/>
          <w:numId w:val="10"/>
        </w:numPr>
        <w:tabs>
          <w:tab w:val="clear" w:pos="1080"/>
          <w:tab w:val="num" w:pos="0"/>
        </w:tabs>
        <w:spacing w:line="240" w:lineRule="atLeast"/>
        <w:ind w:left="357" w:hanging="357"/>
        <w:jc w:val="both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>Pravna podlaga (besedilo, vsebina zakonske določbe, ki je podlaga za izdajo predpisa):</w:t>
      </w:r>
    </w:p>
    <w:p w14:paraId="5A9E0363" w14:textId="77777777" w:rsidR="00E556DA" w:rsidRPr="00E90E28" w:rsidRDefault="00E556DA" w:rsidP="00E556DA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7AF4C574" w14:textId="77777777" w:rsidR="00E556DA" w:rsidRPr="00E90E28" w:rsidRDefault="00E556DA" w:rsidP="00E556DA">
      <w:pPr>
        <w:spacing w:line="240" w:lineRule="auto"/>
        <w:jc w:val="both"/>
        <w:rPr>
          <w:lang w:val="sl-SI"/>
        </w:rPr>
      </w:pPr>
      <w:r w:rsidRPr="00E90E28">
        <w:rPr>
          <w:rFonts w:cs="Arial"/>
          <w:szCs w:val="20"/>
          <w:lang w:val="sl-SI"/>
        </w:rPr>
        <w:t xml:space="preserve">Prvi odstavek 41. člena Zakona o javnih uslužbencih (Uradni list RS, št. 63/07 – uradno prečiščeno besedilo, 65/08, 69/08 – ZTFI-A, 69/08 – ZZavar-E in 40/12 </w:t>
      </w:r>
      <w:r w:rsidR="006C5995" w:rsidRPr="00E90E28">
        <w:rPr>
          <w:rFonts w:cs="Arial"/>
          <w:szCs w:val="20"/>
          <w:lang w:val="sl-SI"/>
        </w:rPr>
        <w:t>–</w:t>
      </w:r>
      <w:r w:rsidRPr="00E90E28">
        <w:rPr>
          <w:rFonts w:cs="Arial"/>
          <w:szCs w:val="20"/>
          <w:lang w:val="sl-SI"/>
        </w:rPr>
        <w:t xml:space="preserve"> ZUJF), v skladu s katerim </w:t>
      </w:r>
      <w:r w:rsidRPr="00E90E28">
        <w:rPr>
          <w:lang w:val="sl-SI"/>
        </w:rPr>
        <w:t>vlada z uredbo</w:t>
      </w:r>
      <w:r w:rsidRPr="00E90E28">
        <w:rPr>
          <w:rFonts w:cs="Arial"/>
          <w:szCs w:val="20"/>
          <w:lang w:val="sl-SI"/>
        </w:rPr>
        <w:t xml:space="preserve"> </w:t>
      </w:r>
      <w:r w:rsidRPr="00E90E28">
        <w:rPr>
          <w:lang w:val="sl-SI"/>
        </w:rPr>
        <w:t xml:space="preserve">določi </w:t>
      </w:r>
      <w:r w:rsidRPr="00E90E28">
        <w:rPr>
          <w:rFonts w:cs="Arial"/>
          <w:szCs w:val="20"/>
          <w:lang w:val="sl-SI"/>
        </w:rPr>
        <w:t>s</w:t>
      </w:r>
      <w:r w:rsidRPr="00E90E28">
        <w:rPr>
          <w:lang w:val="sl-SI"/>
        </w:rPr>
        <w:t>kupna izhodišča za sistemizacijo v organih državne uprave in upravah lokalnih skupnosti.</w:t>
      </w:r>
    </w:p>
    <w:p w14:paraId="1B47E0D7" w14:textId="77777777" w:rsidR="00E556DA" w:rsidRPr="00E90E28" w:rsidRDefault="00E556DA" w:rsidP="00E556DA">
      <w:pPr>
        <w:spacing w:line="240" w:lineRule="auto"/>
        <w:jc w:val="both"/>
        <w:rPr>
          <w:szCs w:val="20"/>
          <w:lang w:val="sl-SI"/>
        </w:rPr>
      </w:pPr>
    </w:p>
    <w:p w14:paraId="2F894896" w14:textId="77777777" w:rsidR="00E556DA" w:rsidRPr="00E90E28" w:rsidRDefault="00E556DA" w:rsidP="00D87D2A">
      <w:pPr>
        <w:numPr>
          <w:ilvl w:val="0"/>
          <w:numId w:val="10"/>
        </w:numPr>
        <w:tabs>
          <w:tab w:val="clear" w:pos="1080"/>
          <w:tab w:val="num" w:pos="0"/>
        </w:tabs>
        <w:spacing w:line="240" w:lineRule="atLeast"/>
        <w:ind w:left="360"/>
        <w:jc w:val="both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>Splošna obrazložitev v zvezi s predlogom predpisa, če je potrebna: /</w:t>
      </w:r>
    </w:p>
    <w:p w14:paraId="40B269F9" w14:textId="77777777" w:rsidR="00E556DA" w:rsidRPr="00E90E28" w:rsidRDefault="00E556DA" w:rsidP="00E556DA">
      <w:pPr>
        <w:tabs>
          <w:tab w:val="left" w:pos="708"/>
        </w:tabs>
        <w:spacing w:line="240" w:lineRule="atLeast"/>
        <w:jc w:val="both"/>
        <w:rPr>
          <w:rFonts w:cs="Arial"/>
          <w:szCs w:val="20"/>
          <w:lang w:val="sl-SI"/>
        </w:rPr>
      </w:pPr>
    </w:p>
    <w:p w14:paraId="17985A3D" w14:textId="77777777" w:rsidR="00E556DA" w:rsidRPr="00E90E28" w:rsidRDefault="00E556DA" w:rsidP="00D87D2A">
      <w:pPr>
        <w:numPr>
          <w:ilvl w:val="0"/>
          <w:numId w:val="10"/>
        </w:numPr>
        <w:tabs>
          <w:tab w:val="clear" w:pos="1080"/>
          <w:tab w:val="num" w:pos="0"/>
        </w:tabs>
        <w:spacing w:line="240" w:lineRule="atLeast"/>
        <w:ind w:left="360"/>
        <w:jc w:val="both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>Predstavitev presoje posledic na posamezna področja, če te niso mogle biti celovito predstavljene v predlogu zakona: /</w:t>
      </w:r>
    </w:p>
    <w:p w14:paraId="4ACA9566" w14:textId="77777777" w:rsidR="00E556DA" w:rsidRPr="00E90E28" w:rsidRDefault="00E556DA" w:rsidP="00E556DA">
      <w:pPr>
        <w:pStyle w:val="Odstavekseznama1"/>
        <w:spacing w:line="240" w:lineRule="atLeast"/>
        <w:ind w:left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58D24F95" w14:textId="77777777" w:rsidR="00E556DA" w:rsidRPr="00E90E28" w:rsidRDefault="00E556DA" w:rsidP="00E556DA">
      <w:pPr>
        <w:pStyle w:val="Odstavekseznama1"/>
        <w:spacing w:line="240" w:lineRule="atLeast"/>
        <w:ind w:left="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</w:p>
    <w:p w14:paraId="1743E5B1" w14:textId="77777777" w:rsidR="00E556DA" w:rsidRPr="00E90E28" w:rsidRDefault="00E556DA" w:rsidP="00D87D2A">
      <w:pPr>
        <w:numPr>
          <w:ilvl w:val="0"/>
          <w:numId w:val="11"/>
        </w:numPr>
        <w:tabs>
          <w:tab w:val="clear" w:pos="1440"/>
          <w:tab w:val="num" w:pos="567"/>
        </w:tabs>
        <w:spacing w:line="240" w:lineRule="atLeast"/>
        <w:ind w:left="357" w:hanging="357"/>
        <w:jc w:val="both"/>
        <w:rPr>
          <w:rFonts w:cs="Arial"/>
          <w:b/>
          <w:szCs w:val="20"/>
          <w:lang w:val="sl-SI"/>
        </w:rPr>
      </w:pPr>
      <w:r w:rsidRPr="00E90E28">
        <w:rPr>
          <w:rFonts w:cs="Arial"/>
          <w:b/>
          <w:szCs w:val="20"/>
          <w:lang w:val="sl-SI"/>
        </w:rPr>
        <w:t xml:space="preserve">VSEBINSKA OBRAZLOŽITEV </w:t>
      </w:r>
    </w:p>
    <w:p w14:paraId="22CF739F" w14:textId="77777777" w:rsidR="00E556DA" w:rsidRPr="00E90E28" w:rsidRDefault="00E556DA" w:rsidP="00E556DA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0B9356B5" w14:textId="77777777" w:rsidR="00513D98" w:rsidRDefault="0082480B" w:rsidP="00531A9E">
      <w:pPr>
        <w:autoSpaceDE w:val="0"/>
        <w:autoSpaceDN w:val="0"/>
        <w:adjustRightInd w:val="0"/>
        <w:spacing w:line="240" w:lineRule="auto"/>
        <w:jc w:val="both"/>
        <w:rPr>
          <w:lang w:val="sl-SI"/>
        </w:rPr>
      </w:pPr>
      <w:r w:rsidRPr="00531A9E">
        <w:rPr>
          <w:lang w:val="sl-SI"/>
        </w:rPr>
        <w:t>V Uredbi o notranji organizaciji, sistemizaciji, delovnih mestih in nazivih v organih javne uprave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 xml:space="preserve">in v pravosodnih organih (Uradni list RS, št. 58/03, 81/03, 109/03, 43/04, 58/04 – </w:t>
      </w:r>
      <w:proofErr w:type="spellStart"/>
      <w:r w:rsidRPr="00531A9E">
        <w:rPr>
          <w:lang w:val="sl-SI"/>
        </w:rPr>
        <w:t>popr</w:t>
      </w:r>
      <w:proofErr w:type="spellEnd"/>
      <w:r w:rsidRPr="00531A9E">
        <w:rPr>
          <w:lang w:val="sl-SI"/>
        </w:rPr>
        <w:t>., 138/04,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35/05, 60/05, 72/05, 112/05, 49/06, 140/06, 9/07, 33/08, 66/08, 88/08, 8/09, 63/09, 73/09,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11/10,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42/10, 82/10, 17/11, 14/12, 17/12, 23/12, 98/12, 16/13, 18/13, 36/13, 51/13, 59/13,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14/14, 28/14, 43/14, 76/14, 91/14, 36/15, 57/15, 4/16, 44/16, 58/16, 84/16, 8/17, 40/17, 41/17,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11/19, 25/19,</w:t>
      </w:r>
      <w:r w:rsidR="00531A9E">
        <w:rPr>
          <w:lang w:val="sl-SI"/>
        </w:rPr>
        <w:t xml:space="preserve"> </w:t>
      </w:r>
      <w:r w:rsidRPr="00531A9E">
        <w:rPr>
          <w:lang w:val="sl-SI"/>
        </w:rPr>
        <w:t>54/19, 67/19, 89/20, 104/20, 118/20</w:t>
      </w:r>
      <w:r w:rsidR="002D5D25">
        <w:rPr>
          <w:lang w:val="sl-SI"/>
        </w:rPr>
        <w:t>,</w:t>
      </w:r>
      <w:r w:rsidRPr="00531A9E">
        <w:rPr>
          <w:lang w:val="sl-SI"/>
        </w:rPr>
        <w:t xml:space="preserve"> </w:t>
      </w:r>
      <w:r w:rsidR="002D5D25" w:rsidRPr="001421E8">
        <w:rPr>
          <w:rFonts w:cs="Arial"/>
          <w:szCs w:val="20"/>
          <w:lang w:val="sl-SI"/>
        </w:rPr>
        <w:t>168/20 in 31/21</w:t>
      </w:r>
      <w:r w:rsidRPr="00531A9E">
        <w:rPr>
          <w:lang w:val="sl-SI"/>
        </w:rPr>
        <w:t>) se</w:t>
      </w:r>
      <w:r w:rsidR="00513D98">
        <w:rPr>
          <w:lang w:val="sl-SI"/>
        </w:rPr>
        <w:t xml:space="preserve"> spreminja </w:t>
      </w:r>
      <w:r w:rsidR="002D5D25">
        <w:rPr>
          <w:rFonts w:cs="Arial"/>
          <w:szCs w:val="20"/>
          <w:lang w:val="sl-SI"/>
        </w:rPr>
        <w:t>1</w:t>
      </w:r>
      <w:r w:rsidR="00513D98" w:rsidRPr="00606D3D">
        <w:rPr>
          <w:rFonts w:cs="Arial"/>
          <w:szCs w:val="20"/>
          <w:lang w:val="sl-SI"/>
        </w:rPr>
        <w:t xml:space="preserve">. točka 13. člena, ki ureja vrste direktoratov </w:t>
      </w:r>
      <w:r w:rsidR="00513D98">
        <w:rPr>
          <w:rFonts w:cs="Arial"/>
          <w:szCs w:val="20"/>
          <w:lang w:val="sl-SI"/>
        </w:rPr>
        <w:t xml:space="preserve">v </w:t>
      </w:r>
      <w:r w:rsidR="00513D98" w:rsidRPr="00606D3D">
        <w:rPr>
          <w:rFonts w:cs="Arial"/>
          <w:szCs w:val="20"/>
          <w:lang w:val="sl-SI"/>
        </w:rPr>
        <w:t>Ministrstv</w:t>
      </w:r>
      <w:r w:rsidR="00513D98">
        <w:rPr>
          <w:rFonts w:cs="Arial"/>
          <w:szCs w:val="20"/>
          <w:lang w:val="sl-SI"/>
        </w:rPr>
        <w:t>u</w:t>
      </w:r>
      <w:r w:rsidR="00513D98" w:rsidRPr="00606D3D">
        <w:rPr>
          <w:rFonts w:cs="Arial"/>
          <w:szCs w:val="20"/>
          <w:lang w:val="sl-SI"/>
        </w:rPr>
        <w:t xml:space="preserve"> za</w:t>
      </w:r>
      <w:r w:rsidR="00513D98">
        <w:rPr>
          <w:rFonts w:cs="Arial"/>
          <w:szCs w:val="20"/>
          <w:lang w:val="sl-SI"/>
        </w:rPr>
        <w:t xml:space="preserve"> </w:t>
      </w:r>
      <w:r w:rsidR="002D5D25">
        <w:rPr>
          <w:rFonts w:cs="Arial"/>
          <w:szCs w:val="20"/>
          <w:lang w:val="sl-SI"/>
        </w:rPr>
        <w:t>delo, družino, socialne zadeve in enake možnosti</w:t>
      </w:r>
      <w:r w:rsidR="00513D98">
        <w:rPr>
          <w:rFonts w:cs="Arial"/>
          <w:szCs w:val="20"/>
          <w:lang w:val="sl-SI"/>
        </w:rPr>
        <w:t xml:space="preserve">. </w:t>
      </w:r>
      <w:r w:rsidRPr="00531A9E">
        <w:rPr>
          <w:lang w:val="sl-SI"/>
        </w:rPr>
        <w:t xml:space="preserve"> </w:t>
      </w:r>
    </w:p>
    <w:p w14:paraId="2E721D38" w14:textId="77777777" w:rsidR="00513D98" w:rsidRDefault="00513D98" w:rsidP="00531A9E">
      <w:pPr>
        <w:autoSpaceDE w:val="0"/>
        <w:autoSpaceDN w:val="0"/>
        <w:adjustRightInd w:val="0"/>
        <w:spacing w:line="240" w:lineRule="auto"/>
        <w:jc w:val="both"/>
        <w:rPr>
          <w:lang w:val="sl-SI"/>
        </w:rPr>
      </w:pPr>
    </w:p>
    <w:p w14:paraId="6AD7C169" w14:textId="1B9E6B14" w:rsidR="00BD1C7E" w:rsidRDefault="002D5D25" w:rsidP="00BD1C7E">
      <w:pPr>
        <w:autoSpaceDE w:val="0"/>
        <w:autoSpaceDN w:val="0"/>
        <w:adjustRightInd w:val="0"/>
        <w:spacing w:line="240" w:lineRule="auto"/>
        <w:ind w:right="-15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Na podlagi Zakona o državni upravi  </w:t>
      </w:r>
      <w:r w:rsidRPr="002D5D25">
        <w:rPr>
          <w:lang w:val="sl-SI"/>
        </w:rPr>
        <w:t xml:space="preserve">(Uradni list RS, št. 113/05 – uradno prečiščeno besedilo, 89/07 – </w:t>
      </w:r>
      <w:proofErr w:type="spellStart"/>
      <w:r w:rsidRPr="002D5D25">
        <w:rPr>
          <w:lang w:val="sl-SI"/>
        </w:rPr>
        <w:t>odl</w:t>
      </w:r>
      <w:proofErr w:type="spellEnd"/>
      <w:r w:rsidRPr="002D5D25">
        <w:rPr>
          <w:lang w:val="sl-SI"/>
        </w:rPr>
        <w:t xml:space="preserve">. </w:t>
      </w:r>
      <w:r w:rsidRPr="00FD6CEB">
        <w:rPr>
          <w:lang w:val="sl-SI"/>
        </w:rPr>
        <w:t xml:space="preserve">US, 126/07 – ZUP-E, 48/09, 8/10 – ZUP-G, 8/12 – ZVRS-F, 21/12, 47/13, 12/14, 90/14,  </w:t>
      </w:r>
      <w:r w:rsidRPr="00BD1C7E">
        <w:rPr>
          <w:lang w:val="sl-SI"/>
        </w:rPr>
        <w:t>51/16 in</w:t>
      </w:r>
      <w:r w:rsidR="00BD1C7E" w:rsidRPr="00BD1C7E">
        <w:rPr>
          <w:lang w:val="sl-SI"/>
        </w:rPr>
        <w:t xml:space="preserve"> </w:t>
      </w:r>
      <w:r w:rsidR="00BD1C7E">
        <w:rPr>
          <w:lang w:val="sl-SI"/>
        </w:rPr>
        <w:t>36/21)</w:t>
      </w:r>
      <w:r w:rsidRPr="00FD6CEB">
        <w:rPr>
          <w:lang w:val="sl-SI"/>
        </w:rPr>
        <w:t xml:space="preserve"> </w:t>
      </w:r>
      <w:r w:rsidR="00FD6CEB">
        <w:rPr>
          <w:rFonts w:cs="Arial"/>
          <w:szCs w:val="20"/>
          <w:lang w:val="sl-SI"/>
        </w:rPr>
        <w:t>se namreč d</w:t>
      </w:r>
      <w:r w:rsidR="00FD6CEB" w:rsidRPr="00B313A1">
        <w:rPr>
          <w:rFonts w:cs="Arial"/>
          <w:szCs w:val="20"/>
          <w:lang w:val="sl-SI"/>
        </w:rPr>
        <w:t>elovn</w:t>
      </w:r>
      <w:r w:rsidR="00FD6CEB">
        <w:rPr>
          <w:rFonts w:cs="Arial"/>
          <w:szCs w:val="20"/>
          <w:lang w:val="sl-SI"/>
        </w:rPr>
        <w:t xml:space="preserve">o </w:t>
      </w:r>
      <w:r w:rsidR="00FD6CEB" w:rsidRPr="00B313A1">
        <w:rPr>
          <w:rFonts w:cs="Arial"/>
          <w:szCs w:val="20"/>
          <w:lang w:val="sl-SI"/>
        </w:rPr>
        <w:t>področj</w:t>
      </w:r>
      <w:r w:rsidR="00FD6CEB">
        <w:rPr>
          <w:rFonts w:cs="Arial"/>
          <w:szCs w:val="20"/>
          <w:lang w:val="sl-SI"/>
        </w:rPr>
        <w:t>e</w:t>
      </w:r>
      <w:r w:rsidR="00FD6CEB" w:rsidRPr="00FD6CEB">
        <w:rPr>
          <w:rFonts w:cs="Arial"/>
          <w:szCs w:val="20"/>
          <w:lang w:val="sl-SI"/>
        </w:rPr>
        <w:t xml:space="preserve"> vojnih</w:t>
      </w:r>
      <w:r w:rsidR="00FD6CEB">
        <w:rPr>
          <w:rFonts w:cs="Arial"/>
          <w:szCs w:val="20"/>
          <w:lang w:val="sl-SI"/>
        </w:rPr>
        <w:t xml:space="preserve"> </w:t>
      </w:r>
      <w:r w:rsidR="00FD6CEB" w:rsidRPr="00FD6CEB">
        <w:rPr>
          <w:rFonts w:cs="Arial"/>
          <w:szCs w:val="20"/>
          <w:lang w:val="sl-SI"/>
        </w:rPr>
        <w:t>invalidov, vojnih veteranov in žrtev vojnega nasilja</w:t>
      </w:r>
      <w:r w:rsidR="00FD6CEB">
        <w:rPr>
          <w:rFonts w:cs="Arial"/>
          <w:szCs w:val="20"/>
          <w:lang w:val="sl-SI"/>
        </w:rPr>
        <w:t xml:space="preserve"> </w:t>
      </w:r>
      <w:r w:rsidR="00FD6CEB" w:rsidRPr="00B313A1">
        <w:rPr>
          <w:rFonts w:cs="Arial"/>
          <w:szCs w:val="20"/>
          <w:lang w:val="sl-SI"/>
        </w:rPr>
        <w:t>iz</w:t>
      </w:r>
      <w:r w:rsidR="00FD6CEB">
        <w:rPr>
          <w:rFonts w:cs="Arial"/>
          <w:szCs w:val="20"/>
          <w:lang w:val="sl-SI"/>
        </w:rPr>
        <w:t xml:space="preserve"> dosedanjega </w:t>
      </w:r>
      <w:r w:rsidR="00FD6CEB">
        <w:rPr>
          <w:rFonts w:cs="Arial"/>
          <w:szCs w:val="20"/>
          <w:lang w:val="sl-SI" w:eastAsia="sl-SI"/>
        </w:rPr>
        <w:t>Direktorata za invalide, vojne veterane in žrtve vojnega nasilja</w:t>
      </w:r>
      <w:r w:rsidR="00FD6CEB">
        <w:rPr>
          <w:rFonts w:cs="Arial"/>
          <w:szCs w:val="20"/>
          <w:lang w:val="sl-SI"/>
        </w:rPr>
        <w:t xml:space="preserve">, ki je organiziran v </w:t>
      </w:r>
      <w:r w:rsidR="00FD6CEB" w:rsidRPr="00B313A1">
        <w:rPr>
          <w:rFonts w:cs="Arial"/>
          <w:szCs w:val="20"/>
          <w:lang w:val="sl-SI"/>
        </w:rPr>
        <w:t>Ministrstv</w:t>
      </w:r>
      <w:r w:rsidR="00FD6CEB">
        <w:rPr>
          <w:rFonts w:cs="Arial"/>
          <w:szCs w:val="20"/>
          <w:lang w:val="sl-SI"/>
        </w:rPr>
        <w:t>u</w:t>
      </w:r>
      <w:r w:rsidR="00FD6CEB" w:rsidRPr="00B313A1">
        <w:rPr>
          <w:rFonts w:cs="Arial"/>
          <w:szCs w:val="20"/>
          <w:lang w:val="sl-SI"/>
        </w:rPr>
        <w:t xml:space="preserve"> za delo, družino, socialne zadeve in enake možnosti </w:t>
      </w:r>
      <w:r w:rsidR="00FD6CEB">
        <w:rPr>
          <w:rFonts w:cs="Arial"/>
          <w:szCs w:val="20"/>
          <w:lang w:val="sl-SI"/>
        </w:rPr>
        <w:t xml:space="preserve">prenaša </w:t>
      </w:r>
      <w:r w:rsidR="00FD6CEB" w:rsidRPr="00B313A1">
        <w:rPr>
          <w:rFonts w:cs="Arial"/>
          <w:szCs w:val="20"/>
          <w:lang w:val="sl-SI"/>
        </w:rPr>
        <w:t>na Ministrstvo za obrambo</w:t>
      </w:r>
      <w:r w:rsidR="00FD6CEB">
        <w:rPr>
          <w:rFonts w:cs="Arial"/>
          <w:szCs w:val="20"/>
          <w:lang w:val="sl-SI"/>
        </w:rPr>
        <w:t>, zaradi česar je potrebno spremeniti naziv</w:t>
      </w:r>
      <w:r w:rsidR="00D47DA1">
        <w:rPr>
          <w:rFonts w:cs="Arial"/>
          <w:szCs w:val="20"/>
          <w:lang w:val="sl-SI"/>
        </w:rPr>
        <w:t xml:space="preserve"> direktorata</w:t>
      </w:r>
      <w:r w:rsidR="00FD6CEB">
        <w:rPr>
          <w:rFonts w:cs="Arial"/>
          <w:szCs w:val="20"/>
          <w:lang w:val="sl-SI"/>
        </w:rPr>
        <w:t xml:space="preserve">. </w:t>
      </w:r>
      <w:r w:rsidR="00BD1C7E">
        <w:rPr>
          <w:rFonts w:cs="Arial"/>
          <w:szCs w:val="20"/>
          <w:lang w:val="sl-SI"/>
        </w:rPr>
        <w:t xml:space="preserve">Rok za uskladitev akta o notranji organizaciji in sistemizaciji delovnih mest Ministrstva za delo, </w:t>
      </w:r>
      <w:r w:rsidR="00BD1C7E" w:rsidRPr="00BD1C7E">
        <w:rPr>
          <w:rFonts w:cs="Arial"/>
          <w:szCs w:val="20"/>
          <w:lang w:val="sl-SI"/>
        </w:rPr>
        <w:t xml:space="preserve">družino, socialne zadeve in enake možnosti </w:t>
      </w:r>
      <w:r w:rsidR="00BD1C7E">
        <w:rPr>
          <w:rFonts w:cs="Arial"/>
          <w:szCs w:val="20"/>
          <w:lang w:val="sl-SI"/>
        </w:rPr>
        <w:t xml:space="preserve">je določen </w:t>
      </w:r>
      <w:r w:rsidR="00CD6CF0">
        <w:rPr>
          <w:rFonts w:cs="Arial"/>
          <w:szCs w:val="20"/>
          <w:lang w:val="sl-SI"/>
        </w:rPr>
        <w:t xml:space="preserve">enako kot </w:t>
      </w:r>
      <w:r w:rsidR="00BD1C7E">
        <w:rPr>
          <w:rFonts w:cs="Arial"/>
          <w:szCs w:val="20"/>
          <w:lang w:val="sl-SI"/>
        </w:rPr>
        <w:t xml:space="preserve">v Zakonu o spremembah in dopolnitvah </w:t>
      </w:r>
      <w:r w:rsidR="00BD1C7E">
        <w:rPr>
          <w:rFonts w:cs="Arial"/>
          <w:bCs/>
          <w:szCs w:val="20"/>
          <w:lang w:val="sl-SI"/>
        </w:rPr>
        <w:t xml:space="preserve">Zakona o državni upravi (Uradni list RS, št. 36/21) in sicer se akt zaradi prenosa delovnega področja </w:t>
      </w:r>
      <w:r w:rsidR="00BD1C7E" w:rsidRPr="00FD6CEB">
        <w:rPr>
          <w:rFonts w:cs="Arial"/>
          <w:szCs w:val="20"/>
          <w:lang w:val="sl-SI"/>
        </w:rPr>
        <w:t>vojnih</w:t>
      </w:r>
      <w:r w:rsidR="00BD1C7E">
        <w:rPr>
          <w:rFonts w:cs="Arial"/>
          <w:szCs w:val="20"/>
          <w:lang w:val="sl-SI"/>
        </w:rPr>
        <w:t xml:space="preserve"> </w:t>
      </w:r>
      <w:r w:rsidR="00BD1C7E" w:rsidRPr="00FD6CEB">
        <w:rPr>
          <w:rFonts w:cs="Arial"/>
          <w:szCs w:val="20"/>
          <w:lang w:val="sl-SI"/>
        </w:rPr>
        <w:t>invalidov, vojnih veteranov in žrtev vojnega nasilja</w:t>
      </w:r>
      <w:r w:rsidR="00BD1C7E">
        <w:rPr>
          <w:rFonts w:cs="Arial"/>
          <w:bCs/>
          <w:szCs w:val="20"/>
          <w:lang w:val="sl-SI"/>
        </w:rPr>
        <w:t xml:space="preserve"> uskladi najkasneje do 13. </w:t>
      </w:r>
      <w:r w:rsidR="00F0655A">
        <w:rPr>
          <w:rFonts w:cs="Arial"/>
          <w:bCs/>
          <w:szCs w:val="20"/>
          <w:lang w:val="sl-SI"/>
        </w:rPr>
        <w:t>junija</w:t>
      </w:r>
      <w:r w:rsidR="00BD1C7E">
        <w:rPr>
          <w:rFonts w:cs="Arial"/>
          <w:bCs/>
          <w:szCs w:val="20"/>
          <w:lang w:val="sl-SI"/>
        </w:rPr>
        <w:t xml:space="preserve"> 2021. </w:t>
      </w:r>
    </w:p>
    <w:p w14:paraId="7223D1B4" w14:textId="77777777" w:rsidR="00BD1C7E" w:rsidRPr="00BD1C7E" w:rsidRDefault="00BD1C7E" w:rsidP="00BD1C7E">
      <w:pPr>
        <w:autoSpaceDE w:val="0"/>
        <w:autoSpaceDN w:val="0"/>
        <w:adjustRightInd w:val="0"/>
        <w:spacing w:line="240" w:lineRule="auto"/>
        <w:ind w:right="-150"/>
        <w:jc w:val="both"/>
        <w:rPr>
          <w:rFonts w:cs="Arial"/>
          <w:szCs w:val="20"/>
          <w:lang w:val="sl-SI"/>
        </w:rPr>
      </w:pPr>
    </w:p>
    <w:p w14:paraId="6330CA45" w14:textId="77777777" w:rsidR="0082480B" w:rsidRPr="006009DB" w:rsidRDefault="0082480B" w:rsidP="006009DB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Predlagana uredba začne veljati naslednji dan po objavi v Uradnem listu Republike Slovenije.</w:t>
      </w:r>
    </w:p>
    <w:p w14:paraId="61CC97D9" w14:textId="77777777" w:rsidR="0082480B" w:rsidRDefault="0082480B" w:rsidP="006009DB">
      <w:pPr>
        <w:pStyle w:val="datumtevilka"/>
        <w:spacing w:line="240" w:lineRule="atLeast"/>
        <w:jc w:val="both"/>
        <w:rPr>
          <w:rFonts w:cs="Arial"/>
        </w:rPr>
      </w:pPr>
    </w:p>
    <w:bookmarkEnd w:id="2"/>
    <w:p w14:paraId="00EA576C" w14:textId="77777777" w:rsidR="00AB7388" w:rsidRPr="00606D3D" w:rsidRDefault="00AB7388" w:rsidP="006009DB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  <w:lang w:val="sl-SI"/>
        </w:rPr>
      </w:pPr>
    </w:p>
    <w:sectPr w:rsidR="00AB7388" w:rsidRPr="00606D3D" w:rsidSect="00164064"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0B45E" w14:textId="77777777" w:rsidR="00C943D1" w:rsidRDefault="00C943D1">
      <w:r>
        <w:separator/>
      </w:r>
    </w:p>
  </w:endnote>
  <w:endnote w:type="continuationSeparator" w:id="0">
    <w:p w14:paraId="7462DE71" w14:textId="77777777" w:rsidR="00C943D1" w:rsidRDefault="00C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879D1" w14:textId="77777777" w:rsidR="00C943D1" w:rsidRDefault="00C943D1">
      <w:r>
        <w:separator/>
      </w:r>
    </w:p>
  </w:footnote>
  <w:footnote w:type="continuationSeparator" w:id="0">
    <w:p w14:paraId="0DEB27ED" w14:textId="77777777" w:rsidR="00C943D1" w:rsidRDefault="00C9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4DD8" w14:textId="77777777" w:rsidR="00C943D1" w:rsidRPr="008F3500" w:rsidRDefault="00C943D1" w:rsidP="008C3F6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656386D" wp14:editId="74BF7D6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E98">
      <w:rPr>
        <w:rFonts w:cs="Arial"/>
        <w:noProof/>
        <w:sz w:val="16"/>
        <w:lang w:val="sl-SI" w:eastAsia="sl-SI"/>
      </w:rPr>
      <w:pict w14:anchorId="713A76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3" o:spid="_x0000_s43009" type="#_x0000_t32" style="position:absolute;margin-left:-36.5pt;margin-top:283.5pt;width:1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<w10:wrap anchory="page"/>
        </v:shape>
      </w:pic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47224AB5" w14:textId="77777777" w:rsidR="00C943D1" w:rsidRPr="008F3500" w:rsidRDefault="00C943D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0998E989" w14:textId="77777777" w:rsidR="00C943D1" w:rsidRPr="008F3500" w:rsidRDefault="00C943D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4A43CFD6" w14:textId="77777777" w:rsidR="00C943D1" w:rsidRPr="008F3500" w:rsidRDefault="00C943D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7B86"/>
    <w:multiLevelType w:val="hybridMultilevel"/>
    <w:tmpl w:val="4BEC0DDC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D4249"/>
    <w:multiLevelType w:val="hybridMultilevel"/>
    <w:tmpl w:val="4420FA7E"/>
    <w:lvl w:ilvl="0" w:tplc="660A2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9E4"/>
    <w:multiLevelType w:val="hybridMultilevel"/>
    <w:tmpl w:val="4E0A29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387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63F9F"/>
    <w:multiLevelType w:val="hybridMultilevel"/>
    <w:tmpl w:val="4E0A29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387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42274"/>
    <w:multiLevelType w:val="hybridMultilevel"/>
    <w:tmpl w:val="FED84580"/>
    <w:lvl w:ilvl="0" w:tplc="8FE6C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E0D96"/>
    <w:multiLevelType w:val="hybridMultilevel"/>
    <w:tmpl w:val="E9A4B638"/>
    <w:lvl w:ilvl="0" w:tplc="D83870D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653E3"/>
    <w:multiLevelType w:val="hybridMultilevel"/>
    <w:tmpl w:val="4E0A29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387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C30079"/>
    <w:multiLevelType w:val="hybridMultilevel"/>
    <w:tmpl w:val="77C643B0"/>
    <w:lvl w:ilvl="0" w:tplc="5D0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03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3E41"/>
    <w:multiLevelType w:val="hybridMultilevel"/>
    <w:tmpl w:val="0658DE98"/>
    <w:lvl w:ilvl="0" w:tplc="8FE6C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55D7"/>
    <w:multiLevelType w:val="hybridMultilevel"/>
    <w:tmpl w:val="D1842C46"/>
    <w:lvl w:ilvl="0" w:tplc="8FE6C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E3780"/>
    <w:multiLevelType w:val="hybridMultilevel"/>
    <w:tmpl w:val="DAF0E038"/>
    <w:lvl w:ilvl="0" w:tplc="6B3E865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820000">
      <w:numFmt w:val="bullet"/>
      <w:lvlText w:val="-"/>
      <w:lvlJc w:val="left"/>
      <w:pPr>
        <w:ind w:left="1800" w:hanging="360"/>
      </w:pPr>
      <w:rPr>
        <w:rFonts w:ascii="Arial" w:eastAsia="Mincho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96207"/>
    <w:multiLevelType w:val="hybridMultilevel"/>
    <w:tmpl w:val="4E0A29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387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A49E9"/>
    <w:multiLevelType w:val="hybridMultilevel"/>
    <w:tmpl w:val="F014BFA6"/>
    <w:lvl w:ilvl="0" w:tplc="30C42F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40802"/>
    <w:multiLevelType w:val="hybridMultilevel"/>
    <w:tmpl w:val="D7FC59A0"/>
    <w:lvl w:ilvl="0" w:tplc="5C386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D60AF"/>
    <w:multiLevelType w:val="hybridMultilevel"/>
    <w:tmpl w:val="A7FCDCC6"/>
    <w:lvl w:ilvl="0" w:tplc="8FE6C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19D0"/>
    <w:multiLevelType w:val="hybridMultilevel"/>
    <w:tmpl w:val="AD2CED9C"/>
    <w:lvl w:ilvl="0" w:tplc="CBE83B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7"/>
  </w:num>
  <w:num w:numId="5">
    <w:abstractNumId w:val="22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10"/>
  </w:num>
  <w:num w:numId="11">
    <w:abstractNumId w:val="16"/>
  </w:num>
  <w:num w:numId="12">
    <w:abstractNumId w:val="6"/>
  </w:num>
  <w:num w:numId="13">
    <w:abstractNumId w:val="0"/>
  </w:num>
  <w:num w:numId="14">
    <w:abstractNumId w:val="1"/>
  </w:num>
  <w:num w:numId="15">
    <w:abstractNumId w:val="23"/>
  </w:num>
  <w:num w:numId="16">
    <w:abstractNumId w:val="4"/>
  </w:num>
  <w:num w:numId="17">
    <w:abstractNumId w:val="18"/>
  </w:num>
  <w:num w:numId="18">
    <w:abstractNumId w:val="2"/>
  </w:num>
  <w:num w:numId="19">
    <w:abstractNumId w:val="21"/>
  </w:num>
  <w:num w:numId="20">
    <w:abstractNumId w:val="14"/>
  </w:num>
  <w:num w:numId="21">
    <w:abstractNumId w:val="13"/>
  </w:num>
  <w:num w:numId="22">
    <w:abstractNumId w:val="5"/>
  </w:num>
  <w:num w:numId="23">
    <w:abstractNumId w:val="19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10">
      <o:colormru v:ext="edit" colors="#428299,#529dba"/>
    </o:shapedefaults>
    <o:shapelayout v:ext="edit">
      <o:idmap v:ext="edit" data="42"/>
      <o:rules v:ext="edit">
        <o:r id="V:Rule2" type="connector" idref="#AutoShape 2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EBD"/>
    <w:rsid w:val="00003477"/>
    <w:rsid w:val="00007835"/>
    <w:rsid w:val="000102AB"/>
    <w:rsid w:val="00023A88"/>
    <w:rsid w:val="00030680"/>
    <w:rsid w:val="000469F2"/>
    <w:rsid w:val="000508DA"/>
    <w:rsid w:val="000741D0"/>
    <w:rsid w:val="000858AC"/>
    <w:rsid w:val="00085A25"/>
    <w:rsid w:val="00086883"/>
    <w:rsid w:val="00090F5E"/>
    <w:rsid w:val="00097123"/>
    <w:rsid w:val="000A6401"/>
    <w:rsid w:val="000A7238"/>
    <w:rsid w:val="000B04B5"/>
    <w:rsid w:val="000B221D"/>
    <w:rsid w:val="000B43E9"/>
    <w:rsid w:val="000C4817"/>
    <w:rsid w:val="000D5257"/>
    <w:rsid w:val="000E1055"/>
    <w:rsid w:val="000E4954"/>
    <w:rsid w:val="000E6BB3"/>
    <w:rsid w:val="000F3C57"/>
    <w:rsid w:val="0010270F"/>
    <w:rsid w:val="00127B86"/>
    <w:rsid w:val="00131ADC"/>
    <w:rsid w:val="001357B2"/>
    <w:rsid w:val="0014186A"/>
    <w:rsid w:val="001421E8"/>
    <w:rsid w:val="00152826"/>
    <w:rsid w:val="00162821"/>
    <w:rsid w:val="00164064"/>
    <w:rsid w:val="001653C1"/>
    <w:rsid w:val="00171BBE"/>
    <w:rsid w:val="0017478F"/>
    <w:rsid w:val="001841AB"/>
    <w:rsid w:val="00193CDD"/>
    <w:rsid w:val="00195C95"/>
    <w:rsid w:val="001A1D47"/>
    <w:rsid w:val="001A4922"/>
    <w:rsid w:val="001B3F20"/>
    <w:rsid w:val="001D7876"/>
    <w:rsid w:val="001F1870"/>
    <w:rsid w:val="001F4854"/>
    <w:rsid w:val="00200A71"/>
    <w:rsid w:val="00202A77"/>
    <w:rsid w:val="00205B0B"/>
    <w:rsid w:val="00223A5C"/>
    <w:rsid w:val="002245C8"/>
    <w:rsid w:val="00225723"/>
    <w:rsid w:val="00225BE9"/>
    <w:rsid w:val="00230C1D"/>
    <w:rsid w:val="0025337D"/>
    <w:rsid w:val="00265A58"/>
    <w:rsid w:val="00267E56"/>
    <w:rsid w:val="00271CE5"/>
    <w:rsid w:val="002756E2"/>
    <w:rsid w:val="00282020"/>
    <w:rsid w:val="00291133"/>
    <w:rsid w:val="002A212E"/>
    <w:rsid w:val="002A2B69"/>
    <w:rsid w:val="002B6A1C"/>
    <w:rsid w:val="002D5D25"/>
    <w:rsid w:val="002E1BDD"/>
    <w:rsid w:val="002E3B37"/>
    <w:rsid w:val="002F4DC9"/>
    <w:rsid w:val="002F5D36"/>
    <w:rsid w:val="002F7F44"/>
    <w:rsid w:val="003048F7"/>
    <w:rsid w:val="00311C52"/>
    <w:rsid w:val="003122B5"/>
    <w:rsid w:val="00322B77"/>
    <w:rsid w:val="0034338C"/>
    <w:rsid w:val="003636BF"/>
    <w:rsid w:val="00371442"/>
    <w:rsid w:val="00374894"/>
    <w:rsid w:val="003812D6"/>
    <w:rsid w:val="00383CEE"/>
    <w:rsid w:val="00383D73"/>
    <w:rsid w:val="003845B4"/>
    <w:rsid w:val="00387B1A"/>
    <w:rsid w:val="003A249F"/>
    <w:rsid w:val="003B33C9"/>
    <w:rsid w:val="003C5EE5"/>
    <w:rsid w:val="003D7FAE"/>
    <w:rsid w:val="003E1C74"/>
    <w:rsid w:val="0041541E"/>
    <w:rsid w:val="00417370"/>
    <w:rsid w:val="00420D5D"/>
    <w:rsid w:val="00441D84"/>
    <w:rsid w:val="00456BBD"/>
    <w:rsid w:val="004657EE"/>
    <w:rsid w:val="004716C0"/>
    <w:rsid w:val="00482FF5"/>
    <w:rsid w:val="00483811"/>
    <w:rsid w:val="00493567"/>
    <w:rsid w:val="00494B36"/>
    <w:rsid w:val="00494F3C"/>
    <w:rsid w:val="004B0C4C"/>
    <w:rsid w:val="004C08E7"/>
    <w:rsid w:val="004C51CC"/>
    <w:rsid w:val="004C6782"/>
    <w:rsid w:val="004C67E8"/>
    <w:rsid w:val="004D4100"/>
    <w:rsid w:val="004D55BF"/>
    <w:rsid w:val="004E3164"/>
    <w:rsid w:val="004E3D21"/>
    <w:rsid w:val="00502EC7"/>
    <w:rsid w:val="00506AAD"/>
    <w:rsid w:val="00506CA3"/>
    <w:rsid w:val="00507527"/>
    <w:rsid w:val="00513D98"/>
    <w:rsid w:val="00513DCB"/>
    <w:rsid w:val="00515F7E"/>
    <w:rsid w:val="00517CC0"/>
    <w:rsid w:val="00520025"/>
    <w:rsid w:val="005207C5"/>
    <w:rsid w:val="005245DB"/>
    <w:rsid w:val="00526246"/>
    <w:rsid w:val="00531A9E"/>
    <w:rsid w:val="00532355"/>
    <w:rsid w:val="00544282"/>
    <w:rsid w:val="00550717"/>
    <w:rsid w:val="0055317B"/>
    <w:rsid w:val="005611B3"/>
    <w:rsid w:val="0056486C"/>
    <w:rsid w:val="00567106"/>
    <w:rsid w:val="005851EE"/>
    <w:rsid w:val="00592514"/>
    <w:rsid w:val="005955E9"/>
    <w:rsid w:val="0059644C"/>
    <w:rsid w:val="005C3954"/>
    <w:rsid w:val="005C4596"/>
    <w:rsid w:val="005E0CCE"/>
    <w:rsid w:val="005E1D3C"/>
    <w:rsid w:val="005E657B"/>
    <w:rsid w:val="005E771E"/>
    <w:rsid w:val="005F2642"/>
    <w:rsid w:val="005F52F1"/>
    <w:rsid w:val="005F69A6"/>
    <w:rsid w:val="00600252"/>
    <w:rsid w:val="006009DB"/>
    <w:rsid w:val="006022B7"/>
    <w:rsid w:val="00604E0E"/>
    <w:rsid w:val="00606D3D"/>
    <w:rsid w:val="006077F5"/>
    <w:rsid w:val="00611C9C"/>
    <w:rsid w:val="0062561A"/>
    <w:rsid w:val="00625AE6"/>
    <w:rsid w:val="0063057B"/>
    <w:rsid w:val="006306F0"/>
    <w:rsid w:val="006314F5"/>
    <w:rsid w:val="00632253"/>
    <w:rsid w:val="00632396"/>
    <w:rsid w:val="00635FC7"/>
    <w:rsid w:val="00642714"/>
    <w:rsid w:val="006455CE"/>
    <w:rsid w:val="00655841"/>
    <w:rsid w:val="00655E20"/>
    <w:rsid w:val="00677CDA"/>
    <w:rsid w:val="00693858"/>
    <w:rsid w:val="006A2775"/>
    <w:rsid w:val="006A2E8B"/>
    <w:rsid w:val="006A466D"/>
    <w:rsid w:val="006C5995"/>
    <w:rsid w:val="006D3DBB"/>
    <w:rsid w:val="006D542A"/>
    <w:rsid w:val="006D586E"/>
    <w:rsid w:val="006F2517"/>
    <w:rsid w:val="007215BA"/>
    <w:rsid w:val="00723711"/>
    <w:rsid w:val="007271B7"/>
    <w:rsid w:val="00733017"/>
    <w:rsid w:val="00747384"/>
    <w:rsid w:val="00777A80"/>
    <w:rsid w:val="00783310"/>
    <w:rsid w:val="00797110"/>
    <w:rsid w:val="007A40E1"/>
    <w:rsid w:val="007A4A6D"/>
    <w:rsid w:val="007A70EE"/>
    <w:rsid w:val="007D1BCF"/>
    <w:rsid w:val="007D75CF"/>
    <w:rsid w:val="007E0440"/>
    <w:rsid w:val="007E6DC5"/>
    <w:rsid w:val="00800A1E"/>
    <w:rsid w:val="0082480B"/>
    <w:rsid w:val="0084040B"/>
    <w:rsid w:val="0084629F"/>
    <w:rsid w:val="0084783B"/>
    <w:rsid w:val="00866E80"/>
    <w:rsid w:val="00870006"/>
    <w:rsid w:val="00875353"/>
    <w:rsid w:val="00877FFC"/>
    <w:rsid w:val="0088043C"/>
    <w:rsid w:val="00884497"/>
    <w:rsid w:val="00884889"/>
    <w:rsid w:val="00887D09"/>
    <w:rsid w:val="00890396"/>
    <w:rsid w:val="008906C9"/>
    <w:rsid w:val="008A56C0"/>
    <w:rsid w:val="008B6607"/>
    <w:rsid w:val="008C22B4"/>
    <w:rsid w:val="008C3F6D"/>
    <w:rsid w:val="008C5588"/>
    <w:rsid w:val="008C5738"/>
    <w:rsid w:val="008D04F0"/>
    <w:rsid w:val="008E65EB"/>
    <w:rsid w:val="008E6F8C"/>
    <w:rsid w:val="008F3500"/>
    <w:rsid w:val="008F6391"/>
    <w:rsid w:val="00915C0D"/>
    <w:rsid w:val="00923DD7"/>
    <w:rsid w:val="00924E3C"/>
    <w:rsid w:val="00925D59"/>
    <w:rsid w:val="009349F8"/>
    <w:rsid w:val="009545A3"/>
    <w:rsid w:val="00957770"/>
    <w:rsid w:val="00957C82"/>
    <w:rsid w:val="009612BB"/>
    <w:rsid w:val="00974D16"/>
    <w:rsid w:val="00977F9D"/>
    <w:rsid w:val="00982FE2"/>
    <w:rsid w:val="009913E8"/>
    <w:rsid w:val="0099437B"/>
    <w:rsid w:val="009A2182"/>
    <w:rsid w:val="009B39D0"/>
    <w:rsid w:val="009C740A"/>
    <w:rsid w:val="009D56D3"/>
    <w:rsid w:val="009E0DB1"/>
    <w:rsid w:val="009F0D35"/>
    <w:rsid w:val="00A125C5"/>
    <w:rsid w:val="00A22698"/>
    <w:rsid w:val="00A2451C"/>
    <w:rsid w:val="00A25B32"/>
    <w:rsid w:val="00A3126E"/>
    <w:rsid w:val="00A43405"/>
    <w:rsid w:val="00A460C9"/>
    <w:rsid w:val="00A601AD"/>
    <w:rsid w:val="00A62A29"/>
    <w:rsid w:val="00A65EE7"/>
    <w:rsid w:val="00A70133"/>
    <w:rsid w:val="00A704C4"/>
    <w:rsid w:val="00A71EB2"/>
    <w:rsid w:val="00A770A6"/>
    <w:rsid w:val="00A77B92"/>
    <w:rsid w:val="00A812B1"/>
    <w:rsid w:val="00A813B1"/>
    <w:rsid w:val="00A93C1F"/>
    <w:rsid w:val="00A94AE8"/>
    <w:rsid w:val="00A969E9"/>
    <w:rsid w:val="00AA2DA7"/>
    <w:rsid w:val="00AA6F3A"/>
    <w:rsid w:val="00AB0DC8"/>
    <w:rsid w:val="00AB36C4"/>
    <w:rsid w:val="00AB7388"/>
    <w:rsid w:val="00AC32B2"/>
    <w:rsid w:val="00AD217D"/>
    <w:rsid w:val="00AF051B"/>
    <w:rsid w:val="00AF230C"/>
    <w:rsid w:val="00B115AA"/>
    <w:rsid w:val="00B17141"/>
    <w:rsid w:val="00B31575"/>
    <w:rsid w:val="00B439D1"/>
    <w:rsid w:val="00B61C3F"/>
    <w:rsid w:val="00B64F48"/>
    <w:rsid w:val="00B70EBD"/>
    <w:rsid w:val="00B8547D"/>
    <w:rsid w:val="00BA6CF3"/>
    <w:rsid w:val="00BA7BBC"/>
    <w:rsid w:val="00BB205B"/>
    <w:rsid w:val="00BC500F"/>
    <w:rsid w:val="00BC730E"/>
    <w:rsid w:val="00BD1C7E"/>
    <w:rsid w:val="00BD60D9"/>
    <w:rsid w:val="00BE0659"/>
    <w:rsid w:val="00BF04D9"/>
    <w:rsid w:val="00BF0843"/>
    <w:rsid w:val="00BF208E"/>
    <w:rsid w:val="00C10FDC"/>
    <w:rsid w:val="00C13FCE"/>
    <w:rsid w:val="00C143E2"/>
    <w:rsid w:val="00C250D5"/>
    <w:rsid w:val="00C35666"/>
    <w:rsid w:val="00C36FD6"/>
    <w:rsid w:val="00C71107"/>
    <w:rsid w:val="00C71699"/>
    <w:rsid w:val="00C77CDC"/>
    <w:rsid w:val="00C92898"/>
    <w:rsid w:val="00C943D1"/>
    <w:rsid w:val="00CA4340"/>
    <w:rsid w:val="00CB03D9"/>
    <w:rsid w:val="00CB2D6F"/>
    <w:rsid w:val="00CB71FE"/>
    <w:rsid w:val="00CC3C22"/>
    <w:rsid w:val="00CD1279"/>
    <w:rsid w:val="00CD489C"/>
    <w:rsid w:val="00CD6CF0"/>
    <w:rsid w:val="00CE33EC"/>
    <w:rsid w:val="00CE5238"/>
    <w:rsid w:val="00CE7514"/>
    <w:rsid w:val="00D04267"/>
    <w:rsid w:val="00D06057"/>
    <w:rsid w:val="00D248DE"/>
    <w:rsid w:val="00D402F5"/>
    <w:rsid w:val="00D47DA1"/>
    <w:rsid w:val="00D51D41"/>
    <w:rsid w:val="00D55690"/>
    <w:rsid w:val="00D6321F"/>
    <w:rsid w:val="00D658EF"/>
    <w:rsid w:val="00D811EA"/>
    <w:rsid w:val="00D8542D"/>
    <w:rsid w:val="00D87D2A"/>
    <w:rsid w:val="00D95CE7"/>
    <w:rsid w:val="00DA1F28"/>
    <w:rsid w:val="00DB7EED"/>
    <w:rsid w:val="00DC063B"/>
    <w:rsid w:val="00DC1793"/>
    <w:rsid w:val="00DC65F9"/>
    <w:rsid w:val="00DC6A71"/>
    <w:rsid w:val="00DD4F72"/>
    <w:rsid w:val="00DE7DF1"/>
    <w:rsid w:val="00DF1E0F"/>
    <w:rsid w:val="00E0307B"/>
    <w:rsid w:val="00E0357D"/>
    <w:rsid w:val="00E124C9"/>
    <w:rsid w:val="00E30024"/>
    <w:rsid w:val="00E3087B"/>
    <w:rsid w:val="00E36956"/>
    <w:rsid w:val="00E41472"/>
    <w:rsid w:val="00E556DA"/>
    <w:rsid w:val="00E56231"/>
    <w:rsid w:val="00E64F43"/>
    <w:rsid w:val="00E74CF8"/>
    <w:rsid w:val="00E7513E"/>
    <w:rsid w:val="00E76A2E"/>
    <w:rsid w:val="00E8380E"/>
    <w:rsid w:val="00E86952"/>
    <w:rsid w:val="00E90E28"/>
    <w:rsid w:val="00EA0413"/>
    <w:rsid w:val="00EA2F0F"/>
    <w:rsid w:val="00ED0DB8"/>
    <w:rsid w:val="00ED1C3E"/>
    <w:rsid w:val="00ED6779"/>
    <w:rsid w:val="00F01D9A"/>
    <w:rsid w:val="00F05691"/>
    <w:rsid w:val="00F0655A"/>
    <w:rsid w:val="00F14C39"/>
    <w:rsid w:val="00F21A23"/>
    <w:rsid w:val="00F240BB"/>
    <w:rsid w:val="00F33018"/>
    <w:rsid w:val="00F33D17"/>
    <w:rsid w:val="00F45EB3"/>
    <w:rsid w:val="00F57FED"/>
    <w:rsid w:val="00F6511E"/>
    <w:rsid w:val="00F660D8"/>
    <w:rsid w:val="00F729C0"/>
    <w:rsid w:val="00F8226C"/>
    <w:rsid w:val="00F914FB"/>
    <w:rsid w:val="00F95E98"/>
    <w:rsid w:val="00FA25E5"/>
    <w:rsid w:val="00FA67B0"/>
    <w:rsid w:val="00FB5350"/>
    <w:rsid w:val="00FD6CEB"/>
    <w:rsid w:val="00FE0194"/>
    <w:rsid w:val="00FE744E"/>
    <w:rsid w:val="00FF348A"/>
    <w:rsid w:val="00FF56C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71865B1"/>
  <w15:docId w15:val="{D11FFA96-A4CC-4CA1-9022-34BA27FA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F91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B70EB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B70EBD"/>
    <w:rPr>
      <w:rFonts w:ascii="Arial" w:hAnsi="Arial"/>
      <w:b/>
      <w:sz w:val="22"/>
      <w:szCs w:val="22"/>
    </w:rPr>
  </w:style>
  <w:style w:type="paragraph" w:customStyle="1" w:styleId="Poglavje">
    <w:name w:val="Poglavje"/>
    <w:basedOn w:val="Navaden"/>
    <w:qFormat/>
    <w:rsid w:val="00B70EB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70EB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B70EBD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70EBD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</w:rPr>
  </w:style>
  <w:style w:type="character" w:customStyle="1" w:styleId="OddelekZnak1">
    <w:name w:val="Oddelek Znak1"/>
    <w:link w:val="Oddelek"/>
    <w:rsid w:val="00B70EBD"/>
    <w:rPr>
      <w:rFonts w:ascii="Arial" w:hAnsi="Arial"/>
      <w:b/>
      <w:sz w:val="22"/>
      <w:szCs w:val="22"/>
    </w:rPr>
  </w:style>
  <w:style w:type="paragraph" w:customStyle="1" w:styleId="odstavek1">
    <w:name w:val="odstavek1"/>
    <w:basedOn w:val="Navaden"/>
    <w:rsid w:val="00FE744E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1A4922"/>
    <w:pPr>
      <w:ind w:left="720"/>
      <w:contextualSpacing/>
    </w:pPr>
  </w:style>
  <w:style w:type="paragraph" w:customStyle="1" w:styleId="lennaslov">
    <w:name w:val="lennaslov"/>
    <w:basedOn w:val="Navaden"/>
    <w:rsid w:val="00C7110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C71107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C7110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6D3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D3DBB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6D3D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D3DB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D3DB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D3D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6D3DBB"/>
    <w:rPr>
      <w:rFonts w:ascii="Arial" w:hAnsi="Arial"/>
      <w:b/>
      <w:bCs/>
      <w:lang w:val="en-US" w:eastAsia="en-US"/>
    </w:rPr>
  </w:style>
  <w:style w:type="paragraph" w:customStyle="1" w:styleId="Odstavekseznama1">
    <w:name w:val="Odstavek seznama1"/>
    <w:basedOn w:val="Navaden"/>
    <w:qFormat/>
    <w:rsid w:val="00E556DA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styleId="Golobesedilo">
    <w:name w:val="Plain Text"/>
    <w:basedOn w:val="Navaden"/>
    <w:link w:val="GolobesediloZnak"/>
    <w:rsid w:val="00E556DA"/>
    <w:pPr>
      <w:spacing w:line="240" w:lineRule="auto"/>
      <w:jc w:val="both"/>
    </w:pPr>
    <w:rPr>
      <w:rFonts w:ascii="Courier New" w:eastAsia="Batang" w:hAnsi="Courier New"/>
      <w:szCs w:val="20"/>
      <w:lang w:val="sl-SI" w:eastAsia="ko-KR"/>
    </w:rPr>
  </w:style>
  <w:style w:type="character" w:customStyle="1" w:styleId="GolobesediloZnak">
    <w:name w:val="Golo besedilo Znak"/>
    <w:basedOn w:val="Privzetapisavaodstavka"/>
    <w:link w:val="Golobesedilo"/>
    <w:rsid w:val="00E556DA"/>
    <w:rPr>
      <w:rFonts w:ascii="Courier New" w:eastAsia="Batang" w:hAnsi="Courier New"/>
      <w:lang w:eastAsia="ko-KR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143E2"/>
    <w:rPr>
      <w:color w:val="605E5C"/>
      <w:shd w:val="clear" w:color="auto" w:fill="E1DFDD"/>
    </w:rPr>
  </w:style>
  <w:style w:type="paragraph" w:customStyle="1" w:styleId="tevilnatoka">
    <w:name w:val="tevilnatoka"/>
    <w:basedOn w:val="Navaden"/>
    <w:rsid w:val="009E0D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tevilnotoko">
    <w:name w:val="alineazatevilnotoko"/>
    <w:basedOn w:val="Navaden"/>
    <w:rsid w:val="009E0D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F914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len">
    <w:name w:val="len"/>
    <w:basedOn w:val="Navaden"/>
    <w:rsid w:val="001421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highlight">
    <w:name w:val="highlight"/>
    <w:basedOn w:val="Privzetapisavaodstavka"/>
    <w:rsid w:val="0014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5-01-143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0592C9-1A99-48E3-9950-9925CEB1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Brus</dc:creator>
  <cp:lastModifiedBy>Petra Brus</cp:lastModifiedBy>
  <cp:revision>4</cp:revision>
  <cp:lastPrinted>2021-02-16T13:04:00Z</cp:lastPrinted>
  <dcterms:created xsi:type="dcterms:W3CDTF">2021-03-26T07:15:00Z</dcterms:created>
  <dcterms:modified xsi:type="dcterms:W3CDTF">2021-03-26T07:22:00Z</dcterms:modified>
</cp:coreProperties>
</file>