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53F9" w14:textId="3356DDF8" w:rsidR="007D2E7A" w:rsidRPr="002A587A" w:rsidRDefault="002A587A" w:rsidP="002A587A">
      <w:pPr>
        <w:pStyle w:val="TechnicalBlock"/>
        <w:ind w:left="-1134" w:right="-1134"/>
      </w:pPr>
      <w:bookmarkStart w:id="0" w:name="DW_BM_COVERPAGE"/>
      <w:r>
        <w:pict w14:anchorId="14559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ocument Cover Page.&#10;Document Number: 8901/23 ADD 1.&#10;Subject Codes: PI 58 PHARM 69 COMPET 387 MI 355 IND 209 IA 91 CODEC 751.&#10;Heading: COVER NOTE.&#10;Originator: Secretary-General of the European Commission, signed by Ms Martine DEPREZ, Director.&#10;Recipient: Ms Thérèse BLANCHET, Secretary-General of the Council of the European Union.&#10;Subject: ANNEX to the proposal for a Regulation of the European Parliament and of the Council on compulsory licensing for crisis management and amending Regulation (EC) 816/2006.&#10;Commission Document Number: COM(2023) 224 final.&#10;Preceeding Document Number: Not Set.&#10;Location: Brussels.&#10;Date: 2 May 2023.&#10;Interinstitutional Files: 2023/0129(COD).&#10;Institutional Framework: Council of the European Union.&#10;Language: EN.&#10;Distribution Code: PUBLIC.&#10;GUID: 4893601199905368199_0" style="width:568.5pt;height:438.75pt">
            <v:imagedata r:id="rId7" o:title=""/>
          </v:shape>
        </w:pict>
      </w:r>
      <w:bookmarkEnd w:id="0"/>
    </w:p>
    <w:p w14:paraId="7EEB29BB" w14:textId="266A8A71" w:rsidR="007D2E7A" w:rsidRDefault="007D2E7A" w:rsidP="002A587A">
      <w:pPr>
        <w:pStyle w:val="EntText"/>
        <w:spacing w:before="480"/>
      </w:pPr>
      <w:r w:rsidRPr="007D2E7A">
        <w:t xml:space="preserve">Delegations will find attached document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2A587A" w:rsidRPr="002A587A">
        <w:instrText>COM(2023) 224 final</w:instrText>
      </w:r>
      <w:r>
        <w:instrText xml:space="preserve">" </w:instrText>
      </w:r>
      <w:r>
        <w:fldChar w:fldCharType="separate"/>
      </w:r>
      <w:proofErr w:type="gramStart"/>
      <w:r w:rsidR="002A587A" w:rsidRPr="002A587A">
        <w:t>COM(</w:t>
      </w:r>
      <w:proofErr w:type="gramEnd"/>
      <w:r w:rsidR="002A587A" w:rsidRPr="002A587A">
        <w:t>2023) 224 final</w:t>
      </w:r>
      <w:r>
        <w:fldChar w:fldCharType="end"/>
      </w:r>
      <w:r w:rsidRPr="007D2E7A">
        <w:t>.</w:t>
      </w:r>
    </w:p>
    <w:p w14:paraId="2F38A4A4" w14:textId="77777777" w:rsidR="007D2E7A" w:rsidRDefault="007D2E7A" w:rsidP="007D2E7A">
      <w:pPr>
        <w:pStyle w:val="Lignefinal"/>
      </w:pPr>
    </w:p>
    <w:p w14:paraId="273FC37F" w14:textId="3B9C6AE1" w:rsidR="007D2E7A" w:rsidRDefault="007D2E7A" w:rsidP="002A587A">
      <w:pPr>
        <w:pStyle w:val="pj"/>
        <w:spacing w:before="120"/>
      </w:pPr>
      <w:r w:rsidRPr="007D2E7A">
        <w:t xml:space="preserve">Encl.: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2A587A" w:rsidRPr="002A587A">
        <w:instrText>COM(2023) 224 final</w:instrText>
      </w:r>
      <w:r>
        <w:instrText xml:space="preserve">" </w:instrText>
      </w:r>
      <w:r>
        <w:fldChar w:fldCharType="separate"/>
      </w:r>
      <w:proofErr w:type="gramStart"/>
      <w:r w:rsidR="002A587A" w:rsidRPr="002A587A">
        <w:t>COM(</w:t>
      </w:r>
      <w:proofErr w:type="gramEnd"/>
      <w:r w:rsidR="002A587A" w:rsidRPr="002A587A">
        <w:t>2023) 224 final</w:t>
      </w:r>
      <w:r>
        <w:fldChar w:fldCharType="end"/>
      </w:r>
    </w:p>
    <w:p w14:paraId="31ED4E08" w14:textId="77777777" w:rsidR="007D2E7A" w:rsidRDefault="007D2E7A" w:rsidP="007D2E7A">
      <w:pPr>
        <w:rPr>
          <w:noProof/>
        </w:rPr>
        <w:sectPr w:rsidR="007D2E7A" w:rsidSect="002A5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14:paraId="168DB3BB" w14:textId="3340A649" w:rsidR="00F20723" w:rsidRDefault="002A587A" w:rsidP="00521B0E">
      <w:pPr>
        <w:pStyle w:val="Pagedecouverture"/>
        <w:rPr>
          <w:noProof/>
        </w:rPr>
      </w:pPr>
      <w:r>
        <w:rPr>
          <w:noProof/>
        </w:rPr>
        <w:lastRenderedPageBreak/>
        <w:pict w14:anchorId="7E6D42FE">
          <v:shape id="_x0000_i1026" type="#_x0000_t75" alt="4C84923A-838B-43EF-BE85-C63413209E65" style="width:455.25pt;height:401.25pt">
            <v:imagedata r:id="rId14" o:title=""/>
          </v:shape>
        </w:pict>
      </w:r>
    </w:p>
    <w:p w14:paraId="3964A697" w14:textId="72ADF49A" w:rsidR="00DB5513" w:rsidRPr="00DB5513" w:rsidRDefault="00DB5513" w:rsidP="00DB5513">
      <w:pPr>
        <w:pStyle w:val="Pagedecouverture"/>
        <w:rPr>
          <w:noProof/>
        </w:rPr>
        <w:sectPr w:rsidR="00DB5513" w:rsidRPr="00DB5513" w:rsidSect="00521B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B84733D" w14:textId="1E621725" w:rsidR="00F20723" w:rsidRPr="004610A7" w:rsidRDefault="003B76D1" w:rsidP="004610A7">
      <w:pPr>
        <w:pStyle w:val="Annexetitre"/>
        <w:rPr>
          <w:noProof/>
        </w:rPr>
      </w:pPr>
      <w:r w:rsidRPr="003B76D1">
        <w:rPr>
          <w:noProof/>
        </w:rPr>
        <w:lastRenderedPageBreak/>
        <w:t xml:space="preserve">ANNEX </w:t>
      </w:r>
      <w:r w:rsidR="004610A7">
        <w:rPr>
          <w:noProof/>
        </w:rPr>
        <w:t xml:space="preserve">- </w:t>
      </w:r>
      <w:r w:rsidR="00F20723">
        <w:rPr>
          <w:noProof/>
          <w:lang w:val="en-IE"/>
        </w:rPr>
        <w:t>Crisis or emergency modes referred</w:t>
      </w:r>
      <w:r w:rsidR="00F20723" w:rsidRPr="15F07F49">
        <w:rPr>
          <w:noProof/>
          <w:lang w:val="en-IE"/>
        </w:rPr>
        <w:t xml:space="preserve"> to in Article </w:t>
      </w:r>
      <w:r w:rsidR="00F20723">
        <w:rPr>
          <w:noProof/>
          <w:lang w:val="en-IE"/>
        </w:rPr>
        <w:t>4</w:t>
      </w:r>
      <w:r w:rsidR="00F20723" w:rsidRPr="15F07F49">
        <w:rPr>
          <w:noProof/>
          <w:lang w:val="en-IE"/>
        </w:rPr>
        <w:t xml:space="preserve"> </w:t>
      </w:r>
      <w:r w:rsidR="00F20723">
        <w:rPr>
          <w:noProof/>
          <w:lang w:val="en-IE"/>
        </w:rPr>
        <w:t>and competent advisory bodies as referred to in Article 6(2) are listed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F20723" w14:paraId="2580AB77" w14:textId="77777777" w:rsidTr="00C757F2">
        <w:trPr>
          <w:trHeight w:val="300"/>
        </w:trPr>
        <w:tc>
          <w:tcPr>
            <w:tcW w:w="3020" w:type="dxa"/>
          </w:tcPr>
          <w:p w14:paraId="2A71D6D5" w14:textId="341EA65B" w:rsidR="00F20723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b/>
                <w:bCs/>
                <w:i w:val="0"/>
                <w:noProof/>
                <w:lang w:val="en-IE"/>
              </w:rPr>
            </w:pPr>
            <w:r w:rsidRPr="3D0B5A42">
              <w:rPr>
                <w:b/>
                <w:bCs/>
                <w:i w:val="0"/>
                <w:noProof/>
                <w:lang w:val="en-IE"/>
              </w:rPr>
              <w:t>Union crisis or emergency mechanism</w:t>
            </w:r>
          </w:p>
        </w:tc>
        <w:tc>
          <w:tcPr>
            <w:tcW w:w="3020" w:type="dxa"/>
          </w:tcPr>
          <w:p w14:paraId="6C4B72CF" w14:textId="77777777" w:rsidR="00F20723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b/>
                <w:bCs/>
                <w:i w:val="0"/>
                <w:noProof/>
                <w:lang w:val="en-IE"/>
              </w:rPr>
            </w:pPr>
            <w:r w:rsidRPr="763CC675">
              <w:rPr>
                <w:b/>
                <w:bCs/>
                <w:i w:val="0"/>
                <w:noProof/>
                <w:lang w:val="en-IE"/>
              </w:rPr>
              <w:t>Crisis mode or emergency mode</w:t>
            </w:r>
          </w:p>
          <w:p w14:paraId="25806058" w14:textId="77777777" w:rsidR="00F20723" w:rsidRDefault="00F20723" w:rsidP="00C757F2">
            <w:pPr>
              <w:pStyle w:val="Personnequisigne"/>
              <w:widowControl w:val="0"/>
              <w:rPr>
                <w:noProof/>
                <w:lang w:val="en-IE"/>
              </w:rPr>
            </w:pPr>
          </w:p>
        </w:tc>
        <w:tc>
          <w:tcPr>
            <w:tcW w:w="3020" w:type="dxa"/>
          </w:tcPr>
          <w:p w14:paraId="48FCCE3C" w14:textId="77777777" w:rsidR="00F20723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i w:val="0"/>
                <w:noProof/>
                <w:lang w:val="en-IE"/>
              </w:rPr>
            </w:pPr>
            <w:r w:rsidRPr="763CC675">
              <w:rPr>
                <w:b/>
                <w:bCs/>
                <w:i w:val="0"/>
                <w:noProof/>
                <w:lang w:val="en-IE"/>
              </w:rPr>
              <w:t>Competent Advisory Body</w:t>
            </w:r>
          </w:p>
        </w:tc>
      </w:tr>
      <w:tr w:rsidR="00F20723" w14:paraId="4934D4C5" w14:textId="77777777" w:rsidTr="00C757F2">
        <w:trPr>
          <w:trHeight w:val="300"/>
        </w:trPr>
        <w:tc>
          <w:tcPr>
            <w:tcW w:w="3020" w:type="dxa"/>
          </w:tcPr>
          <w:p w14:paraId="543EBBA3" w14:textId="28514484" w:rsidR="00F20723" w:rsidRPr="00A97D30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  <w:lang w:val="en-IE"/>
              </w:rPr>
            </w:pPr>
            <w:r w:rsidRPr="00A97D30">
              <w:rPr>
                <w:i w:val="0"/>
                <w:iCs/>
                <w:noProof/>
                <w:lang w:val="en-IE"/>
              </w:rPr>
              <w:t xml:space="preserve">Regulation </w:t>
            </w:r>
            <w:r w:rsidR="00623EEF">
              <w:rPr>
                <w:i w:val="0"/>
                <w:iCs/>
                <w:noProof/>
                <w:lang w:val="en-IE"/>
              </w:rPr>
              <w:t>XXX/XX</w:t>
            </w:r>
            <w:r w:rsidRPr="00A97D30">
              <w:rPr>
                <w:i w:val="0"/>
                <w:iCs/>
                <w:noProof/>
                <w:lang w:val="en-IE"/>
              </w:rPr>
              <w:t xml:space="preserve"> of the European Parliament and of the Council establishing a Single Market Emergency Instrument and repealing Council Regulation (EC) 2679/98</w:t>
            </w:r>
            <w:r w:rsidR="00623EEF">
              <w:rPr>
                <w:i w:val="0"/>
                <w:iCs/>
                <w:noProof/>
                <w:lang w:val="en-IE"/>
              </w:rPr>
              <w:t xml:space="preserve"> </w:t>
            </w:r>
            <w:r w:rsidR="00623EEF" w:rsidRPr="00623EEF">
              <w:rPr>
                <w:i w:val="0"/>
                <w:iCs/>
                <w:noProof/>
                <w:lang w:val="en-IE"/>
              </w:rPr>
              <w:t xml:space="preserve">[COM(2022) 459] </w:t>
            </w:r>
          </w:p>
          <w:p w14:paraId="05B13A07" w14:textId="77777777" w:rsidR="00F20723" w:rsidRPr="00A97D30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  <w:lang w:val="en-IE"/>
              </w:rPr>
            </w:pPr>
          </w:p>
        </w:tc>
        <w:tc>
          <w:tcPr>
            <w:tcW w:w="3020" w:type="dxa"/>
          </w:tcPr>
          <w:p w14:paraId="7B0BE1E6" w14:textId="50BE46CE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Single Market emergency mode</w:t>
            </w:r>
            <w:r w:rsidRPr="00A97D30">
              <w:rPr>
                <w:i w:val="0"/>
                <w:iCs/>
                <w:noProof/>
                <w:lang w:val="en-IE"/>
              </w:rPr>
              <w:t xml:space="preserve"> activated by means of a Council implementing act [Article 14 of Regulation </w:t>
            </w:r>
            <w:r w:rsidR="00EB0D84">
              <w:rPr>
                <w:i w:val="0"/>
                <w:iCs/>
                <w:noProof/>
                <w:lang w:val="en-IE"/>
              </w:rPr>
              <w:t>XXX/XX</w:t>
            </w:r>
            <w:r w:rsidRPr="00A97D30">
              <w:rPr>
                <w:i w:val="0"/>
                <w:iCs/>
                <w:noProof/>
                <w:lang w:val="en-IE"/>
              </w:rPr>
              <w:t>]</w:t>
            </w:r>
            <w:r w:rsidR="00623EEF">
              <w:rPr>
                <w:i w:val="0"/>
                <w:iCs/>
                <w:noProof/>
                <w:lang w:val="en-IE"/>
              </w:rPr>
              <w:t xml:space="preserve"> </w:t>
            </w:r>
            <w:r w:rsidR="00623EEF" w:rsidRPr="00623EEF">
              <w:rPr>
                <w:i w:val="0"/>
                <w:iCs/>
                <w:noProof/>
                <w:lang w:val="en-IE"/>
              </w:rPr>
              <w:t xml:space="preserve">[COM(2022) 459] </w:t>
            </w:r>
          </w:p>
        </w:tc>
        <w:tc>
          <w:tcPr>
            <w:tcW w:w="3020" w:type="dxa"/>
          </w:tcPr>
          <w:p w14:paraId="11E64013" w14:textId="2EAF3849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Advisory Group</w:t>
            </w:r>
            <w:r w:rsidRPr="00A97D30">
              <w:rPr>
                <w:i w:val="0"/>
                <w:iCs/>
                <w:noProof/>
                <w:lang w:val="en-IE"/>
              </w:rPr>
              <w:t xml:space="preserve"> [Article 4 of Regulation </w:t>
            </w:r>
            <w:r w:rsidR="00A53A66">
              <w:rPr>
                <w:i w:val="0"/>
                <w:iCs/>
                <w:noProof/>
                <w:lang w:val="en-IE"/>
              </w:rPr>
              <w:t>XXX/XX</w:t>
            </w:r>
            <w:r w:rsidRPr="00A97D30">
              <w:rPr>
                <w:i w:val="0"/>
                <w:iCs/>
                <w:noProof/>
                <w:lang w:val="en-IE"/>
              </w:rPr>
              <w:t>]</w:t>
            </w:r>
            <w:r w:rsidR="00623EEF">
              <w:rPr>
                <w:i w:val="0"/>
                <w:iCs/>
                <w:noProof/>
                <w:lang w:val="en-IE"/>
              </w:rPr>
              <w:t xml:space="preserve"> </w:t>
            </w:r>
            <w:r w:rsidR="00623EEF" w:rsidRPr="00623EEF">
              <w:rPr>
                <w:i w:val="0"/>
                <w:iCs/>
                <w:noProof/>
                <w:lang w:val="en-IE"/>
              </w:rPr>
              <w:t xml:space="preserve">[COM(2022) 459] </w:t>
            </w:r>
          </w:p>
        </w:tc>
      </w:tr>
      <w:tr w:rsidR="00F20723" w14:paraId="20FFAC67" w14:textId="77777777" w:rsidTr="00C757F2">
        <w:trPr>
          <w:trHeight w:val="300"/>
        </w:trPr>
        <w:tc>
          <w:tcPr>
            <w:tcW w:w="3020" w:type="dxa"/>
          </w:tcPr>
          <w:p w14:paraId="0AD3686E" w14:textId="77777777" w:rsidR="00F20723" w:rsidRPr="00A97D30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  <w:lang w:val="en-IE"/>
              </w:rPr>
            </w:pPr>
            <w:r w:rsidRPr="00A97D30">
              <w:rPr>
                <w:i w:val="0"/>
                <w:iCs/>
                <w:noProof/>
                <w:lang w:val="en-IE"/>
              </w:rPr>
              <w:t>Regulation (EU) 2022/2371 of the European Parliament and of the Council of 23 November 2022 on serious cross-border threats to health and repealing Decision No 1082/2013/EU</w:t>
            </w:r>
          </w:p>
          <w:p w14:paraId="6B59F5C9" w14:textId="77777777" w:rsidR="00F20723" w:rsidRPr="00A97D30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  <w:lang w:val="en-IE"/>
              </w:rPr>
            </w:pPr>
          </w:p>
        </w:tc>
        <w:tc>
          <w:tcPr>
            <w:tcW w:w="3020" w:type="dxa"/>
          </w:tcPr>
          <w:p w14:paraId="75371834" w14:textId="77777777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Public health emergency at Union level</w:t>
            </w:r>
            <w:r w:rsidRPr="00A97D30">
              <w:rPr>
                <w:i w:val="0"/>
                <w:iCs/>
                <w:noProof/>
                <w:lang w:val="en-IE"/>
              </w:rPr>
              <w:t xml:space="preserve"> formally recognized by means of a Commission implementing act [Article 23 of Regulation (EU) 2022/2371]</w:t>
            </w:r>
          </w:p>
        </w:tc>
        <w:tc>
          <w:tcPr>
            <w:tcW w:w="3020" w:type="dxa"/>
          </w:tcPr>
          <w:p w14:paraId="5DA86A37" w14:textId="77C0B120" w:rsidR="00F20723" w:rsidRPr="00A97D30" w:rsidRDefault="00B72995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B72995">
              <w:rPr>
                <w:b/>
                <w:bCs/>
                <w:i w:val="0"/>
                <w:iCs/>
                <w:noProof/>
                <w:lang w:val="en-IE"/>
              </w:rPr>
              <w:t>Health</w:t>
            </w:r>
            <w:r>
              <w:rPr>
                <w:b/>
                <w:bCs/>
                <w:i w:val="0"/>
                <w:iCs/>
                <w:noProof/>
                <w:lang w:val="en-IE"/>
              </w:rPr>
              <w:t xml:space="preserve"> </w:t>
            </w:r>
            <w:r w:rsidRPr="00B72995">
              <w:rPr>
                <w:b/>
                <w:bCs/>
                <w:i w:val="0"/>
                <w:iCs/>
                <w:noProof/>
                <w:lang w:val="en-IE"/>
              </w:rPr>
              <w:t>Security Committee</w:t>
            </w:r>
            <w:r>
              <w:rPr>
                <w:b/>
                <w:bCs/>
                <w:i w:val="0"/>
                <w:iCs/>
                <w:noProof/>
                <w:lang w:val="en-IE"/>
              </w:rPr>
              <w:t xml:space="preserve"> </w:t>
            </w:r>
            <w:r w:rsidR="00F20723" w:rsidRPr="00A97D30">
              <w:rPr>
                <w:i w:val="0"/>
                <w:iCs/>
                <w:noProof/>
                <w:lang w:val="en-IE"/>
              </w:rPr>
              <w:t>[Article 4 of Regulation (EU) 2022/2371]</w:t>
            </w:r>
          </w:p>
        </w:tc>
      </w:tr>
      <w:tr w:rsidR="00F20723" w14:paraId="20C0654B" w14:textId="77777777" w:rsidTr="00C757F2">
        <w:trPr>
          <w:trHeight w:val="300"/>
        </w:trPr>
        <w:tc>
          <w:tcPr>
            <w:tcW w:w="3020" w:type="dxa"/>
          </w:tcPr>
          <w:p w14:paraId="0B85BEE4" w14:textId="77777777" w:rsidR="00F20723" w:rsidRPr="00A97D30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  <w:lang w:val="en-IE"/>
              </w:rPr>
            </w:pPr>
            <w:r w:rsidRPr="00A97D30">
              <w:rPr>
                <w:i w:val="0"/>
                <w:iCs/>
                <w:noProof/>
                <w:lang w:val="en-IE"/>
              </w:rPr>
              <w:t>Council Regulation (EU) 2022/2372 of 24 October 2022 on a framework of measures for ensuring the supply of crisis-relevant medical countermeasures in the event of a public health emergency at Union level</w:t>
            </w:r>
          </w:p>
          <w:p w14:paraId="24F8F1A5" w14:textId="77777777" w:rsidR="00F20723" w:rsidRPr="00A97D30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  <w:lang w:val="en-IE"/>
              </w:rPr>
            </w:pPr>
          </w:p>
        </w:tc>
        <w:tc>
          <w:tcPr>
            <w:tcW w:w="3020" w:type="dxa"/>
          </w:tcPr>
          <w:p w14:paraId="7D5AFEFC" w14:textId="77777777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Emergency framework</w:t>
            </w:r>
            <w:r w:rsidRPr="00A97D30">
              <w:rPr>
                <w:i w:val="0"/>
                <w:iCs/>
                <w:noProof/>
                <w:lang w:val="en-IE"/>
              </w:rPr>
              <w:t xml:space="preserve"> activated by the adoption of a Council Regulation [Article 3 of Regulation (EU) 2022/2372]</w:t>
            </w:r>
          </w:p>
        </w:tc>
        <w:tc>
          <w:tcPr>
            <w:tcW w:w="3020" w:type="dxa"/>
          </w:tcPr>
          <w:p w14:paraId="26F504A8" w14:textId="77777777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The Health Crisis Board</w:t>
            </w:r>
            <w:r w:rsidRPr="00A97D30">
              <w:rPr>
                <w:i w:val="0"/>
                <w:iCs/>
                <w:noProof/>
                <w:lang w:val="en-IE"/>
              </w:rPr>
              <w:t xml:space="preserve"> [Article 5 of Regulation (EU) 2022/2372]</w:t>
            </w:r>
          </w:p>
        </w:tc>
      </w:tr>
      <w:tr w:rsidR="00F20723" w14:paraId="39503466" w14:textId="77777777" w:rsidTr="00C757F2">
        <w:trPr>
          <w:trHeight w:val="300"/>
        </w:trPr>
        <w:tc>
          <w:tcPr>
            <w:tcW w:w="3020" w:type="dxa"/>
          </w:tcPr>
          <w:p w14:paraId="0FFAB3EF" w14:textId="37F9BEFA" w:rsidR="00F20723" w:rsidRPr="00A97D30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  <w:lang w:val="en-IE"/>
              </w:rPr>
            </w:pPr>
            <w:r w:rsidRPr="00A97D30">
              <w:rPr>
                <w:i w:val="0"/>
                <w:iCs/>
                <w:noProof/>
                <w:lang w:val="en-IE"/>
              </w:rPr>
              <w:t xml:space="preserve">Regulation </w:t>
            </w:r>
            <w:r w:rsidR="00623EEF">
              <w:rPr>
                <w:i w:val="0"/>
                <w:iCs/>
                <w:noProof/>
                <w:lang w:val="en-IE"/>
              </w:rPr>
              <w:t>XXX/XX</w:t>
            </w:r>
            <w:r>
              <w:rPr>
                <w:i w:val="0"/>
                <w:iCs/>
                <w:noProof/>
                <w:lang w:val="en-IE"/>
              </w:rPr>
              <w:t xml:space="preserve"> </w:t>
            </w:r>
            <w:r w:rsidRPr="00A97D30">
              <w:rPr>
                <w:i w:val="0"/>
                <w:iCs/>
                <w:noProof/>
                <w:lang w:val="en-IE"/>
              </w:rPr>
              <w:t>establishing</w:t>
            </w:r>
            <w:r>
              <w:rPr>
                <w:i w:val="0"/>
                <w:iCs/>
                <w:noProof/>
                <w:lang w:val="en-IE"/>
              </w:rPr>
              <w:t xml:space="preserve"> </w:t>
            </w:r>
            <w:r w:rsidRPr="00A97D30">
              <w:rPr>
                <w:i w:val="0"/>
                <w:iCs/>
                <w:noProof/>
                <w:lang w:val="en-IE"/>
              </w:rPr>
              <w:t>a framework of measures for strengthening Europe's semiconductor ecosystem</w:t>
            </w:r>
            <w:r w:rsidR="00623EEF">
              <w:rPr>
                <w:i w:val="0"/>
                <w:iCs/>
                <w:noProof/>
                <w:lang w:val="en-IE"/>
              </w:rPr>
              <w:t xml:space="preserve"> [</w:t>
            </w:r>
            <w:r w:rsidR="00623EEF" w:rsidRPr="00623EEF">
              <w:rPr>
                <w:i w:val="0"/>
                <w:iCs/>
                <w:noProof/>
                <w:lang w:val="en-IE"/>
              </w:rPr>
              <w:t>COM(2022) 46</w:t>
            </w:r>
            <w:r w:rsidR="00623EEF">
              <w:rPr>
                <w:i w:val="0"/>
                <w:iCs/>
                <w:noProof/>
                <w:lang w:val="en-IE"/>
              </w:rPr>
              <w:t>]</w:t>
            </w:r>
          </w:p>
          <w:p w14:paraId="1FD58874" w14:textId="77777777" w:rsidR="00F20723" w:rsidRPr="00A97D30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  <w:lang w:val="en-IE"/>
              </w:rPr>
            </w:pPr>
          </w:p>
        </w:tc>
        <w:tc>
          <w:tcPr>
            <w:tcW w:w="3020" w:type="dxa"/>
          </w:tcPr>
          <w:p w14:paraId="5DE09F8F" w14:textId="0EFB725B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Crisis stage</w:t>
            </w:r>
            <w:r w:rsidRPr="00A97D30">
              <w:rPr>
                <w:i w:val="0"/>
                <w:iCs/>
                <w:noProof/>
                <w:lang w:val="en-IE"/>
              </w:rPr>
              <w:t xml:space="preserve"> activated by a Commission implementing act [Article 18 of Regulation </w:t>
            </w:r>
            <w:r w:rsidR="00A53A66">
              <w:rPr>
                <w:i w:val="0"/>
                <w:iCs/>
                <w:noProof/>
                <w:lang w:val="en-IE"/>
              </w:rPr>
              <w:t>XXX/XXX</w:t>
            </w:r>
            <w:r w:rsidRPr="00A97D30">
              <w:rPr>
                <w:i w:val="0"/>
                <w:iCs/>
                <w:noProof/>
                <w:lang w:val="en-IE"/>
              </w:rPr>
              <w:t>]</w:t>
            </w:r>
            <w:r w:rsidR="00623EEF">
              <w:rPr>
                <w:i w:val="0"/>
                <w:iCs/>
                <w:noProof/>
                <w:lang w:val="en-IE"/>
              </w:rPr>
              <w:t xml:space="preserve"> [</w:t>
            </w:r>
            <w:r w:rsidR="00623EEF" w:rsidRPr="00623EEF">
              <w:rPr>
                <w:i w:val="0"/>
                <w:iCs/>
                <w:noProof/>
                <w:lang w:val="en-IE"/>
              </w:rPr>
              <w:t>COM(2022) 46</w:t>
            </w:r>
            <w:r w:rsidR="00623EEF">
              <w:rPr>
                <w:i w:val="0"/>
                <w:iCs/>
                <w:noProof/>
                <w:lang w:val="en-IE"/>
              </w:rPr>
              <w:t>]</w:t>
            </w:r>
          </w:p>
        </w:tc>
        <w:tc>
          <w:tcPr>
            <w:tcW w:w="3020" w:type="dxa"/>
          </w:tcPr>
          <w:p w14:paraId="0D560D7D" w14:textId="13A0C741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European Semiconductor Board</w:t>
            </w:r>
            <w:r w:rsidRPr="00A97D30">
              <w:rPr>
                <w:i w:val="0"/>
                <w:iCs/>
                <w:noProof/>
                <w:lang w:val="en-IE"/>
              </w:rPr>
              <w:t xml:space="preserve"> [Article 23 of Regulation </w:t>
            </w:r>
            <w:r w:rsidR="00A53A66">
              <w:rPr>
                <w:i w:val="0"/>
                <w:iCs/>
                <w:noProof/>
                <w:lang w:val="en-IE"/>
              </w:rPr>
              <w:t>XXX/XXX</w:t>
            </w:r>
            <w:r w:rsidRPr="00A97D30">
              <w:rPr>
                <w:i w:val="0"/>
                <w:iCs/>
                <w:noProof/>
                <w:lang w:val="en-IE"/>
              </w:rPr>
              <w:t>]</w:t>
            </w:r>
            <w:r w:rsidR="00623EEF">
              <w:rPr>
                <w:i w:val="0"/>
                <w:iCs/>
                <w:noProof/>
                <w:lang w:val="en-IE"/>
              </w:rPr>
              <w:t xml:space="preserve"> [</w:t>
            </w:r>
            <w:r w:rsidR="00623EEF" w:rsidRPr="00623EEF">
              <w:rPr>
                <w:i w:val="0"/>
                <w:iCs/>
                <w:noProof/>
                <w:lang w:val="en-IE"/>
              </w:rPr>
              <w:t>COM(2022) 46</w:t>
            </w:r>
            <w:r w:rsidR="00623EEF">
              <w:rPr>
                <w:i w:val="0"/>
                <w:iCs/>
                <w:noProof/>
                <w:lang w:val="en-IE"/>
              </w:rPr>
              <w:t>]</w:t>
            </w:r>
          </w:p>
        </w:tc>
      </w:tr>
      <w:tr w:rsidR="00F20723" w14:paraId="43DB3B88" w14:textId="77777777" w:rsidTr="00C757F2">
        <w:trPr>
          <w:trHeight w:val="300"/>
        </w:trPr>
        <w:tc>
          <w:tcPr>
            <w:tcW w:w="3020" w:type="dxa"/>
          </w:tcPr>
          <w:p w14:paraId="54F70B8A" w14:textId="77777777" w:rsidR="00F20723" w:rsidRPr="00A97D30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  <w:lang w:val="en-IE"/>
              </w:rPr>
            </w:pPr>
            <w:r w:rsidRPr="00A97D30">
              <w:rPr>
                <w:i w:val="0"/>
                <w:iCs/>
                <w:noProof/>
                <w:lang w:val="en-IE"/>
              </w:rPr>
              <w:t>Regulation (EU) 2017/1938 of the European Parliament and of the Council of 25 October 2017 concerning measures to safeguard the security of gas supply and repealing Regulation (EU) No 994/2010</w:t>
            </w:r>
          </w:p>
          <w:p w14:paraId="248288D9" w14:textId="77777777" w:rsidR="00F20723" w:rsidRPr="00A97D30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  <w:lang w:val="en-IE"/>
              </w:rPr>
            </w:pPr>
          </w:p>
        </w:tc>
        <w:tc>
          <w:tcPr>
            <w:tcW w:w="3020" w:type="dxa"/>
          </w:tcPr>
          <w:p w14:paraId="3EC8ACE5" w14:textId="77777777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 xml:space="preserve">Union emergency </w:t>
            </w:r>
            <w:r w:rsidRPr="00A97D30">
              <w:rPr>
                <w:i w:val="0"/>
                <w:iCs/>
                <w:noProof/>
                <w:lang w:val="en-IE"/>
              </w:rPr>
              <w:t>declared by the Commission [Article 12 of Regulation (EU) 2017/1938]</w:t>
            </w:r>
          </w:p>
        </w:tc>
        <w:tc>
          <w:tcPr>
            <w:tcW w:w="3020" w:type="dxa"/>
          </w:tcPr>
          <w:p w14:paraId="339DB2A5" w14:textId="77777777" w:rsidR="00F20723" w:rsidRPr="00A97D30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  <w:lang w:val="en-IE"/>
              </w:rPr>
            </w:pPr>
            <w:r w:rsidRPr="00A97D30">
              <w:rPr>
                <w:b/>
                <w:bCs/>
                <w:i w:val="0"/>
                <w:iCs/>
                <w:noProof/>
                <w:lang w:val="en-IE"/>
              </w:rPr>
              <w:t>Gas Coordination Group</w:t>
            </w:r>
            <w:r w:rsidRPr="00A97D30">
              <w:rPr>
                <w:i w:val="0"/>
                <w:iCs/>
                <w:noProof/>
                <w:lang w:val="en-IE"/>
              </w:rPr>
              <w:t xml:space="preserve"> [Article 4 of Regulation (EU) 2017/1938]</w:t>
            </w:r>
          </w:p>
        </w:tc>
      </w:tr>
    </w:tbl>
    <w:p w14:paraId="71C6FCD6" w14:textId="77777777" w:rsidR="00905D22" w:rsidRPr="00F20723" w:rsidRDefault="00905D22" w:rsidP="001C783B">
      <w:pPr>
        <w:rPr>
          <w:noProof/>
        </w:rPr>
      </w:pPr>
    </w:p>
    <w:sectPr w:rsidR="00905D22" w:rsidRPr="00F20723" w:rsidSect="00521B0E">
      <w:footerReference w:type="default" r:id="rId21"/>
      <w:footerReference w:type="first" r:id="rId2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D504" w14:textId="77777777" w:rsidR="00F20723" w:rsidRDefault="00F20723" w:rsidP="00F20723">
      <w:pPr>
        <w:spacing w:before="0" w:after="0"/>
      </w:pPr>
      <w:r>
        <w:separator/>
      </w:r>
    </w:p>
  </w:endnote>
  <w:endnote w:type="continuationSeparator" w:id="0">
    <w:p w14:paraId="64C70366" w14:textId="77777777" w:rsidR="00F20723" w:rsidRDefault="00F20723" w:rsidP="00F20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4E5D" w14:textId="77777777" w:rsidR="002A587A" w:rsidRDefault="002A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2A587A" w:rsidRPr="00D94637" w14:paraId="58EBAD60" w14:textId="77777777" w:rsidTr="002A58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337CE1B5" w14:textId="77777777" w:rsidR="002A587A" w:rsidRPr="00D94637" w:rsidRDefault="002A58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2A587A" w:rsidRPr="00B310DC" w14:paraId="33D97A3B" w14:textId="77777777" w:rsidTr="002A58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646726CC" w14:textId="5D12D913" w:rsidR="002A587A" w:rsidRPr="00AD7BF2" w:rsidRDefault="002A587A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644841AA" w14:textId="77777777" w:rsidR="002A587A" w:rsidRPr="00AD7BF2" w:rsidRDefault="002A587A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430C03A1" w14:textId="3343BC73" w:rsidR="002A587A" w:rsidRPr="002511D8" w:rsidRDefault="002A587A" w:rsidP="00D94637">
          <w:pPr>
            <w:pStyle w:val="FooterText"/>
            <w:jc w:val="center"/>
          </w:pPr>
          <w:r>
            <w:t>BM/</w:t>
          </w:r>
          <w:proofErr w:type="spellStart"/>
          <w:r>
            <w:t>ps</w:t>
          </w:r>
          <w:proofErr w:type="spellEnd"/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3EF40E68" w14:textId="60D2A835" w:rsidR="002A587A" w:rsidRPr="00B310DC" w:rsidRDefault="002A587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2A587A" w:rsidRPr="00D94637" w14:paraId="5037B36D" w14:textId="77777777" w:rsidTr="002A587A">
      <w:trPr>
        <w:jc w:val="center"/>
      </w:trPr>
      <w:tc>
        <w:tcPr>
          <w:tcW w:w="1774" w:type="pct"/>
          <w:shd w:val="clear" w:color="auto" w:fill="auto"/>
        </w:tcPr>
        <w:p w14:paraId="39330A18" w14:textId="77CFA46F" w:rsidR="002A587A" w:rsidRPr="00AD7BF2" w:rsidRDefault="002A58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7616FA54" w14:textId="1B02B46D" w:rsidR="002A587A" w:rsidRPr="00AD7BF2" w:rsidRDefault="002A587A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6A8E70E2" w14:textId="6CB05028" w:rsidR="002A587A" w:rsidRPr="00D94637" w:rsidRDefault="002A587A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758D7E6B" w14:textId="4FC55E43" w:rsidR="002A587A" w:rsidRPr="000310C2" w:rsidRDefault="002A587A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  <w:bookmarkEnd w:id="1"/>
  </w:tbl>
  <w:p w14:paraId="3EC60203" w14:textId="015001F2" w:rsidR="00DB5513" w:rsidRPr="002A587A" w:rsidRDefault="00DB5513" w:rsidP="002A587A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2A587A" w:rsidRPr="00D94637" w14:paraId="1DB6657E" w14:textId="77777777" w:rsidTr="002A587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26B8E1AD" w14:textId="77777777" w:rsidR="002A587A" w:rsidRPr="00D94637" w:rsidRDefault="002A587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A587A" w:rsidRPr="00B310DC" w14:paraId="7D3AAAED" w14:textId="77777777" w:rsidTr="002A587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79605CB9" w14:textId="05A54B02" w:rsidR="002A587A" w:rsidRPr="00AD7BF2" w:rsidRDefault="002A587A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00D23021" w14:textId="77777777" w:rsidR="002A587A" w:rsidRPr="00AD7BF2" w:rsidRDefault="002A587A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1A8D0C7A" w14:textId="318FA259" w:rsidR="002A587A" w:rsidRPr="002511D8" w:rsidRDefault="002A587A" w:rsidP="00D94637">
          <w:pPr>
            <w:pStyle w:val="FooterText"/>
            <w:jc w:val="center"/>
          </w:pPr>
          <w:r>
            <w:t>BM/</w:t>
          </w:r>
          <w:proofErr w:type="spellStart"/>
          <w:r>
            <w:t>ps</w:t>
          </w:r>
          <w:proofErr w:type="spellEnd"/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3024576D" w14:textId="18D121F2" w:rsidR="002A587A" w:rsidRPr="00B310DC" w:rsidRDefault="002A587A" w:rsidP="00D94637">
          <w:pPr>
            <w:pStyle w:val="FooterText"/>
            <w:jc w:val="right"/>
          </w:pPr>
        </w:p>
      </w:tc>
    </w:tr>
    <w:tr w:rsidR="002A587A" w:rsidRPr="00D94637" w14:paraId="5740E0A2" w14:textId="77777777" w:rsidTr="002A587A">
      <w:trPr>
        <w:jc w:val="center"/>
      </w:trPr>
      <w:tc>
        <w:tcPr>
          <w:tcW w:w="1774" w:type="pct"/>
          <w:shd w:val="clear" w:color="auto" w:fill="auto"/>
        </w:tcPr>
        <w:p w14:paraId="4EBC42BE" w14:textId="05E56616" w:rsidR="002A587A" w:rsidRPr="00AD7BF2" w:rsidRDefault="002A587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27593FD4" w14:textId="2FCC033C" w:rsidR="002A587A" w:rsidRPr="00AD7BF2" w:rsidRDefault="002A587A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25F26276" w14:textId="52A22E9C" w:rsidR="002A587A" w:rsidRPr="00D94637" w:rsidRDefault="002A587A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5EB8166B" w14:textId="03AD515F" w:rsidR="002A587A" w:rsidRPr="000310C2" w:rsidRDefault="002A587A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EN</w:t>
          </w:r>
        </w:p>
      </w:tc>
    </w:tr>
  </w:tbl>
  <w:p w14:paraId="272010F1" w14:textId="77777777" w:rsidR="00521B0E" w:rsidRPr="002A587A" w:rsidRDefault="00521B0E" w:rsidP="002A587A">
    <w:pPr>
      <w:pStyle w:val="FooterCounci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2ACF" w14:textId="77777777" w:rsidR="007D2E7A" w:rsidRPr="00521B0E" w:rsidRDefault="007D2E7A" w:rsidP="00521B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5E11" w14:textId="77777777" w:rsidR="007D2E7A" w:rsidRPr="00521B0E" w:rsidRDefault="007D2E7A" w:rsidP="00521B0E">
    <w:pPr>
      <w:pStyle w:val="Footer"/>
      <w:rPr>
        <w:rFonts w:ascii="Arial" w:hAnsi="Arial" w:cs="Arial"/>
        <w:b/>
        <w:sz w:val="48"/>
      </w:rPr>
    </w:pPr>
    <w:r w:rsidRPr="00521B0E">
      <w:rPr>
        <w:rFonts w:ascii="Arial" w:hAnsi="Arial" w:cs="Arial"/>
        <w:b/>
        <w:sz w:val="48"/>
      </w:rPr>
      <w:t>EN</w:t>
    </w:r>
    <w:r w:rsidRPr="00521B0E">
      <w:rPr>
        <w:rFonts w:ascii="Arial" w:hAnsi="Arial" w:cs="Arial"/>
        <w:b/>
        <w:sz w:val="48"/>
      </w:rPr>
      <w:tab/>
    </w:r>
    <w:r w:rsidRPr="00521B0E">
      <w:rPr>
        <w:rFonts w:ascii="Arial" w:hAnsi="Arial" w:cs="Arial"/>
        <w:b/>
        <w:sz w:val="48"/>
      </w:rPr>
      <w:tab/>
    </w:r>
    <w:r w:rsidRPr="00521B0E">
      <w:tab/>
    </w:r>
    <w:proofErr w:type="spellStart"/>
    <w:r w:rsidRPr="00521B0E">
      <w:rPr>
        <w:rFonts w:ascii="Arial" w:hAnsi="Arial" w:cs="Arial"/>
        <w:b/>
        <w:sz w:val="48"/>
      </w:rPr>
      <w:t>EN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6B3B" w14:textId="77777777" w:rsidR="007D2E7A" w:rsidRPr="00521B0E" w:rsidRDefault="007D2E7A" w:rsidP="00521B0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B6CF" w14:textId="590EA1F5" w:rsidR="00521B0E" w:rsidRPr="00521B0E" w:rsidRDefault="00521B0E" w:rsidP="00521B0E">
    <w:pPr>
      <w:pStyle w:val="Footer"/>
      <w:rPr>
        <w:rFonts w:ascii="Arial" w:hAnsi="Arial" w:cs="Arial"/>
        <w:b/>
        <w:sz w:val="48"/>
      </w:rPr>
    </w:pPr>
    <w:r w:rsidRPr="00521B0E">
      <w:rPr>
        <w:rFonts w:ascii="Arial" w:hAnsi="Arial" w:cs="Arial"/>
        <w:b/>
        <w:sz w:val="48"/>
      </w:rPr>
      <w:t>EN</w:t>
    </w:r>
    <w:r w:rsidRPr="00521B0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521B0E">
      <w:tab/>
    </w:r>
    <w:r w:rsidRPr="00521B0E">
      <w:rPr>
        <w:rFonts w:ascii="Arial" w:hAnsi="Arial" w:cs="Arial"/>
        <w:b/>
        <w:sz w:val="48"/>
      </w:rPr>
      <w:t>EN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352D" w14:textId="77777777" w:rsidR="00521B0E" w:rsidRPr="00521B0E" w:rsidRDefault="00521B0E" w:rsidP="0052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D05F" w14:textId="77777777" w:rsidR="00F20723" w:rsidRDefault="00F20723" w:rsidP="00F20723">
      <w:pPr>
        <w:spacing w:before="0" w:after="0"/>
      </w:pPr>
      <w:r>
        <w:separator/>
      </w:r>
    </w:p>
  </w:footnote>
  <w:footnote w:type="continuationSeparator" w:id="0">
    <w:p w14:paraId="50313F07" w14:textId="77777777" w:rsidR="00F20723" w:rsidRDefault="00F20723" w:rsidP="00F207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EA87" w14:textId="77777777" w:rsidR="002A587A" w:rsidRDefault="002A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24D" w14:textId="74DF3FB9" w:rsidR="00521B0E" w:rsidRPr="002A587A" w:rsidRDefault="002A587A" w:rsidP="002A587A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AD3D" w14:textId="156376CC" w:rsidR="00521B0E" w:rsidRPr="002A587A" w:rsidRDefault="002A587A" w:rsidP="002A587A">
    <w:pPr>
      <w:pStyle w:val="HeaderCouncil"/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7577" w14:textId="77777777" w:rsidR="007D2E7A" w:rsidRPr="00521B0E" w:rsidRDefault="007D2E7A" w:rsidP="0052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5D87" w14:textId="77777777" w:rsidR="007D2E7A" w:rsidRPr="00521B0E" w:rsidRDefault="007D2E7A" w:rsidP="00521B0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C147" w14:textId="77777777" w:rsidR="007D2E7A" w:rsidRPr="00521B0E" w:rsidRDefault="007D2E7A" w:rsidP="0052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C50B2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1809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8308D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EA8A5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0DC43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B7EA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9EE6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98AF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EEC9E"/>
    <w:multiLevelType w:val="hybridMultilevel"/>
    <w:tmpl w:val="FFFFFFFF"/>
    <w:lvl w:ilvl="0" w:tplc="25823330">
      <w:start w:val="1"/>
      <w:numFmt w:val="decimal"/>
      <w:lvlText w:val="%1."/>
      <w:lvlJc w:val="left"/>
      <w:pPr>
        <w:ind w:left="720" w:hanging="360"/>
      </w:pPr>
    </w:lvl>
    <w:lvl w:ilvl="1" w:tplc="2A2EA58E">
      <w:start w:val="1"/>
      <w:numFmt w:val="lowerLetter"/>
      <w:lvlText w:val="%2."/>
      <w:lvlJc w:val="left"/>
      <w:pPr>
        <w:ind w:left="1440" w:hanging="360"/>
      </w:pPr>
    </w:lvl>
    <w:lvl w:ilvl="2" w:tplc="CCE85994">
      <w:start w:val="1"/>
      <w:numFmt w:val="lowerRoman"/>
      <w:lvlText w:val="%3."/>
      <w:lvlJc w:val="right"/>
      <w:pPr>
        <w:ind w:left="2160" w:hanging="180"/>
      </w:pPr>
    </w:lvl>
    <w:lvl w:ilvl="3" w:tplc="F9E45B5C">
      <w:start w:val="1"/>
      <w:numFmt w:val="decimal"/>
      <w:lvlText w:val="%4."/>
      <w:lvlJc w:val="left"/>
      <w:pPr>
        <w:ind w:left="2880" w:hanging="360"/>
      </w:pPr>
    </w:lvl>
    <w:lvl w:ilvl="4" w:tplc="66EA9FFA">
      <w:start w:val="1"/>
      <w:numFmt w:val="lowerLetter"/>
      <w:lvlText w:val="%5."/>
      <w:lvlJc w:val="left"/>
      <w:pPr>
        <w:ind w:left="3600" w:hanging="360"/>
      </w:pPr>
    </w:lvl>
    <w:lvl w:ilvl="5" w:tplc="E4587F8E">
      <w:start w:val="1"/>
      <w:numFmt w:val="lowerRoman"/>
      <w:lvlText w:val="%6."/>
      <w:lvlJc w:val="right"/>
      <w:pPr>
        <w:ind w:left="4320" w:hanging="180"/>
      </w:pPr>
    </w:lvl>
    <w:lvl w:ilvl="6" w:tplc="C86207E0">
      <w:start w:val="1"/>
      <w:numFmt w:val="decimal"/>
      <w:lvlText w:val="%7."/>
      <w:lvlJc w:val="left"/>
      <w:pPr>
        <w:ind w:left="5040" w:hanging="360"/>
      </w:pPr>
    </w:lvl>
    <w:lvl w:ilvl="7" w:tplc="58CABEBE">
      <w:start w:val="1"/>
      <w:numFmt w:val="lowerLetter"/>
      <w:lvlText w:val="%8."/>
      <w:lvlJc w:val="left"/>
      <w:pPr>
        <w:ind w:left="5760" w:hanging="360"/>
      </w:pPr>
    </w:lvl>
    <w:lvl w:ilvl="8" w:tplc="06E026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87275775">
    <w:abstractNumId w:val="8"/>
  </w:num>
  <w:num w:numId="2" w16cid:durableId="2037194578">
    <w:abstractNumId w:val="7"/>
  </w:num>
  <w:num w:numId="3" w16cid:durableId="436339768">
    <w:abstractNumId w:val="5"/>
  </w:num>
  <w:num w:numId="4" w16cid:durableId="513690792">
    <w:abstractNumId w:val="4"/>
  </w:num>
  <w:num w:numId="5" w16cid:durableId="1366517834">
    <w:abstractNumId w:val="3"/>
  </w:num>
  <w:num w:numId="6" w16cid:durableId="1590888919">
    <w:abstractNumId w:val="6"/>
  </w:num>
  <w:num w:numId="7" w16cid:durableId="1686785997">
    <w:abstractNumId w:val="2"/>
  </w:num>
  <w:num w:numId="8" w16cid:durableId="74055710">
    <w:abstractNumId w:val="1"/>
  </w:num>
  <w:num w:numId="9" w16cid:durableId="407580066">
    <w:abstractNumId w:val="0"/>
  </w:num>
  <w:num w:numId="10" w16cid:durableId="2139833079">
    <w:abstractNumId w:val="20"/>
  </w:num>
  <w:num w:numId="11" w16cid:durableId="587807523">
    <w:abstractNumId w:val="13"/>
  </w:num>
  <w:num w:numId="12" w16cid:durableId="1075517135">
    <w:abstractNumId w:val="22"/>
  </w:num>
  <w:num w:numId="13" w16cid:durableId="739408289">
    <w:abstractNumId w:val="12"/>
  </w:num>
  <w:num w:numId="14" w16cid:durableId="1212230870">
    <w:abstractNumId w:val="14"/>
  </w:num>
  <w:num w:numId="15" w16cid:durableId="1954362549">
    <w:abstractNumId w:val="15"/>
  </w:num>
  <w:num w:numId="16" w16cid:durableId="976880208">
    <w:abstractNumId w:val="10"/>
  </w:num>
  <w:num w:numId="17" w16cid:durableId="1498767470">
    <w:abstractNumId w:val="21"/>
  </w:num>
  <w:num w:numId="18" w16cid:durableId="341130481">
    <w:abstractNumId w:val="9"/>
  </w:num>
  <w:num w:numId="19" w16cid:durableId="256184211">
    <w:abstractNumId w:val="16"/>
  </w:num>
  <w:num w:numId="20" w16cid:durableId="338779693">
    <w:abstractNumId w:val="18"/>
  </w:num>
  <w:num w:numId="21" w16cid:durableId="2060398727">
    <w:abstractNumId w:val="19"/>
  </w:num>
  <w:num w:numId="22" w16cid:durableId="1500852490">
    <w:abstractNumId w:val="11"/>
  </w:num>
  <w:num w:numId="23" w16cid:durableId="1213076120">
    <w:abstractNumId w:val="17"/>
  </w:num>
  <w:num w:numId="24" w16cid:durableId="169064508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uncil" w:val="true"/>
    <w:docVar w:name="CoverPageOnWordDoc" w:val="false"/>
    <w:docVar w:name="CR_RefLast" w:val="0"/>
    <w:docVar w:name="DocuWriteMetaData" w:val="&lt;metadataset docuwriteversion=&quot;4.8.2&quot; technicalblockguid=&quot;489360119990536819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&gt;_x000d__x000a_    &lt;basicdatatype&gt;_x000d__x000a_      &lt;dgname key=&quot;&quot; /&gt;_x000d__x000a_    &lt;/basicdatatype&gt;_x000d__x000a_  &lt;/metadata&gt;_x000d__x000a_  &lt;metadata key=&quot;md_ContributingService&quot;&gt;_x000d__x000a_    &lt;text&gt;&lt;/text&gt;_x000d__x000a_  &lt;/metadata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3-05-02&lt;/text&gt;_x000d__x000a_  &lt;/metadata&gt;_x000d__x000a_  &lt;metadata key=&quot;md_Prefix&quot;&gt;_x000d__x000a_    &lt;text&gt;&lt;/text&gt;_x000d__x000a_  &lt;/metadata&gt;_x000d__x000a_  &lt;metadata key=&quot;md_DocumentNumber&quot;&gt;_x000d__x000a_    &lt;text&gt;8901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I 58&lt;/text&gt;_x000d__x000a_      &lt;text&gt;PHARM 69&lt;/text&gt;_x000d__x000a_      &lt;text&gt;COMPET 387&lt;/text&gt;_x000d__x000a_      &lt;text&gt;MI 355&lt;/text&gt;_x000d__x000a_      &lt;text&gt;IND 209&lt;/text&gt;_x000d__x000a_      &lt;text&gt;IA 91&lt;/text&gt;_x000d__x000a_      &lt;text&gt;CODEC 7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23/0129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33&quot; text=&quot;Secretary-General of the European Commission, signed by Ms Martine DEPREZ, Director&quot; /&gt;_x000d__x000a_    &lt;/basicdatatype&gt;_x000d__x000a_  &lt;/metadata&gt;_x000d__x000a_  &lt;metadata key=&quot;md_Recipient&quot;&gt;_x000d__x000a_    &lt;basicdatatype&gt;_x000d__x000a_      &lt;recipient key=&quot;re_47&quot; text=&quot;Ms Thérèse BLANCHET, Secretary-General of the Council of the European Union&quot; /&gt;_x000d__x000a_    &lt;/basicdatatype&gt;_x000d__x000a_  &lt;/metadata&gt;_x000d__x000a_  &lt;metadata key=&quot;md_DateOfReceipt&quot;&gt;_x000d__x000a_    &lt;text&gt;2023-04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23) 224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ANNEX to the proposal for a Regulation of the European Parliament and of the Council on compulsory licensing for crisis management and amending Regulation (EC) 816/2006&quot;&gt;&amp;lt;FlowDocument FontFamily=&quot;Segoe UI&quot; FontSize=&quot;12&quot; PagePadding=&quot;2,2,2,2&quot; AllowDrop=&quot;False&quot; xmlns=&quot;http://schemas.microsoft.com/winfx/2006/xaml/presentation&quot;&amp;gt;&amp;lt;Paragraph&amp;gt;ANNEX to the proposal for a Regulation of the European Parliament and of the Council on compulsory licensing for crisis management and amending Regulation (EC) 816/2006&amp;lt;/Paragraph&amp;gt;&amp;lt;/FlowDocument&amp;gt;&lt;/xaml&gt;_x000d__x000a_  &lt;/metadata&gt;_x000d__x000a_  &lt;metadata key=&quot;md_SubjectFootnote&quot; /&gt;_x000d__x000a_  &lt;metadata key=&quot;md_DG&quot;&gt;_x000d__x000a_    &lt;text&gt;COMPET.1&lt;/text&gt;_x000d__x000a_  &lt;/metadata&gt;_x000d__x000a_  &lt;metadata key=&quot;md_Initials&quot;&gt;_x000d__x000a_    &lt;text&gt;BM/ps&lt;/text&gt;_x000d__x000a_  &lt;/metadata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2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ANNEX&lt;/text&gt;_x000d__x000a_  &lt;/metadata&gt;_x000d__x000a_  &lt;metadata key=&quot;md_SourceDocTitle&quot;&gt;_x000d__x000a_    &lt;text&gt;to the _x000d__x000a_proposal for a Regulation of the European Parliament and of the Council _x000d__x000a_on compulsory licensing for crisis management and amending Regulation (EC) 816/2006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NB5&quot; /&gt;_x000d__x000a_  &lt;metadata key=&quot;md_CustomNB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QCDateTime" w:val="2023-04-27 00:57:4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C84923A-838B-43EF-BE85-C63413209E65"/>
    <w:docVar w:name="LW_COVERPAGE_TYPE" w:val="1"/>
    <w:docVar w:name="LW_CROSSREFERENCE" w:val="{SEC(2023) 173 final} - {SWD(2023) 120 final} - {SWD(2023) 121 final} - {SWD(2023) 122 final}"/>
    <w:docVar w:name="LW_DocType" w:val="ANNEX"/>
    <w:docVar w:name="LW_EMISSION" w:val="27.4.2023"/>
    <w:docVar w:name="LW_EMISSION_ISODATE" w:val="2023-04-2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ompulsory licensing for crisis management and amending Regulation (EC) 816/2006 "/>
    <w:docVar w:name="LW_OBJETACTEPRINCIPAL.CP" w:val="on compulsory licensing for crisis management and amending Regulation (EC) 816/2006 "/>
    <w:docVar w:name="LW_PART_NBR" w:val="1"/>
    <w:docVar w:name="LW_PART_NBR_TOTAL" w:val="1"/>
    <w:docVar w:name="LW_REF.INST.NEW" w:val="COM"/>
    <w:docVar w:name="LW_REF.INST.NEW_ADOPTED" w:val="final"/>
    <w:docVar w:name="LW_REF.INST.NEW_TEXT" w:val="(2023) 2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 "/>
    <w:docVar w:name="LW_TYPEACTEPRINCIPAL.CP" w:val="proposal for a Regulation of the European Parliament and of the Council "/>
    <w:docVar w:name="LwApiVersions" w:val="LW4CoDe 1.23.2.0; LW 8.0, Build 20211117"/>
  </w:docVars>
  <w:rsids>
    <w:rsidRoot w:val="00F20723"/>
    <w:rsid w:val="00040973"/>
    <w:rsid w:val="0005281C"/>
    <w:rsid w:val="00106C2A"/>
    <w:rsid w:val="00165C4F"/>
    <w:rsid w:val="0019077A"/>
    <w:rsid w:val="001C07C1"/>
    <w:rsid w:val="001C783B"/>
    <w:rsid w:val="001F343E"/>
    <w:rsid w:val="00240E23"/>
    <w:rsid w:val="002A2681"/>
    <w:rsid w:val="002A587A"/>
    <w:rsid w:val="00312ABB"/>
    <w:rsid w:val="00362200"/>
    <w:rsid w:val="003626A0"/>
    <w:rsid w:val="003734DD"/>
    <w:rsid w:val="003B76D1"/>
    <w:rsid w:val="0043028E"/>
    <w:rsid w:val="00436E8C"/>
    <w:rsid w:val="004610A7"/>
    <w:rsid w:val="00492EB7"/>
    <w:rsid w:val="00521B0E"/>
    <w:rsid w:val="005A6ED7"/>
    <w:rsid w:val="00623EEF"/>
    <w:rsid w:val="00626E37"/>
    <w:rsid w:val="006345A1"/>
    <w:rsid w:val="006A6BCB"/>
    <w:rsid w:val="006D149D"/>
    <w:rsid w:val="00704979"/>
    <w:rsid w:val="00714705"/>
    <w:rsid w:val="00715708"/>
    <w:rsid w:val="00750EAF"/>
    <w:rsid w:val="007842CD"/>
    <w:rsid w:val="007D0D7A"/>
    <w:rsid w:val="007D2E7A"/>
    <w:rsid w:val="008024F4"/>
    <w:rsid w:val="00807DD7"/>
    <w:rsid w:val="00845867"/>
    <w:rsid w:val="008B627B"/>
    <w:rsid w:val="008D6398"/>
    <w:rsid w:val="00905D22"/>
    <w:rsid w:val="00922829"/>
    <w:rsid w:val="00963AC1"/>
    <w:rsid w:val="0098666C"/>
    <w:rsid w:val="00987455"/>
    <w:rsid w:val="009D1E9E"/>
    <w:rsid w:val="00A53A66"/>
    <w:rsid w:val="00A6243B"/>
    <w:rsid w:val="00A71F6D"/>
    <w:rsid w:val="00AD6799"/>
    <w:rsid w:val="00B72995"/>
    <w:rsid w:val="00BA4F3C"/>
    <w:rsid w:val="00BB30BC"/>
    <w:rsid w:val="00BE0629"/>
    <w:rsid w:val="00C67214"/>
    <w:rsid w:val="00C953CA"/>
    <w:rsid w:val="00C97C89"/>
    <w:rsid w:val="00CB6086"/>
    <w:rsid w:val="00D01AC1"/>
    <w:rsid w:val="00D13A43"/>
    <w:rsid w:val="00D328C4"/>
    <w:rsid w:val="00D33986"/>
    <w:rsid w:val="00D72B85"/>
    <w:rsid w:val="00D73090"/>
    <w:rsid w:val="00DA63DF"/>
    <w:rsid w:val="00DB5513"/>
    <w:rsid w:val="00DD6588"/>
    <w:rsid w:val="00E32844"/>
    <w:rsid w:val="00EB0D84"/>
    <w:rsid w:val="00EC0DB5"/>
    <w:rsid w:val="00F20723"/>
    <w:rsid w:val="00F6592C"/>
    <w:rsid w:val="00F7024E"/>
    <w:rsid w:val="00F82260"/>
    <w:rsid w:val="00FD6BEB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464B6B"/>
  <w15:docId w15:val="{B55BF4E5-4818-4A2E-9A3F-85D6E71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HTG,Deloitte,Standard table format,Simple table,Table Grid IDEA,Table Format 1,TabelEcorys,Tabela Renova"/>
    <w:basedOn w:val="TableNormal"/>
    <w:uiPriority w:val="39"/>
    <w:rsid w:val="00F2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7309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73090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730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30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309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30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7309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309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309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3090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6D1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D1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76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2995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2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B0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1B0E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1B0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21B0E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521B0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21B0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21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21B0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21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sid w:val="007D2E7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7D2E7A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7D2E7A"/>
    <w:rPr>
      <w:rFonts w:ascii="Times New Roman" w:hAnsi="Times New Roman" w:cs="Times New Roman"/>
      <w:sz w:val="24"/>
      <w:lang w:val="en-GB"/>
    </w:rPr>
  </w:style>
  <w:style w:type="paragraph" w:customStyle="1" w:styleId="EntText">
    <w:name w:val="EntText"/>
    <w:basedOn w:val="Normal"/>
    <w:rsid w:val="007D2E7A"/>
    <w:pPr>
      <w:spacing w:line="360" w:lineRule="auto"/>
      <w:jc w:val="left"/>
    </w:pPr>
  </w:style>
  <w:style w:type="paragraph" w:customStyle="1" w:styleId="Lignefinal">
    <w:name w:val="Ligne final"/>
    <w:basedOn w:val="Normal"/>
    <w:next w:val="Normal"/>
    <w:rsid w:val="007D2E7A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pj">
    <w:name w:val="p.j."/>
    <w:basedOn w:val="Normal"/>
    <w:link w:val="pjChar"/>
    <w:rsid w:val="007D2E7A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7D2E7A"/>
    <w:rPr>
      <w:rFonts w:ascii="Times New Roman" w:hAnsi="Times New Roman" w:cs="Times New Roman"/>
      <w:sz w:val="24"/>
      <w:lang w:val="en-GB"/>
    </w:rPr>
  </w:style>
  <w:style w:type="paragraph" w:customStyle="1" w:styleId="nbbordered">
    <w:name w:val="nb bordered"/>
    <w:basedOn w:val="Normal"/>
    <w:link w:val="nbborderedChar"/>
    <w:rsid w:val="007D2E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after="160"/>
      <w:ind w:left="480" w:hanging="480"/>
    </w:pPr>
    <w:rPr>
      <w:b/>
    </w:rPr>
  </w:style>
  <w:style w:type="character" w:customStyle="1" w:styleId="nbborderedChar">
    <w:name w:val="nb bordered Char"/>
    <w:basedOn w:val="TechnicalBlockChar"/>
    <w:link w:val="nbbordered"/>
    <w:rsid w:val="007D2E7A"/>
    <w:rPr>
      <w:rFonts w:ascii="Times New Roman" w:hAnsi="Times New Roman" w:cs="Times New Roman"/>
      <w:b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7D2E7A"/>
    <w:pPr>
      <w:spacing w:before="0" w:after="0"/>
    </w:pPr>
    <w:rPr>
      <w:noProof/>
      <w:sz w:val="2"/>
    </w:rPr>
  </w:style>
  <w:style w:type="character" w:customStyle="1" w:styleId="HeaderCouncilChar">
    <w:name w:val="Header Council Char"/>
    <w:basedOn w:val="DefaultParagraphFont"/>
    <w:link w:val="HeaderCouncil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7D2E7A"/>
    <w:pPr>
      <w:spacing w:before="0" w:after="440"/>
    </w:pPr>
    <w:rPr>
      <w:noProof/>
      <w:sz w:val="2"/>
    </w:rPr>
  </w:style>
  <w:style w:type="character" w:customStyle="1" w:styleId="HeaderCouncilLargeChar">
    <w:name w:val="Header Council Large Char"/>
    <w:basedOn w:val="DefaultParagraphFont"/>
    <w:link w:val="HeaderCouncilLarge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7D2E7A"/>
    <w:pPr>
      <w:spacing w:before="0" w:after="0"/>
    </w:pPr>
    <w:rPr>
      <w:noProof/>
      <w:sz w:val="2"/>
    </w:rPr>
  </w:style>
  <w:style w:type="character" w:customStyle="1" w:styleId="FooterCouncilChar">
    <w:name w:val="Footer Council Char"/>
    <w:basedOn w:val="DefaultParagraphFont"/>
    <w:link w:val="FooterCouncil"/>
    <w:rsid w:val="007D2E7A"/>
    <w:rPr>
      <w:rFonts w:ascii="Times New Roman" w:hAnsi="Times New Roman" w:cs="Times New Roman"/>
      <w:noProof/>
      <w:sz w:val="2"/>
      <w:lang w:val="en-GB"/>
    </w:rPr>
  </w:style>
  <w:style w:type="paragraph" w:customStyle="1" w:styleId="FooterText">
    <w:name w:val="Footer Text"/>
    <w:basedOn w:val="Normal"/>
    <w:rsid w:val="007D2E7A"/>
    <w:pPr>
      <w:spacing w:before="0" w:after="0"/>
      <w:jc w:val="left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D2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331</Words>
  <Characters>1923</Characters>
  <Application>Microsoft Office Word</Application>
  <DocSecurity>0</DocSecurity>
  <Lines>128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FOSSOUL Virginie (GROW)</dc:creator>
  <cp:keywords/>
  <dc:description/>
  <cp:lastModifiedBy>SATUE GRACIA Victoria Patricia</cp:lastModifiedBy>
  <cp:revision>4</cp:revision>
  <dcterms:created xsi:type="dcterms:W3CDTF">2023-04-28T15:50:00Z</dcterms:created>
  <dcterms:modified xsi:type="dcterms:W3CDTF">2023-05-02T07:29:00Z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DocuWrite 4.8.2, Build 20230330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2023-03-17T14:38:11Z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514efd36-1dfa-4d23-b121-a60ab473e68e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DocuWrite 4.8.2, Build 20230330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  <property fmtid="{D5CDD505-2E9C-101B-9397-08002B2CF9AE}" pid="21" name="MSIP_Label_b1df41d6-74a9-4a97-809c-213cd32520cc_Enabled">
    <vt:lpwstr>true</vt:lpwstr>
  </property>
  <property fmtid="{D5CDD505-2E9C-101B-9397-08002B2CF9AE}" pid="22" name="MSIP_Label_b1df41d6-74a9-4a97-809c-213cd32520cc_SetDate">
    <vt:lpwstr>2023-04-28T15:50:08Z</vt:lpwstr>
  </property>
  <property fmtid="{D5CDD505-2E9C-101B-9397-08002B2CF9AE}" pid="23" name="MSIP_Label_b1df41d6-74a9-4a97-809c-213cd32520cc_Method">
    <vt:lpwstr>Privileged</vt:lpwstr>
  </property>
  <property fmtid="{D5CDD505-2E9C-101B-9397-08002B2CF9AE}" pid="24" name="MSIP_Label_b1df41d6-74a9-4a97-809c-213cd32520cc_Name">
    <vt:lpwstr>GSCEU - NON PUBLIC Label</vt:lpwstr>
  </property>
  <property fmtid="{D5CDD505-2E9C-101B-9397-08002B2CF9AE}" pid="25" name="MSIP_Label_b1df41d6-74a9-4a97-809c-213cd32520cc_SiteId">
    <vt:lpwstr>03ad1c97-0a4d-4e82-8f93-27291a6a0767</vt:lpwstr>
  </property>
  <property fmtid="{D5CDD505-2E9C-101B-9397-08002B2CF9AE}" pid="26" name="MSIP_Label_b1df41d6-74a9-4a97-809c-213cd32520cc_ActionId">
    <vt:lpwstr>aa74650d-bddc-4868-983e-e3c129731dcc</vt:lpwstr>
  </property>
  <property fmtid="{D5CDD505-2E9C-101B-9397-08002B2CF9AE}" pid="27" name="MSIP_Label_b1df41d6-74a9-4a97-809c-213cd32520cc_ContentBits">
    <vt:lpwstr>0</vt:lpwstr>
  </property>
</Properties>
</file>