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2E357" w14:textId="3B013D79" w:rsidR="00C6592A" w:rsidRPr="00A06738" w:rsidRDefault="00A06738" w:rsidP="00A06738">
      <w:pPr>
        <w:pStyle w:val="TechnicalBlock"/>
        <w:ind w:left="-1134" w:right="-1134"/>
      </w:pPr>
      <w:bookmarkStart w:id="0" w:name="LW_BM_COVERPAGE"/>
      <w:bookmarkStart w:id="1" w:name="DW_BM_COVERPAGE"/>
      <w:r>
        <w:pict w14:anchorId="0461E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ocument Cover Page.&#10;Document Number: 8901/23 ADD 4.&#10;Subject Codes: PI 58 PHARM 69 COMPET 387 MI 355 IND 209 IA 91 CODEC 751.&#10;Heading: COVER NOTE.&#10;Originator: Secretary-General of the European Commission, signed by Ms Martine DEPREZ, Director.&#10;Recipient: Ms Thérèse BLANCHET, Secretary-General of the Council of the European Union.&#10;Subject: COMMISSION STAFF WORKING DOCUMENT IMPACT ASSESSMENT REPORT Accompanying the document Proposal for a Regulation of the European Parliament and of the Council on compulsory licensing for crisis management and amending Regulation (EC) 816/2006.&#10;Commission Document Number: SWD(2023) 121 final.&#10;Preceeding Document Number: Not Set.&#10;Location: Brussels.&#10;Date: 2 May 2023.&#10;Interinstitutional Files: 2023/0129(COD).&#10;Institutional Framework: Council of the European Union.&#10;Language: EN.&#10;Distribution Code: PUBLIC.&#10;GUID: 5743399454692082484_0" style="width:568.5pt;height:465pt">
            <v:imagedata r:id="rId11" o:title=""/>
          </v:shape>
        </w:pict>
      </w:r>
      <w:bookmarkEnd w:id="1"/>
    </w:p>
    <w:p w14:paraId="76E0D8C6" w14:textId="6DEA974D" w:rsidR="00C6592A" w:rsidRDefault="00C6592A" w:rsidP="00A06738">
      <w:pPr>
        <w:pStyle w:val="EntText"/>
        <w:spacing w:before="480"/>
      </w:pPr>
      <w:r w:rsidRPr="00C6592A">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A06738" w:rsidRPr="00A06738">
        <w:instrText>SWD(2023) 121 final</w:instrText>
      </w:r>
      <w:r>
        <w:instrText xml:space="preserve">" </w:instrText>
      </w:r>
      <w:r>
        <w:fldChar w:fldCharType="separate"/>
      </w:r>
      <w:r w:rsidR="00A06738" w:rsidRPr="00A06738">
        <w:t>SWD(2023) 121 final</w:t>
      </w:r>
      <w:r>
        <w:fldChar w:fldCharType="end"/>
      </w:r>
      <w:r w:rsidRPr="00C6592A">
        <w:t>.</w:t>
      </w:r>
    </w:p>
    <w:p w14:paraId="3CC54844" w14:textId="77777777" w:rsidR="00C6592A" w:rsidRDefault="00C6592A" w:rsidP="00C6592A">
      <w:pPr>
        <w:pStyle w:val="Lignefinal"/>
      </w:pPr>
    </w:p>
    <w:p w14:paraId="2BF75282" w14:textId="7E3E0CBB" w:rsidR="00C6592A" w:rsidRDefault="00C6592A" w:rsidP="00A06738">
      <w:pPr>
        <w:pStyle w:val="pj"/>
        <w:spacing w:before="120"/>
      </w:pPr>
      <w:r w:rsidRPr="00C6592A">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A06738" w:rsidRPr="00A06738">
        <w:instrText>SWD(2023) 121 final</w:instrText>
      </w:r>
      <w:r>
        <w:instrText xml:space="preserve">" </w:instrText>
      </w:r>
      <w:r>
        <w:fldChar w:fldCharType="separate"/>
      </w:r>
      <w:r w:rsidR="00A06738" w:rsidRPr="00A06738">
        <w:t>SWD(2023) 121 final</w:t>
      </w:r>
      <w:r>
        <w:fldChar w:fldCharType="end"/>
      </w:r>
    </w:p>
    <w:p w14:paraId="4D6480D1" w14:textId="77777777" w:rsidR="00C6592A" w:rsidRDefault="00C6592A" w:rsidP="00C6592A">
      <w:pPr>
        <w:rPr>
          <w:noProof/>
          <w:lang w:val="en-IE"/>
        </w:rPr>
        <w:sectPr w:rsidR="00C6592A" w:rsidSect="00A06738">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326"/>
        </w:sectPr>
      </w:pPr>
    </w:p>
    <w:p w14:paraId="49BCD8F9" w14:textId="5E32172E" w:rsidR="006B087E" w:rsidRPr="003B11BD" w:rsidRDefault="00A06738" w:rsidP="00BC33EF">
      <w:pPr>
        <w:pStyle w:val="Pagedecouverture"/>
        <w:rPr>
          <w:noProof/>
          <w:lang w:val="en-IE"/>
        </w:rPr>
      </w:pPr>
      <w:r>
        <w:rPr>
          <w:noProof/>
          <w:lang w:val="en-IE"/>
        </w:rPr>
        <w:lastRenderedPageBreak/>
        <w:pict w14:anchorId="151C5896">
          <v:shape id="_x0000_i1026" type="#_x0000_t75" alt="0EFC9388-CE5C-4754-ABDF-7514F88DA909" style="width:455.25pt;height:411.75pt">
            <v:imagedata r:id="rId18" o:title=""/>
          </v:shape>
        </w:pict>
      </w:r>
    </w:p>
    <w:bookmarkEnd w:id="0"/>
    <w:p w14:paraId="6CDCAFA2" w14:textId="77777777" w:rsidR="006B087E" w:rsidRPr="003B11BD" w:rsidRDefault="006B087E" w:rsidP="000E3086">
      <w:pPr>
        <w:pStyle w:val="TOCHeading"/>
        <w:rPr>
          <w:noProof/>
          <w:lang w:val="en-IE"/>
        </w:rPr>
        <w:sectPr w:rsidR="006B087E" w:rsidRPr="003B11BD" w:rsidSect="00BC33EF">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326"/>
        </w:sectPr>
      </w:pPr>
    </w:p>
    <w:p w14:paraId="6ADC0F58" w14:textId="77777777" w:rsidR="00AA6C87" w:rsidRPr="003B11BD" w:rsidRDefault="00AA6C87" w:rsidP="000E3086">
      <w:pPr>
        <w:pStyle w:val="TOCHeading"/>
        <w:rPr>
          <w:noProof/>
          <w:lang w:val="en-IE"/>
        </w:rPr>
      </w:pPr>
    </w:p>
    <w:p w14:paraId="136B9C7A" w14:textId="77777777" w:rsidR="00AA6C87" w:rsidRPr="003B11BD" w:rsidRDefault="00AA6C87" w:rsidP="00AA6C87">
      <w:pPr>
        <w:rPr>
          <w:rFonts w:eastAsia="Times New Roman"/>
          <w:noProof/>
          <w:szCs w:val="20"/>
          <w:lang w:val="en-IE"/>
        </w:rPr>
      </w:pPr>
      <w:r w:rsidRPr="003B11BD">
        <w:rPr>
          <w:noProof/>
          <w:lang w:val="en-IE"/>
        </w:rPr>
        <w:br w:type="page"/>
      </w:r>
    </w:p>
    <w:p w14:paraId="225EA4CD" w14:textId="77777777" w:rsidR="006B087E" w:rsidRPr="003B11BD" w:rsidRDefault="006B087E" w:rsidP="000B1EDB">
      <w:pPr>
        <w:pStyle w:val="TOCHeading"/>
        <w:ind w:right="-171"/>
        <w:rPr>
          <w:noProof/>
          <w:lang w:val="en-IE"/>
        </w:rPr>
      </w:pPr>
      <w:r w:rsidRPr="003B11BD">
        <w:rPr>
          <w:noProof/>
          <w:lang w:val="en-IE"/>
        </w:rPr>
        <w:lastRenderedPageBreak/>
        <w:t>Table of contents</w:t>
      </w:r>
    </w:p>
    <w:p w14:paraId="6A179BCC" w14:textId="0EC167D3" w:rsidR="00921FA3" w:rsidRDefault="00D67B38">
      <w:pPr>
        <w:pStyle w:val="TOC1"/>
        <w:rPr>
          <w:rFonts w:asciiTheme="minorHAnsi" w:eastAsiaTheme="minorEastAsia" w:hAnsiTheme="minorHAnsi" w:cstheme="minorBidi"/>
          <w:caps w:val="0"/>
          <w:noProof/>
          <w:sz w:val="22"/>
          <w:szCs w:val="22"/>
          <w:lang w:eastAsia="en-GB"/>
        </w:rPr>
      </w:pPr>
      <w:r w:rsidRPr="003B11BD">
        <w:rPr>
          <w:caps w:val="0"/>
          <w:noProof/>
          <w:sz w:val="22"/>
          <w:szCs w:val="22"/>
          <w:lang w:val="en-IE"/>
        </w:rPr>
        <w:fldChar w:fldCharType="begin"/>
      </w:r>
      <w:r w:rsidRPr="003B11BD">
        <w:rPr>
          <w:caps w:val="0"/>
          <w:noProof/>
          <w:sz w:val="22"/>
          <w:szCs w:val="22"/>
          <w:lang w:val="en-IE"/>
        </w:rPr>
        <w:instrText xml:space="preserve"> TOC \o "1-3" \h \z \u </w:instrText>
      </w:r>
      <w:r w:rsidRPr="003B11BD">
        <w:rPr>
          <w:caps w:val="0"/>
          <w:noProof/>
          <w:sz w:val="22"/>
          <w:szCs w:val="22"/>
          <w:lang w:val="en-IE"/>
        </w:rPr>
        <w:fldChar w:fldCharType="separate"/>
      </w:r>
      <w:hyperlink w:anchor="_Toc133435341" w:history="1">
        <w:r w:rsidR="00921FA3" w:rsidRPr="00FD2284">
          <w:rPr>
            <w:rStyle w:val="Hyperlink"/>
            <w:noProof/>
            <w:lang w:val="en-IE"/>
          </w:rPr>
          <w:t>1</w:t>
        </w:r>
        <w:r w:rsidR="00921FA3">
          <w:rPr>
            <w:rFonts w:asciiTheme="minorHAnsi" w:eastAsiaTheme="minorEastAsia" w:hAnsiTheme="minorHAnsi" w:cstheme="minorBidi"/>
            <w:caps w:val="0"/>
            <w:noProof/>
            <w:sz w:val="22"/>
            <w:szCs w:val="22"/>
            <w:lang w:eastAsia="en-GB"/>
          </w:rPr>
          <w:tab/>
        </w:r>
        <w:r w:rsidR="00921FA3" w:rsidRPr="00FD2284">
          <w:rPr>
            <w:rStyle w:val="Hyperlink"/>
            <w:noProof/>
            <w:lang w:val="en-IE"/>
          </w:rPr>
          <w:t>Introduction: Political and legal context</w:t>
        </w:r>
        <w:r w:rsidR="00921FA3">
          <w:rPr>
            <w:noProof/>
            <w:webHidden/>
          </w:rPr>
          <w:tab/>
        </w:r>
        <w:r w:rsidR="00C6592A">
          <w:rPr>
            <w:noProof/>
            <w:webHidden/>
          </w:rPr>
          <w:t>4</w:t>
        </w:r>
      </w:hyperlink>
    </w:p>
    <w:p w14:paraId="26C0D733" w14:textId="46DD656B"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42" w:history="1">
        <w:r w:rsidR="00921FA3" w:rsidRPr="00FD2284">
          <w:rPr>
            <w:rStyle w:val="Hyperlink"/>
            <w:noProof/>
            <w:lang w:val="en-IE"/>
          </w:rPr>
          <w:t>1.1</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The political context</w:t>
        </w:r>
        <w:r w:rsidR="00921FA3">
          <w:rPr>
            <w:noProof/>
            <w:webHidden/>
          </w:rPr>
          <w:tab/>
        </w:r>
        <w:r w:rsidR="00C6592A">
          <w:rPr>
            <w:noProof/>
            <w:webHidden/>
          </w:rPr>
          <w:t>4</w:t>
        </w:r>
      </w:hyperlink>
    </w:p>
    <w:p w14:paraId="4F0C7D31" w14:textId="306F409A"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43" w:history="1">
        <w:r w:rsidR="00921FA3" w:rsidRPr="00FD2284">
          <w:rPr>
            <w:rStyle w:val="Hyperlink"/>
            <w:noProof/>
            <w:lang w:val="en-IE"/>
          </w:rPr>
          <w:t>1.2</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The legal context</w:t>
        </w:r>
        <w:r w:rsidR="00921FA3">
          <w:rPr>
            <w:noProof/>
            <w:webHidden/>
          </w:rPr>
          <w:tab/>
        </w:r>
        <w:r w:rsidR="00C6592A">
          <w:rPr>
            <w:noProof/>
            <w:webHidden/>
          </w:rPr>
          <w:t>6</w:t>
        </w:r>
      </w:hyperlink>
    </w:p>
    <w:p w14:paraId="2D2BAD73" w14:textId="3313EB51"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44" w:history="1">
        <w:r w:rsidR="00921FA3" w:rsidRPr="00FD2284">
          <w:rPr>
            <w:rStyle w:val="Hyperlink"/>
            <w:noProof/>
            <w:lang w:val="en-IE"/>
          </w:rPr>
          <w:t>1.3</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Compulsory licence as an incentive or replacement of voluntary agreements</w:t>
        </w:r>
        <w:r w:rsidR="00921FA3">
          <w:rPr>
            <w:noProof/>
            <w:webHidden/>
          </w:rPr>
          <w:tab/>
        </w:r>
        <w:r w:rsidR="00C6592A">
          <w:rPr>
            <w:noProof/>
            <w:webHidden/>
          </w:rPr>
          <w:t>7</w:t>
        </w:r>
      </w:hyperlink>
    </w:p>
    <w:p w14:paraId="7FA9D6C9" w14:textId="4C62B3CE" w:rsidR="00921FA3" w:rsidRDefault="00A06738">
      <w:pPr>
        <w:pStyle w:val="TOC1"/>
        <w:rPr>
          <w:rFonts w:asciiTheme="minorHAnsi" w:eastAsiaTheme="minorEastAsia" w:hAnsiTheme="minorHAnsi" w:cstheme="minorBidi"/>
          <w:caps w:val="0"/>
          <w:noProof/>
          <w:sz w:val="22"/>
          <w:szCs w:val="22"/>
          <w:lang w:eastAsia="en-GB"/>
        </w:rPr>
      </w:pPr>
      <w:hyperlink w:anchor="_Toc133435345" w:history="1">
        <w:r w:rsidR="00921FA3" w:rsidRPr="00FD2284">
          <w:rPr>
            <w:rStyle w:val="Hyperlink"/>
            <w:noProof/>
            <w:lang w:val="en-IE"/>
          </w:rPr>
          <w:t>2</w:t>
        </w:r>
        <w:r w:rsidR="00921FA3">
          <w:rPr>
            <w:rFonts w:asciiTheme="minorHAnsi" w:eastAsiaTheme="minorEastAsia" w:hAnsiTheme="minorHAnsi" w:cstheme="minorBidi"/>
            <w:caps w:val="0"/>
            <w:noProof/>
            <w:sz w:val="22"/>
            <w:szCs w:val="22"/>
            <w:lang w:eastAsia="en-GB"/>
          </w:rPr>
          <w:tab/>
        </w:r>
        <w:r w:rsidR="00921FA3" w:rsidRPr="00FD2284">
          <w:rPr>
            <w:rStyle w:val="Hyperlink"/>
            <w:noProof/>
            <w:lang w:val="en-IE"/>
          </w:rPr>
          <w:t>Problem definition</w:t>
        </w:r>
        <w:r w:rsidR="00921FA3">
          <w:rPr>
            <w:noProof/>
            <w:webHidden/>
          </w:rPr>
          <w:tab/>
        </w:r>
        <w:r w:rsidR="00C6592A">
          <w:rPr>
            <w:noProof/>
            <w:webHidden/>
          </w:rPr>
          <w:t>8</w:t>
        </w:r>
      </w:hyperlink>
    </w:p>
    <w:p w14:paraId="31A1DE32" w14:textId="5EDE0069"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46" w:history="1">
        <w:r w:rsidR="00921FA3" w:rsidRPr="00FD2284">
          <w:rPr>
            <w:rStyle w:val="Hyperlink"/>
            <w:noProof/>
            <w:lang w:val="en-IE"/>
          </w:rPr>
          <w:t>2.1</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What is the problem?</w:t>
        </w:r>
        <w:r w:rsidR="00921FA3">
          <w:rPr>
            <w:noProof/>
            <w:webHidden/>
          </w:rPr>
          <w:tab/>
        </w:r>
        <w:r w:rsidR="00C6592A">
          <w:rPr>
            <w:noProof/>
            <w:webHidden/>
          </w:rPr>
          <w:t>8</w:t>
        </w:r>
      </w:hyperlink>
    </w:p>
    <w:p w14:paraId="29D603B3" w14:textId="17CF615B"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47" w:history="1">
        <w:r w:rsidR="00921FA3" w:rsidRPr="00FD2284">
          <w:rPr>
            <w:rStyle w:val="Hyperlink"/>
            <w:noProof/>
            <w:lang w:val="en-IE"/>
          </w:rPr>
          <w:t>2.2</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Drivers of the problem</w:t>
        </w:r>
        <w:r w:rsidR="00921FA3">
          <w:rPr>
            <w:noProof/>
            <w:webHidden/>
          </w:rPr>
          <w:tab/>
        </w:r>
        <w:r w:rsidR="00C6592A">
          <w:rPr>
            <w:noProof/>
            <w:webHidden/>
          </w:rPr>
          <w:t>11</w:t>
        </w:r>
      </w:hyperlink>
    </w:p>
    <w:p w14:paraId="1258B436" w14:textId="0776A57D"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48" w:history="1">
        <w:r w:rsidR="00921FA3" w:rsidRPr="00FD2284">
          <w:rPr>
            <w:rStyle w:val="Hyperlink"/>
            <w:noProof/>
          </w:rPr>
          <w:t>2.2.1</w:t>
        </w:r>
        <w:r w:rsidR="00921FA3">
          <w:rPr>
            <w:rFonts w:asciiTheme="minorHAnsi" w:eastAsiaTheme="minorEastAsia" w:hAnsiTheme="minorHAnsi" w:cstheme="minorBidi"/>
            <w:noProof/>
            <w:sz w:val="22"/>
            <w:szCs w:val="22"/>
            <w:lang w:eastAsia="en-GB"/>
          </w:rPr>
          <w:tab/>
        </w:r>
        <w:r w:rsidR="00921FA3" w:rsidRPr="00FD2284">
          <w:rPr>
            <w:rStyle w:val="Hyperlink"/>
            <w:noProof/>
          </w:rPr>
          <w:t>Divergent national schemes on compulsory licensing</w:t>
        </w:r>
        <w:r w:rsidR="00921FA3">
          <w:rPr>
            <w:noProof/>
            <w:webHidden/>
          </w:rPr>
          <w:tab/>
        </w:r>
        <w:r w:rsidR="00C6592A">
          <w:rPr>
            <w:noProof/>
            <w:webHidden/>
          </w:rPr>
          <w:t>12</w:t>
        </w:r>
      </w:hyperlink>
    </w:p>
    <w:p w14:paraId="70062859" w14:textId="2FEBED5F"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49" w:history="1">
        <w:r w:rsidR="00921FA3" w:rsidRPr="00FD2284">
          <w:rPr>
            <w:rStyle w:val="Hyperlink"/>
            <w:noProof/>
          </w:rPr>
          <w:t>2.2.2</w:t>
        </w:r>
        <w:r w:rsidR="00921FA3">
          <w:rPr>
            <w:rFonts w:asciiTheme="minorHAnsi" w:eastAsiaTheme="minorEastAsia" w:hAnsiTheme="minorHAnsi" w:cstheme="minorBidi"/>
            <w:noProof/>
            <w:sz w:val="22"/>
            <w:szCs w:val="22"/>
            <w:lang w:eastAsia="en-GB"/>
          </w:rPr>
          <w:tab/>
        </w:r>
        <w:r w:rsidR="00921FA3" w:rsidRPr="00FD2284">
          <w:rPr>
            <w:rStyle w:val="Hyperlink"/>
            <w:noProof/>
          </w:rPr>
          <w:t>Inadequate territorial reach of compulsory licensing</w:t>
        </w:r>
        <w:r w:rsidR="00921FA3">
          <w:rPr>
            <w:noProof/>
            <w:webHidden/>
          </w:rPr>
          <w:tab/>
        </w:r>
        <w:r w:rsidR="00C6592A">
          <w:rPr>
            <w:noProof/>
            <w:webHidden/>
          </w:rPr>
          <w:t>16</w:t>
        </w:r>
      </w:hyperlink>
    </w:p>
    <w:p w14:paraId="3746C908" w14:textId="15E7D55C"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50" w:history="1">
        <w:r w:rsidR="00921FA3" w:rsidRPr="00FD2284">
          <w:rPr>
            <w:rStyle w:val="Hyperlink"/>
            <w:noProof/>
          </w:rPr>
          <w:t>2.2.3</w:t>
        </w:r>
        <w:r w:rsidR="00921FA3">
          <w:rPr>
            <w:rFonts w:asciiTheme="minorHAnsi" w:eastAsiaTheme="minorEastAsia" w:hAnsiTheme="minorHAnsi" w:cstheme="minorBidi"/>
            <w:noProof/>
            <w:sz w:val="22"/>
            <w:szCs w:val="22"/>
            <w:lang w:eastAsia="en-GB"/>
          </w:rPr>
          <w:tab/>
        </w:r>
        <w:r w:rsidR="00921FA3" w:rsidRPr="00FD2284">
          <w:rPr>
            <w:rStyle w:val="Hyperlink"/>
            <w:noProof/>
          </w:rPr>
          <w:t>No dedicated forums to deal with compulsory licensing that could bolster EU resilience in times of crisis</w:t>
        </w:r>
        <w:r w:rsidR="00921FA3">
          <w:rPr>
            <w:noProof/>
            <w:webHidden/>
          </w:rPr>
          <w:tab/>
        </w:r>
        <w:r w:rsidR="00C6592A">
          <w:rPr>
            <w:noProof/>
            <w:webHidden/>
          </w:rPr>
          <w:t>18</w:t>
        </w:r>
      </w:hyperlink>
    </w:p>
    <w:p w14:paraId="319B048F" w14:textId="297A86D9"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51" w:history="1">
        <w:r w:rsidR="00921FA3" w:rsidRPr="00FD2284">
          <w:rPr>
            <w:rStyle w:val="Hyperlink"/>
            <w:noProof/>
            <w:lang w:val="en-IE"/>
          </w:rPr>
          <w:t>2.3</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Consequences of the problem</w:t>
        </w:r>
        <w:r w:rsidR="00921FA3">
          <w:rPr>
            <w:noProof/>
            <w:webHidden/>
          </w:rPr>
          <w:tab/>
        </w:r>
        <w:r w:rsidR="00C6592A">
          <w:rPr>
            <w:noProof/>
            <w:webHidden/>
          </w:rPr>
          <w:t>19</w:t>
        </w:r>
      </w:hyperlink>
    </w:p>
    <w:p w14:paraId="230AB4D2" w14:textId="341092AE"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52" w:history="1">
        <w:r w:rsidR="00921FA3" w:rsidRPr="00FD2284">
          <w:rPr>
            <w:rStyle w:val="Hyperlink"/>
            <w:noProof/>
            <w:lang w:val="en-IE"/>
          </w:rPr>
          <w:t>2.4</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How likely is the problem to persist?</w:t>
        </w:r>
        <w:r w:rsidR="00921FA3">
          <w:rPr>
            <w:noProof/>
            <w:webHidden/>
          </w:rPr>
          <w:tab/>
        </w:r>
        <w:r w:rsidR="00C6592A">
          <w:rPr>
            <w:noProof/>
            <w:webHidden/>
          </w:rPr>
          <w:t>20</w:t>
        </w:r>
      </w:hyperlink>
    </w:p>
    <w:p w14:paraId="6CC7B214" w14:textId="4661EB1B" w:rsidR="00921FA3" w:rsidRDefault="00A06738">
      <w:pPr>
        <w:pStyle w:val="TOC1"/>
        <w:rPr>
          <w:rFonts w:asciiTheme="minorHAnsi" w:eastAsiaTheme="minorEastAsia" w:hAnsiTheme="minorHAnsi" w:cstheme="minorBidi"/>
          <w:caps w:val="0"/>
          <w:noProof/>
          <w:sz w:val="22"/>
          <w:szCs w:val="22"/>
          <w:lang w:eastAsia="en-GB"/>
        </w:rPr>
      </w:pPr>
      <w:hyperlink w:anchor="_Toc133435353" w:history="1">
        <w:r w:rsidR="00921FA3" w:rsidRPr="00FD2284">
          <w:rPr>
            <w:rStyle w:val="Hyperlink"/>
            <w:noProof/>
            <w:lang w:val="en-IE"/>
          </w:rPr>
          <w:t>3</w:t>
        </w:r>
        <w:r w:rsidR="00921FA3">
          <w:rPr>
            <w:rFonts w:asciiTheme="minorHAnsi" w:eastAsiaTheme="minorEastAsia" w:hAnsiTheme="minorHAnsi" w:cstheme="minorBidi"/>
            <w:caps w:val="0"/>
            <w:noProof/>
            <w:sz w:val="22"/>
            <w:szCs w:val="22"/>
            <w:lang w:eastAsia="en-GB"/>
          </w:rPr>
          <w:tab/>
        </w:r>
        <w:r w:rsidR="00921FA3" w:rsidRPr="00FD2284">
          <w:rPr>
            <w:rStyle w:val="Hyperlink"/>
            <w:noProof/>
            <w:lang w:val="en-IE"/>
          </w:rPr>
          <w:t>Why should the EU act?</w:t>
        </w:r>
        <w:r w:rsidR="00921FA3">
          <w:rPr>
            <w:noProof/>
            <w:webHidden/>
          </w:rPr>
          <w:tab/>
        </w:r>
        <w:r w:rsidR="00C6592A">
          <w:rPr>
            <w:noProof/>
            <w:webHidden/>
          </w:rPr>
          <w:t>21</w:t>
        </w:r>
      </w:hyperlink>
    </w:p>
    <w:p w14:paraId="4407A8A5" w14:textId="565C5251"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54" w:history="1">
        <w:r w:rsidR="00921FA3" w:rsidRPr="00FD2284">
          <w:rPr>
            <w:rStyle w:val="Hyperlink"/>
            <w:noProof/>
            <w:lang w:val="en-IE"/>
          </w:rPr>
          <w:t>3.1</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Legal basis</w:t>
        </w:r>
        <w:r w:rsidR="00921FA3">
          <w:rPr>
            <w:noProof/>
            <w:webHidden/>
          </w:rPr>
          <w:tab/>
        </w:r>
        <w:r w:rsidR="00C6592A">
          <w:rPr>
            <w:noProof/>
            <w:webHidden/>
          </w:rPr>
          <w:t>21</w:t>
        </w:r>
      </w:hyperlink>
    </w:p>
    <w:p w14:paraId="74DD93AF" w14:textId="518AE1A9"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55" w:history="1">
        <w:r w:rsidR="00921FA3" w:rsidRPr="00FD2284">
          <w:rPr>
            <w:rStyle w:val="Hyperlink"/>
            <w:noProof/>
            <w:lang w:val="en-IE"/>
          </w:rPr>
          <w:t>3.2</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Subsidiarity: Necessity of EU action</w:t>
        </w:r>
        <w:r w:rsidR="00921FA3">
          <w:rPr>
            <w:noProof/>
            <w:webHidden/>
          </w:rPr>
          <w:tab/>
        </w:r>
        <w:r w:rsidR="00C6592A">
          <w:rPr>
            <w:noProof/>
            <w:webHidden/>
          </w:rPr>
          <w:t>21</w:t>
        </w:r>
      </w:hyperlink>
    </w:p>
    <w:p w14:paraId="7377A74B" w14:textId="13B22477"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56" w:history="1">
        <w:r w:rsidR="00921FA3" w:rsidRPr="00FD2284">
          <w:rPr>
            <w:rStyle w:val="Hyperlink"/>
            <w:noProof/>
            <w:lang w:val="en-IE"/>
          </w:rPr>
          <w:t>3.3</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Subsidiarity: Added value of EU action</w:t>
        </w:r>
        <w:r w:rsidR="00921FA3">
          <w:rPr>
            <w:noProof/>
            <w:webHidden/>
          </w:rPr>
          <w:tab/>
        </w:r>
        <w:r w:rsidR="00C6592A">
          <w:rPr>
            <w:noProof/>
            <w:webHidden/>
          </w:rPr>
          <w:t>21</w:t>
        </w:r>
      </w:hyperlink>
    </w:p>
    <w:p w14:paraId="5059D8DD" w14:textId="585CB555" w:rsidR="00921FA3" w:rsidRDefault="00A06738">
      <w:pPr>
        <w:pStyle w:val="TOC1"/>
        <w:rPr>
          <w:rFonts w:asciiTheme="minorHAnsi" w:eastAsiaTheme="minorEastAsia" w:hAnsiTheme="minorHAnsi" w:cstheme="minorBidi"/>
          <w:caps w:val="0"/>
          <w:noProof/>
          <w:sz w:val="22"/>
          <w:szCs w:val="22"/>
          <w:lang w:eastAsia="en-GB"/>
        </w:rPr>
      </w:pPr>
      <w:hyperlink w:anchor="_Toc133435357" w:history="1">
        <w:r w:rsidR="00921FA3" w:rsidRPr="00FD2284">
          <w:rPr>
            <w:rStyle w:val="Hyperlink"/>
            <w:noProof/>
            <w:lang w:val="en-IE"/>
          </w:rPr>
          <w:t>4</w:t>
        </w:r>
        <w:r w:rsidR="00921FA3">
          <w:rPr>
            <w:rFonts w:asciiTheme="minorHAnsi" w:eastAsiaTheme="minorEastAsia" w:hAnsiTheme="minorHAnsi" w:cstheme="minorBidi"/>
            <w:caps w:val="0"/>
            <w:noProof/>
            <w:sz w:val="22"/>
            <w:szCs w:val="22"/>
            <w:lang w:eastAsia="en-GB"/>
          </w:rPr>
          <w:tab/>
        </w:r>
        <w:r w:rsidR="00921FA3" w:rsidRPr="00FD2284">
          <w:rPr>
            <w:rStyle w:val="Hyperlink"/>
            <w:noProof/>
            <w:lang w:val="en-IE"/>
          </w:rPr>
          <w:t>Objectives: What is to be achieved?</w:t>
        </w:r>
        <w:r w:rsidR="00921FA3">
          <w:rPr>
            <w:noProof/>
            <w:webHidden/>
          </w:rPr>
          <w:tab/>
        </w:r>
        <w:r w:rsidR="00C6592A">
          <w:rPr>
            <w:noProof/>
            <w:webHidden/>
          </w:rPr>
          <w:t>22</w:t>
        </w:r>
      </w:hyperlink>
    </w:p>
    <w:p w14:paraId="21E1706D" w14:textId="2116D1FF"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58" w:history="1">
        <w:r w:rsidR="00921FA3" w:rsidRPr="00FD2284">
          <w:rPr>
            <w:rStyle w:val="Hyperlink"/>
            <w:noProof/>
            <w:lang w:val="en-IE"/>
          </w:rPr>
          <w:t>4.1</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General objectives</w:t>
        </w:r>
        <w:r w:rsidR="00921FA3">
          <w:rPr>
            <w:noProof/>
            <w:webHidden/>
          </w:rPr>
          <w:tab/>
        </w:r>
        <w:r w:rsidR="00C6592A">
          <w:rPr>
            <w:noProof/>
            <w:webHidden/>
          </w:rPr>
          <w:t>22</w:t>
        </w:r>
      </w:hyperlink>
    </w:p>
    <w:p w14:paraId="60A2CCC7" w14:textId="4E8BB94F"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59" w:history="1">
        <w:r w:rsidR="00921FA3" w:rsidRPr="00FD2284">
          <w:rPr>
            <w:rStyle w:val="Hyperlink"/>
            <w:noProof/>
            <w:lang w:val="en-IE"/>
          </w:rPr>
          <w:t>4.2</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Specific objectives</w:t>
        </w:r>
        <w:r w:rsidR="00921FA3">
          <w:rPr>
            <w:noProof/>
            <w:webHidden/>
          </w:rPr>
          <w:tab/>
        </w:r>
        <w:r w:rsidR="00C6592A">
          <w:rPr>
            <w:noProof/>
            <w:webHidden/>
          </w:rPr>
          <w:t>22</w:t>
        </w:r>
      </w:hyperlink>
    </w:p>
    <w:p w14:paraId="6096DD8F" w14:textId="781DE9D1" w:rsidR="00921FA3" w:rsidRDefault="00A06738">
      <w:pPr>
        <w:pStyle w:val="TOC1"/>
        <w:rPr>
          <w:rFonts w:asciiTheme="minorHAnsi" w:eastAsiaTheme="minorEastAsia" w:hAnsiTheme="minorHAnsi" w:cstheme="minorBidi"/>
          <w:caps w:val="0"/>
          <w:noProof/>
          <w:sz w:val="22"/>
          <w:szCs w:val="22"/>
          <w:lang w:eastAsia="en-GB"/>
        </w:rPr>
      </w:pPr>
      <w:hyperlink w:anchor="_Toc133435360" w:history="1">
        <w:r w:rsidR="00921FA3" w:rsidRPr="00FD2284">
          <w:rPr>
            <w:rStyle w:val="Hyperlink"/>
            <w:noProof/>
            <w:lang w:val="en-IE"/>
          </w:rPr>
          <w:t>5</w:t>
        </w:r>
        <w:r w:rsidR="00921FA3">
          <w:rPr>
            <w:rFonts w:asciiTheme="minorHAnsi" w:eastAsiaTheme="minorEastAsia" w:hAnsiTheme="minorHAnsi" w:cstheme="minorBidi"/>
            <w:caps w:val="0"/>
            <w:noProof/>
            <w:sz w:val="22"/>
            <w:szCs w:val="22"/>
            <w:lang w:eastAsia="en-GB"/>
          </w:rPr>
          <w:tab/>
        </w:r>
        <w:r w:rsidR="00921FA3" w:rsidRPr="00FD2284">
          <w:rPr>
            <w:rStyle w:val="Hyperlink"/>
            <w:noProof/>
            <w:lang w:val="en-IE"/>
          </w:rPr>
          <w:t>What are the available policy options?</w:t>
        </w:r>
        <w:r w:rsidR="00921FA3">
          <w:rPr>
            <w:noProof/>
            <w:webHidden/>
          </w:rPr>
          <w:tab/>
        </w:r>
        <w:r w:rsidR="00C6592A">
          <w:rPr>
            <w:noProof/>
            <w:webHidden/>
          </w:rPr>
          <w:t>23</w:t>
        </w:r>
      </w:hyperlink>
    </w:p>
    <w:p w14:paraId="16BEAD0A" w14:textId="4AEC7252"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61" w:history="1">
        <w:r w:rsidR="00921FA3" w:rsidRPr="00FD2284">
          <w:rPr>
            <w:rStyle w:val="Hyperlink"/>
            <w:noProof/>
            <w:lang w:val="en-IE"/>
          </w:rPr>
          <w:t>5.1</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What is the baseline from which options are assessed?</w:t>
        </w:r>
        <w:r w:rsidR="00921FA3">
          <w:rPr>
            <w:noProof/>
            <w:webHidden/>
          </w:rPr>
          <w:tab/>
        </w:r>
        <w:r w:rsidR="00C6592A">
          <w:rPr>
            <w:noProof/>
            <w:webHidden/>
          </w:rPr>
          <w:t>23</w:t>
        </w:r>
      </w:hyperlink>
    </w:p>
    <w:p w14:paraId="2C01164D" w14:textId="1F76549A"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62" w:history="1">
        <w:r w:rsidR="00921FA3" w:rsidRPr="00FD2284">
          <w:rPr>
            <w:rStyle w:val="Hyperlink"/>
            <w:noProof/>
            <w:lang w:val="en-IE"/>
          </w:rPr>
          <w:t>5.2</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Description of the policy options</w:t>
        </w:r>
        <w:r w:rsidR="00921FA3">
          <w:rPr>
            <w:noProof/>
            <w:webHidden/>
          </w:rPr>
          <w:tab/>
        </w:r>
        <w:r w:rsidR="00C6592A">
          <w:rPr>
            <w:noProof/>
            <w:webHidden/>
          </w:rPr>
          <w:t>24</w:t>
        </w:r>
      </w:hyperlink>
    </w:p>
    <w:p w14:paraId="40C14E41" w14:textId="075AC8D1"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63" w:history="1">
        <w:r w:rsidR="00921FA3" w:rsidRPr="00FD2284">
          <w:rPr>
            <w:rStyle w:val="Hyperlink"/>
            <w:noProof/>
          </w:rPr>
          <w:t>5.2.1</w:t>
        </w:r>
        <w:r w:rsidR="00921FA3">
          <w:rPr>
            <w:rFonts w:asciiTheme="minorHAnsi" w:eastAsiaTheme="minorEastAsia" w:hAnsiTheme="minorHAnsi" w:cstheme="minorBidi"/>
            <w:noProof/>
            <w:sz w:val="22"/>
            <w:szCs w:val="22"/>
            <w:lang w:eastAsia="en-GB"/>
          </w:rPr>
          <w:tab/>
        </w:r>
        <w:r w:rsidR="00921FA3" w:rsidRPr="00FD2284">
          <w:rPr>
            <w:rStyle w:val="Hyperlink"/>
            <w:noProof/>
          </w:rPr>
          <w:t>Option 1: Recommendation on compulsory licensing for crisis management</w:t>
        </w:r>
        <w:r w:rsidR="00921FA3">
          <w:rPr>
            <w:noProof/>
            <w:webHidden/>
          </w:rPr>
          <w:tab/>
        </w:r>
        <w:r w:rsidR="00C6592A">
          <w:rPr>
            <w:noProof/>
            <w:webHidden/>
          </w:rPr>
          <w:t>27</w:t>
        </w:r>
      </w:hyperlink>
    </w:p>
    <w:p w14:paraId="52E3FBFD" w14:textId="08148B17"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64" w:history="1">
        <w:r w:rsidR="00921FA3" w:rsidRPr="00FD2284">
          <w:rPr>
            <w:rStyle w:val="Hyperlink"/>
            <w:noProof/>
          </w:rPr>
          <w:t>5.2.2</w:t>
        </w:r>
        <w:r w:rsidR="00921FA3">
          <w:rPr>
            <w:rFonts w:asciiTheme="minorHAnsi" w:eastAsiaTheme="minorEastAsia" w:hAnsiTheme="minorHAnsi" w:cstheme="minorBidi"/>
            <w:noProof/>
            <w:sz w:val="22"/>
            <w:szCs w:val="22"/>
            <w:lang w:eastAsia="en-GB"/>
          </w:rPr>
          <w:tab/>
        </w:r>
        <w:r w:rsidR="00921FA3" w:rsidRPr="00FD2284">
          <w:rPr>
            <w:rStyle w:val="Hyperlink"/>
            <w:noProof/>
          </w:rPr>
          <w:t>Option 2: Harmonisation of national laws on compulsory licensing for crisis management</w:t>
        </w:r>
        <w:r w:rsidR="00921FA3">
          <w:rPr>
            <w:noProof/>
            <w:webHidden/>
          </w:rPr>
          <w:tab/>
        </w:r>
        <w:r w:rsidR="00C6592A">
          <w:rPr>
            <w:noProof/>
            <w:webHidden/>
          </w:rPr>
          <w:t>28</w:t>
        </w:r>
      </w:hyperlink>
    </w:p>
    <w:p w14:paraId="0F46F3BA" w14:textId="10506E23"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65" w:history="1">
        <w:r w:rsidR="00921FA3" w:rsidRPr="00FD2284">
          <w:rPr>
            <w:rStyle w:val="Hyperlink"/>
            <w:noProof/>
          </w:rPr>
          <w:t>5.2.3</w:t>
        </w:r>
        <w:r w:rsidR="00921FA3">
          <w:rPr>
            <w:rFonts w:asciiTheme="minorHAnsi" w:eastAsiaTheme="minorEastAsia" w:hAnsiTheme="minorHAnsi" w:cstheme="minorBidi"/>
            <w:noProof/>
            <w:sz w:val="22"/>
            <w:szCs w:val="22"/>
            <w:lang w:eastAsia="en-GB"/>
          </w:rPr>
          <w:tab/>
        </w:r>
        <w:r w:rsidR="00921FA3" w:rsidRPr="00FD2284">
          <w:rPr>
            <w:rStyle w:val="Hyperlink"/>
            <w:noProof/>
          </w:rPr>
          <w:t>Option 3: Harmonisation plus a binding EU-level measure on compulsory licensing for crisis management</w:t>
        </w:r>
        <w:r w:rsidR="00921FA3">
          <w:rPr>
            <w:noProof/>
            <w:webHidden/>
          </w:rPr>
          <w:tab/>
        </w:r>
        <w:r w:rsidR="00C6592A">
          <w:rPr>
            <w:noProof/>
            <w:webHidden/>
          </w:rPr>
          <w:t>29</w:t>
        </w:r>
      </w:hyperlink>
    </w:p>
    <w:p w14:paraId="3000DFBE" w14:textId="5CCA7281"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66" w:history="1">
        <w:r w:rsidR="00921FA3" w:rsidRPr="00FD2284">
          <w:rPr>
            <w:rStyle w:val="Hyperlink"/>
            <w:iCs/>
            <w:noProof/>
          </w:rPr>
          <w:t>5.2.4</w:t>
        </w:r>
        <w:r w:rsidR="00921FA3">
          <w:rPr>
            <w:rFonts w:asciiTheme="minorHAnsi" w:eastAsiaTheme="minorEastAsia" w:hAnsiTheme="minorHAnsi" w:cstheme="minorBidi"/>
            <w:noProof/>
            <w:sz w:val="22"/>
            <w:szCs w:val="22"/>
            <w:lang w:eastAsia="en-GB"/>
          </w:rPr>
          <w:tab/>
        </w:r>
        <w:r w:rsidR="00921FA3" w:rsidRPr="00FD2284">
          <w:rPr>
            <w:rStyle w:val="Hyperlink"/>
            <w:noProof/>
          </w:rPr>
          <w:t>Option 4: EU-level compulsory licensing</w:t>
        </w:r>
        <w:r w:rsidR="00921FA3" w:rsidRPr="00FD2284">
          <w:rPr>
            <w:rStyle w:val="Hyperlink"/>
            <w:b/>
            <w:noProof/>
          </w:rPr>
          <w:t xml:space="preserve"> </w:t>
        </w:r>
        <w:r w:rsidR="00921FA3" w:rsidRPr="00FD2284">
          <w:rPr>
            <w:rStyle w:val="Hyperlink"/>
            <w:noProof/>
          </w:rPr>
          <w:t>to complement existing EU crisis instruments</w:t>
        </w:r>
        <w:r w:rsidR="00921FA3">
          <w:rPr>
            <w:noProof/>
            <w:webHidden/>
          </w:rPr>
          <w:tab/>
        </w:r>
        <w:r w:rsidR="00C6592A">
          <w:rPr>
            <w:noProof/>
            <w:webHidden/>
          </w:rPr>
          <w:t>31</w:t>
        </w:r>
      </w:hyperlink>
    </w:p>
    <w:p w14:paraId="2C944634" w14:textId="20AF4AAE"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67" w:history="1">
        <w:r w:rsidR="00921FA3" w:rsidRPr="00FD2284">
          <w:rPr>
            <w:rStyle w:val="Hyperlink"/>
            <w:noProof/>
            <w:lang w:val="en-IE"/>
          </w:rPr>
          <w:t>5.3</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Discarded options</w:t>
        </w:r>
        <w:r w:rsidR="00921FA3">
          <w:rPr>
            <w:noProof/>
            <w:webHidden/>
          </w:rPr>
          <w:tab/>
        </w:r>
        <w:r w:rsidR="00C6592A">
          <w:rPr>
            <w:noProof/>
            <w:webHidden/>
          </w:rPr>
          <w:t>33</w:t>
        </w:r>
      </w:hyperlink>
    </w:p>
    <w:p w14:paraId="4F560BFC" w14:textId="03C46F87" w:rsidR="00921FA3" w:rsidRDefault="00A06738">
      <w:pPr>
        <w:pStyle w:val="TOC1"/>
        <w:rPr>
          <w:rFonts w:asciiTheme="minorHAnsi" w:eastAsiaTheme="minorEastAsia" w:hAnsiTheme="minorHAnsi" w:cstheme="minorBidi"/>
          <w:caps w:val="0"/>
          <w:noProof/>
          <w:sz w:val="22"/>
          <w:szCs w:val="22"/>
          <w:lang w:eastAsia="en-GB"/>
        </w:rPr>
      </w:pPr>
      <w:hyperlink w:anchor="_Toc133435368" w:history="1">
        <w:r w:rsidR="00921FA3" w:rsidRPr="00FD2284">
          <w:rPr>
            <w:rStyle w:val="Hyperlink"/>
            <w:noProof/>
            <w:lang w:val="en-IE"/>
          </w:rPr>
          <w:t>6</w:t>
        </w:r>
        <w:r w:rsidR="00921FA3">
          <w:rPr>
            <w:rFonts w:asciiTheme="minorHAnsi" w:eastAsiaTheme="minorEastAsia" w:hAnsiTheme="minorHAnsi" w:cstheme="minorBidi"/>
            <w:caps w:val="0"/>
            <w:noProof/>
            <w:sz w:val="22"/>
            <w:szCs w:val="22"/>
            <w:lang w:eastAsia="en-GB"/>
          </w:rPr>
          <w:tab/>
        </w:r>
        <w:r w:rsidR="00921FA3" w:rsidRPr="00FD2284">
          <w:rPr>
            <w:rStyle w:val="Hyperlink"/>
            <w:noProof/>
            <w:lang w:val="en-IE"/>
          </w:rPr>
          <w:t>What are the impacts of the policy options?</w:t>
        </w:r>
        <w:r w:rsidR="00921FA3">
          <w:rPr>
            <w:noProof/>
            <w:webHidden/>
          </w:rPr>
          <w:tab/>
        </w:r>
        <w:r w:rsidR="00C6592A">
          <w:rPr>
            <w:noProof/>
            <w:webHidden/>
          </w:rPr>
          <w:t>34</w:t>
        </w:r>
      </w:hyperlink>
    </w:p>
    <w:p w14:paraId="3316AD3F" w14:textId="235A76DB"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69" w:history="1">
        <w:r w:rsidR="00921FA3" w:rsidRPr="00FD2284">
          <w:rPr>
            <w:rStyle w:val="Hyperlink"/>
            <w:noProof/>
            <w:lang w:val="en-IE"/>
          </w:rPr>
          <w:t>6.1</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Option 1 – Recommendation on compulsory licensing for crisis management</w:t>
        </w:r>
        <w:r w:rsidR="00921FA3">
          <w:rPr>
            <w:noProof/>
            <w:webHidden/>
          </w:rPr>
          <w:tab/>
        </w:r>
        <w:r w:rsidR="00C6592A">
          <w:rPr>
            <w:noProof/>
            <w:webHidden/>
          </w:rPr>
          <w:t>34</w:t>
        </w:r>
      </w:hyperlink>
    </w:p>
    <w:p w14:paraId="0801168B" w14:textId="5431C2A5"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70" w:history="1">
        <w:r w:rsidR="00921FA3" w:rsidRPr="00FD2284">
          <w:rPr>
            <w:rStyle w:val="Hyperlink"/>
            <w:noProof/>
          </w:rPr>
          <w:t>6.1.1</w:t>
        </w:r>
        <w:r w:rsidR="00921FA3">
          <w:rPr>
            <w:rFonts w:asciiTheme="minorHAnsi" w:eastAsiaTheme="minorEastAsia" w:hAnsiTheme="minorHAnsi" w:cstheme="minorBidi"/>
            <w:noProof/>
            <w:sz w:val="22"/>
            <w:szCs w:val="22"/>
            <w:lang w:eastAsia="en-GB"/>
          </w:rPr>
          <w:tab/>
        </w:r>
        <w:r w:rsidR="00921FA3" w:rsidRPr="00FD2284">
          <w:rPr>
            <w:rStyle w:val="Hyperlink"/>
            <w:noProof/>
          </w:rPr>
          <w:t>Improve the key features of compulsory licensing</w:t>
        </w:r>
        <w:r w:rsidR="00921FA3">
          <w:rPr>
            <w:noProof/>
            <w:webHidden/>
          </w:rPr>
          <w:tab/>
        </w:r>
        <w:r w:rsidR="00C6592A">
          <w:rPr>
            <w:noProof/>
            <w:webHidden/>
          </w:rPr>
          <w:t>34</w:t>
        </w:r>
      </w:hyperlink>
    </w:p>
    <w:p w14:paraId="2CCA7F01" w14:textId="20E303D9"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71" w:history="1">
        <w:r w:rsidR="00921FA3" w:rsidRPr="00FD2284">
          <w:rPr>
            <w:rStyle w:val="Hyperlink"/>
            <w:noProof/>
          </w:rPr>
          <w:t>6.1.2</w:t>
        </w:r>
        <w:r w:rsidR="00921FA3">
          <w:rPr>
            <w:rFonts w:asciiTheme="minorHAnsi" w:eastAsiaTheme="minorEastAsia" w:hAnsiTheme="minorHAnsi" w:cstheme="minorBidi"/>
            <w:noProof/>
            <w:sz w:val="22"/>
            <w:szCs w:val="22"/>
            <w:lang w:eastAsia="en-GB"/>
          </w:rPr>
          <w:tab/>
        </w:r>
        <w:r w:rsidR="00921FA3" w:rsidRPr="00FD2284">
          <w:rPr>
            <w:rStyle w:val="Hyperlink"/>
            <w:noProof/>
          </w:rPr>
          <w:t>Territorial reach of compulsory licensing</w:t>
        </w:r>
        <w:r w:rsidR="00921FA3">
          <w:rPr>
            <w:noProof/>
            <w:webHidden/>
          </w:rPr>
          <w:tab/>
        </w:r>
        <w:r w:rsidR="00C6592A">
          <w:rPr>
            <w:noProof/>
            <w:webHidden/>
          </w:rPr>
          <w:t>34</w:t>
        </w:r>
      </w:hyperlink>
    </w:p>
    <w:p w14:paraId="6F771F27" w14:textId="5BB17FB2"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72" w:history="1">
        <w:r w:rsidR="00921FA3" w:rsidRPr="00FD2284">
          <w:rPr>
            <w:rStyle w:val="Hyperlink"/>
            <w:noProof/>
          </w:rPr>
          <w:t>6.1.3</w:t>
        </w:r>
        <w:r w:rsidR="00921FA3">
          <w:rPr>
            <w:rFonts w:asciiTheme="minorHAnsi" w:eastAsiaTheme="minorEastAsia" w:hAnsiTheme="minorHAnsi" w:cstheme="minorBidi"/>
            <w:noProof/>
            <w:sz w:val="22"/>
            <w:szCs w:val="22"/>
            <w:lang w:eastAsia="en-GB"/>
          </w:rPr>
          <w:tab/>
        </w:r>
        <w:r w:rsidR="00921FA3" w:rsidRPr="00FD2284">
          <w:rPr>
            <w:rStyle w:val="Hyperlink"/>
            <w:noProof/>
          </w:rPr>
          <w:t>Support to EU resilience</w:t>
        </w:r>
        <w:r w:rsidR="00921FA3">
          <w:rPr>
            <w:noProof/>
            <w:webHidden/>
          </w:rPr>
          <w:tab/>
        </w:r>
        <w:r w:rsidR="00C6592A">
          <w:rPr>
            <w:noProof/>
            <w:webHidden/>
          </w:rPr>
          <w:t>34</w:t>
        </w:r>
      </w:hyperlink>
    </w:p>
    <w:p w14:paraId="47F31A8C" w14:textId="207F8B8A"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73" w:history="1">
        <w:r w:rsidR="00921FA3" w:rsidRPr="00FD2284">
          <w:rPr>
            <w:rStyle w:val="Hyperlink"/>
            <w:noProof/>
          </w:rPr>
          <w:t>6.1.4</w:t>
        </w:r>
        <w:r w:rsidR="00921FA3">
          <w:rPr>
            <w:rFonts w:asciiTheme="minorHAnsi" w:eastAsiaTheme="minorEastAsia" w:hAnsiTheme="minorHAnsi" w:cstheme="minorBidi"/>
            <w:noProof/>
            <w:sz w:val="22"/>
            <w:szCs w:val="22"/>
            <w:lang w:eastAsia="en-GB"/>
          </w:rPr>
          <w:tab/>
        </w:r>
        <w:r w:rsidR="00921FA3" w:rsidRPr="00FD2284">
          <w:rPr>
            <w:rStyle w:val="Hyperlink"/>
            <w:noProof/>
          </w:rPr>
          <w:t>Impacts per stakeholder group</w:t>
        </w:r>
        <w:r w:rsidR="00921FA3">
          <w:rPr>
            <w:noProof/>
            <w:webHidden/>
          </w:rPr>
          <w:tab/>
        </w:r>
        <w:r w:rsidR="00C6592A">
          <w:rPr>
            <w:noProof/>
            <w:webHidden/>
          </w:rPr>
          <w:t>35</w:t>
        </w:r>
      </w:hyperlink>
    </w:p>
    <w:p w14:paraId="544E3E9B" w14:textId="4D5C531F"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74" w:history="1">
        <w:r w:rsidR="00921FA3" w:rsidRPr="00FD2284">
          <w:rPr>
            <w:rStyle w:val="Hyperlink"/>
            <w:noProof/>
            <w:lang w:val="en-IE"/>
          </w:rPr>
          <w:t>6.2</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Option 2 – Harmonisation of national laws on compulsory licensing for crisis management</w:t>
        </w:r>
        <w:r w:rsidR="00921FA3">
          <w:rPr>
            <w:noProof/>
            <w:webHidden/>
          </w:rPr>
          <w:tab/>
        </w:r>
        <w:r w:rsidR="00C6592A">
          <w:rPr>
            <w:noProof/>
            <w:webHidden/>
          </w:rPr>
          <w:t>36</w:t>
        </w:r>
      </w:hyperlink>
    </w:p>
    <w:p w14:paraId="58C4A0AA" w14:textId="5AED9D6E"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75" w:history="1">
        <w:r w:rsidR="00921FA3" w:rsidRPr="00FD2284">
          <w:rPr>
            <w:rStyle w:val="Hyperlink"/>
            <w:noProof/>
          </w:rPr>
          <w:t>6.2.1</w:t>
        </w:r>
        <w:r w:rsidR="00921FA3">
          <w:rPr>
            <w:rFonts w:asciiTheme="minorHAnsi" w:eastAsiaTheme="minorEastAsia" w:hAnsiTheme="minorHAnsi" w:cstheme="minorBidi"/>
            <w:noProof/>
            <w:sz w:val="22"/>
            <w:szCs w:val="22"/>
            <w:lang w:eastAsia="en-GB"/>
          </w:rPr>
          <w:tab/>
        </w:r>
        <w:r w:rsidR="00921FA3" w:rsidRPr="00FD2284">
          <w:rPr>
            <w:rStyle w:val="Hyperlink"/>
            <w:noProof/>
          </w:rPr>
          <w:t>Improve the key features of compulsory licensing</w:t>
        </w:r>
        <w:r w:rsidR="00921FA3">
          <w:rPr>
            <w:noProof/>
            <w:webHidden/>
          </w:rPr>
          <w:tab/>
        </w:r>
        <w:r w:rsidR="00C6592A">
          <w:rPr>
            <w:noProof/>
            <w:webHidden/>
          </w:rPr>
          <w:t>36</w:t>
        </w:r>
      </w:hyperlink>
    </w:p>
    <w:p w14:paraId="0A548A3B" w14:textId="44F8E3FD"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76" w:history="1">
        <w:r w:rsidR="00921FA3" w:rsidRPr="00FD2284">
          <w:rPr>
            <w:rStyle w:val="Hyperlink"/>
            <w:noProof/>
          </w:rPr>
          <w:t>6.2.2</w:t>
        </w:r>
        <w:r w:rsidR="00921FA3">
          <w:rPr>
            <w:rFonts w:asciiTheme="minorHAnsi" w:eastAsiaTheme="minorEastAsia" w:hAnsiTheme="minorHAnsi" w:cstheme="minorBidi"/>
            <w:noProof/>
            <w:sz w:val="22"/>
            <w:szCs w:val="22"/>
            <w:lang w:eastAsia="en-GB"/>
          </w:rPr>
          <w:tab/>
        </w:r>
        <w:r w:rsidR="00921FA3" w:rsidRPr="00FD2284">
          <w:rPr>
            <w:rStyle w:val="Hyperlink"/>
            <w:noProof/>
          </w:rPr>
          <w:t>Territorial reach of compulsory licensing</w:t>
        </w:r>
        <w:r w:rsidR="00921FA3">
          <w:rPr>
            <w:noProof/>
            <w:webHidden/>
          </w:rPr>
          <w:tab/>
        </w:r>
        <w:r w:rsidR="00C6592A">
          <w:rPr>
            <w:noProof/>
            <w:webHidden/>
          </w:rPr>
          <w:t>36</w:t>
        </w:r>
      </w:hyperlink>
    </w:p>
    <w:p w14:paraId="68479F32" w14:textId="48ECB0AA"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77" w:history="1">
        <w:r w:rsidR="00921FA3" w:rsidRPr="00FD2284">
          <w:rPr>
            <w:rStyle w:val="Hyperlink"/>
            <w:noProof/>
          </w:rPr>
          <w:t>6.2.3</w:t>
        </w:r>
        <w:r w:rsidR="00921FA3">
          <w:rPr>
            <w:rFonts w:asciiTheme="minorHAnsi" w:eastAsiaTheme="minorEastAsia" w:hAnsiTheme="minorHAnsi" w:cstheme="minorBidi"/>
            <w:noProof/>
            <w:sz w:val="22"/>
            <w:szCs w:val="22"/>
            <w:lang w:eastAsia="en-GB"/>
          </w:rPr>
          <w:tab/>
        </w:r>
        <w:r w:rsidR="00921FA3" w:rsidRPr="00FD2284">
          <w:rPr>
            <w:rStyle w:val="Hyperlink"/>
            <w:noProof/>
          </w:rPr>
          <w:t>Support to EU resilience</w:t>
        </w:r>
        <w:r w:rsidR="00921FA3">
          <w:rPr>
            <w:noProof/>
            <w:webHidden/>
          </w:rPr>
          <w:tab/>
        </w:r>
        <w:r w:rsidR="00C6592A">
          <w:rPr>
            <w:noProof/>
            <w:webHidden/>
          </w:rPr>
          <w:t>36</w:t>
        </w:r>
      </w:hyperlink>
    </w:p>
    <w:p w14:paraId="1EB32FFC" w14:textId="782DD5FE"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78" w:history="1">
        <w:r w:rsidR="00921FA3" w:rsidRPr="00FD2284">
          <w:rPr>
            <w:rStyle w:val="Hyperlink"/>
            <w:noProof/>
          </w:rPr>
          <w:t>6.2.4</w:t>
        </w:r>
        <w:r w:rsidR="00921FA3">
          <w:rPr>
            <w:rFonts w:asciiTheme="minorHAnsi" w:eastAsiaTheme="minorEastAsia" w:hAnsiTheme="minorHAnsi" w:cstheme="minorBidi"/>
            <w:noProof/>
            <w:sz w:val="22"/>
            <w:szCs w:val="22"/>
            <w:lang w:eastAsia="en-GB"/>
          </w:rPr>
          <w:tab/>
        </w:r>
        <w:r w:rsidR="00921FA3" w:rsidRPr="00FD2284">
          <w:rPr>
            <w:rStyle w:val="Hyperlink"/>
            <w:noProof/>
          </w:rPr>
          <w:t>Impacts per stakeholder group</w:t>
        </w:r>
        <w:r w:rsidR="00921FA3">
          <w:rPr>
            <w:noProof/>
            <w:webHidden/>
          </w:rPr>
          <w:tab/>
        </w:r>
        <w:r w:rsidR="00C6592A">
          <w:rPr>
            <w:noProof/>
            <w:webHidden/>
          </w:rPr>
          <w:t>37</w:t>
        </w:r>
      </w:hyperlink>
    </w:p>
    <w:p w14:paraId="5B44A2D3" w14:textId="2CFBB612"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79" w:history="1">
        <w:r w:rsidR="00921FA3" w:rsidRPr="00FD2284">
          <w:rPr>
            <w:rStyle w:val="Hyperlink"/>
            <w:noProof/>
            <w:lang w:val="en-IE"/>
          </w:rPr>
          <w:t>6.3</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Option 3 – Harmonisation plus a binding EU-level measure on compulsory licensing</w:t>
        </w:r>
        <w:r w:rsidR="00921FA3">
          <w:rPr>
            <w:noProof/>
            <w:webHidden/>
          </w:rPr>
          <w:tab/>
        </w:r>
        <w:r w:rsidR="00C6592A">
          <w:rPr>
            <w:noProof/>
            <w:webHidden/>
          </w:rPr>
          <w:t>38</w:t>
        </w:r>
      </w:hyperlink>
    </w:p>
    <w:p w14:paraId="73274F0B" w14:textId="2D69D55B"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80" w:history="1">
        <w:r w:rsidR="00921FA3" w:rsidRPr="00FD2284">
          <w:rPr>
            <w:rStyle w:val="Hyperlink"/>
            <w:noProof/>
          </w:rPr>
          <w:t>6.3.1</w:t>
        </w:r>
        <w:r w:rsidR="00921FA3">
          <w:rPr>
            <w:rFonts w:asciiTheme="minorHAnsi" w:eastAsiaTheme="minorEastAsia" w:hAnsiTheme="minorHAnsi" w:cstheme="minorBidi"/>
            <w:noProof/>
            <w:sz w:val="22"/>
            <w:szCs w:val="22"/>
            <w:lang w:eastAsia="en-GB"/>
          </w:rPr>
          <w:tab/>
        </w:r>
        <w:r w:rsidR="00921FA3" w:rsidRPr="00FD2284">
          <w:rPr>
            <w:rStyle w:val="Hyperlink"/>
            <w:noProof/>
          </w:rPr>
          <w:t>Improve the key features of compulsory licensing</w:t>
        </w:r>
        <w:r w:rsidR="00921FA3">
          <w:rPr>
            <w:noProof/>
            <w:webHidden/>
          </w:rPr>
          <w:tab/>
        </w:r>
        <w:r w:rsidR="00C6592A">
          <w:rPr>
            <w:noProof/>
            <w:webHidden/>
          </w:rPr>
          <w:t>38</w:t>
        </w:r>
      </w:hyperlink>
    </w:p>
    <w:p w14:paraId="46104365" w14:textId="137C212D"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81" w:history="1">
        <w:r w:rsidR="00921FA3" w:rsidRPr="00FD2284">
          <w:rPr>
            <w:rStyle w:val="Hyperlink"/>
            <w:noProof/>
          </w:rPr>
          <w:t>6.3.2</w:t>
        </w:r>
        <w:r w:rsidR="00921FA3">
          <w:rPr>
            <w:rFonts w:asciiTheme="minorHAnsi" w:eastAsiaTheme="minorEastAsia" w:hAnsiTheme="minorHAnsi" w:cstheme="minorBidi"/>
            <w:noProof/>
            <w:sz w:val="22"/>
            <w:szCs w:val="22"/>
            <w:lang w:eastAsia="en-GB"/>
          </w:rPr>
          <w:tab/>
        </w:r>
        <w:r w:rsidR="00921FA3" w:rsidRPr="00FD2284">
          <w:rPr>
            <w:rStyle w:val="Hyperlink"/>
            <w:noProof/>
          </w:rPr>
          <w:t>Territorial reach of compulsory licensing</w:t>
        </w:r>
        <w:r w:rsidR="00921FA3">
          <w:rPr>
            <w:noProof/>
            <w:webHidden/>
          </w:rPr>
          <w:tab/>
        </w:r>
        <w:r w:rsidR="00C6592A">
          <w:rPr>
            <w:noProof/>
            <w:webHidden/>
          </w:rPr>
          <w:t>38</w:t>
        </w:r>
      </w:hyperlink>
    </w:p>
    <w:p w14:paraId="78F650D4" w14:textId="63BB877C"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82" w:history="1">
        <w:r w:rsidR="00921FA3" w:rsidRPr="00FD2284">
          <w:rPr>
            <w:rStyle w:val="Hyperlink"/>
            <w:noProof/>
          </w:rPr>
          <w:t>6.3.3</w:t>
        </w:r>
        <w:r w:rsidR="00921FA3">
          <w:rPr>
            <w:rFonts w:asciiTheme="minorHAnsi" w:eastAsiaTheme="minorEastAsia" w:hAnsiTheme="minorHAnsi" w:cstheme="minorBidi"/>
            <w:noProof/>
            <w:sz w:val="22"/>
            <w:szCs w:val="22"/>
            <w:lang w:eastAsia="en-GB"/>
          </w:rPr>
          <w:tab/>
        </w:r>
        <w:r w:rsidR="00921FA3" w:rsidRPr="00FD2284">
          <w:rPr>
            <w:rStyle w:val="Hyperlink"/>
            <w:noProof/>
          </w:rPr>
          <w:t>Support to EU resilience</w:t>
        </w:r>
        <w:r w:rsidR="00921FA3">
          <w:rPr>
            <w:noProof/>
            <w:webHidden/>
          </w:rPr>
          <w:tab/>
        </w:r>
        <w:r w:rsidR="00C6592A">
          <w:rPr>
            <w:noProof/>
            <w:webHidden/>
          </w:rPr>
          <w:t>38</w:t>
        </w:r>
      </w:hyperlink>
    </w:p>
    <w:p w14:paraId="1C87DEBC" w14:textId="1F536BE6"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83" w:history="1">
        <w:r w:rsidR="00921FA3" w:rsidRPr="00FD2284">
          <w:rPr>
            <w:rStyle w:val="Hyperlink"/>
            <w:noProof/>
          </w:rPr>
          <w:t>6.3.4</w:t>
        </w:r>
        <w:r w:rsidR="00921FA3">
          <w:rPr>
            <w:rFonts w:asciiTheme="minorHAnsi" w:eastAsiaTheme="minorEastAsia" w:hAnsiTheme="minorHAnsi" w:cstheme="minorBidi"/>
            <w:noProof/>
            <w:sz w:val="22"/>
            <w:szCs w:val="22"/>
            <w:lang w:eastAsia="en-GB"/>
          </w:rPr>
          <w:tab/>
        </w:r>
        <w:r w:rsidR="00921FA3" w:rsidRPr="00FD2284">
          <w:rPr>
            <w:rStyle w:val="Hyperlink"/>
            <w:noProof/>
          </w:rPr>
          <w:t>Impacts per stakeholder group</w:t>
        </w:r>
        <w:r w:rsidR="00921FA3">
          <w:rPr>
            <w:noProof/>
            <w:webHidden/>
          </w:rPr>
          <w:tab/>
        </w:r>
        <w:r w:rsidR="00C6592A">
          <w:rPr>
            <w:noProof/>
            <w:webHidden/>
          </w:rPr>
          <w:t>39</w:t>
        </w:r>
      </w:hyperlink>
    </w:p>
    <w:p w14:paraId="2378A6BE" w14:textId="01B42831"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84" w:history="1">
        <w:r w:rsidR="00921FA3" w:rsidRPr="00FD2284">
          <w:rPr>
            <w:rStyle w:val="Hyperlink"/>
            <w:noProof/>
            <w:lang w:val="en-IE"/>
          </w:rPr>
          <w:t>6.4</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Option 4 – EU-level compulsory licensing to complement existing EU crisis instruments</w:t>
        </w:r>
        <w:r w:rsidR="00921FA3">
          <w:rPr>
            <w:noProof/>
            <w:webHidden/>
          </w:rPr>
          <w:tab/>
        </w:r>
        <w:r w:rsidR="00C6592A">
          <w:rPr>
            <w:noProof/>
            <w:webHidden/>
          </w:rPr>
          <w:t>40</w:t>
        </w:r>
      </w:hyperlink>
    </w:p>
    <w:p w14:paraId="66A195B2" w14:textId="19844D69"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85" w:history="1">
        <w:r w:rsidR="00921FA3" w:rsidRPr="00FD2284">
          <w:rPr>
            <w:rStyle w:val="Hyperlink"/>
            <w:noProof/>
          </w:rPr>
          <w:t>6.4.1</w:t>
        </w:r>
        <w:r w:rsidR="00921FA3">
          <w:rPr>
            <w:rFonts w:asciiTheme="minorHAnsi" w:eastAsiaTheme="minorEastAsia" w:hAnsiTheme="minorHAnsi" w:cstheme="minorBidi"/>
            <w:noProof/>
            <w:sz w:val="22"/>
            <w:szCs w:val="22"/>
            <w:lang w:eastAsia="en-GB"/>
          </w:rPr>
          <w:tab/>
        </w:r>
        <w:r w:rsidR="00921FA3" w:rsidRPr="00FD2284">
          <w:rPr>
            <w:rStyle w:val="Hyperlink"/>
            <w:noProof/>
          </w:rPr>
          <w:t>Improve the key features of compulsory licensing</w:t>
        </w:r>
        <w:r w:rsidR="00921FA3">
          <w:rPr>
            <w:noProof/>
            <w:webHidden/>
          </w:rPr>
          <w:tab/>
        </w:r>
        <w:r w:rsidR="00C6592A">
          <w:rPr>
            <w:noProof/>
            <w:webHidden/>
          </w:rPr>
          <w:t>40</w:t>
        </w:r>
      </w:hyperlink>
    </w:p>
    <w:p w14:paraId="5FF8C33A" w14:textId="597801B8"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86" w:history="1">
        <w:r w:rsidR="00921FA3" w:rsidRPr="00FD2284">
          <w:rPr>
            <w:rStyle w:val="Hyperlink"/>
            <w:noProof/>
          </w:rPr>
          <w:t>6.4.2</w:t>
        </w:r>
        <w:r w:rsidR="00921FA3">
          <w:rPr>
            <w:rFonts w:asciiTheme="minorHAnsi" w:eastAsiaTheme="minorEastAsia" w:hAnsiTheme="minorHAnsi" w:cstheme="minorBidi"/>
            <w:noProof/>
            <w:sz w:val="22"/>
            <w:szCs w:val="22"/>
            <w:lang w:eastAsia="en-GB"/>
          </w:rPr>
          <w:tab/>
        </w:r>
        <w:r w:rsidR="00921FA3" w:rsidRPr="00FD2284">
          <w:rPr>
            <w:rStyle w:val="Hyperlink"/>
            <w:noProof/>
          </w:rPr>
          <w:t>Territorial reach of compulsory licensing</w:t>
        </w:r>
        <w:r w:rsidR="00921FA3">
          <w:rPr>
            <w:noProof/>
            <w:webHidden/>
          </w:rPr>
          <w:tab/>
        </w:r>
        <w:r w:rsidR="00C6592A">
          <w:rPr>
            <w:noProof/>
            <w:webHidden/>
          </w:rPr>
          <w:t>40</w:t>
        </w:r>
      </w:hyperlink>
    </w:p>
    <w:p w14:paraId="656661AF" w14:textId="13BC633E"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87" w:history="1">
        <w:r w:rsidR="00921FA3" w:rsidRPr="00FD2284">
          <w:rPr>
            <w:rStyle w:val="Hyperlink"/>
            <w:noProof/>
          </w:rPr>
          <w:t>6.4.3</w:t>
        </w:r>
        <w:r w:rsidR="00921FA3">
          <w:rPr>
            <w:rFonts w:asciiTheme="minorHAnsi" w:eastAsiaTheme="minorEastAsia" w:hAnsiTheme="minorHAnsi" w:cstheme="minorBidi"/>
            <w:noProof/>
            <w:sz w:val="22"/>
            <w:szCs w:val="22"/>
            <w:lang w:eastAsia="en-GB"/>
          </w:rPr>
          <w:tab/>
        </w:r>
        <w:r w:rsidR="00921FA3" w:rsidRPr="00FD2284">
          <w:rPr>
            <w:rStyle w:val="Hyperlink"/>
            <w:noProof/>
          </w:rPr>
          <w:t>Support to EU resilience</w:t>
        </w:r>
        <w:r w:rsidR="00921FA3">
          <w:rPr>
            <w:noProof/>
            <w:webHidden/>
          </w:rPr>
          <w:tab/>
        </w:r>
        <w:r w:rsidR="00C6592A">
          <w:rPr>
            <w:noProof/>
            <w:webHidden/>
          </w:rPr>
          <w:t>41</w:t>
        </w:r>
      </w:hyperlink>
    </w:p>
    <w:p w14:paraId="23BE59B5" w14:textId="2A3FAA53"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88" w:history="1">
        <w:r w:rsidR="00921FA3" w:rsidRPr="00FD2284">
          <w:rPr>
            <w:rStyle w:val="Hyperlink"/>
            <w:noProof/>
          </w:rPr>
          <w:t>6.4.4</w:t>
        </w:r>
        <w:r w:rsidR="00921FA3">
          <w:rPr>
            <w:rFonts w:asciiTheme="minorHAnsi" w:eastAsiaTheme="minorEastAsia" w:hAnsiTheme="minorHAnsi" w:cstheme="minorBidi"/>
            <w:noProof/>
            <w:sz w:val="22"/>
            <w:szCs w:val="22"/>
            <w:lang w:eastAsia="en-GB"/>
          </w:rPr>
          <w:tab/>
        </w:r>
        <w:r w:rsidR="00921FA3" w:rsidRPr="00FD2284">
          <w:rPr>
            <w:rStyle w:val="Hyperlink"/>
            <w:noProof/>
          </w:rPr>
          <w:t>Impacts per stakeholder group</w:t>
        </w:r>
        <w:r w:rsidR="00921FA3">
          <w:rPr>
            <w:noProof/>
            <w:webHidden/>
          </w:rPr>
          <w:tab/>
        </w:r>
        <w:r w:rsidR="00C6592A">
          <w:rPr>
            <w:noProof/>
            <w:webHidden/>
          </w:rPr>
          <w:t>41</w:t>
        </w:r>
      </w:hyperlink>
    </w:p>
    <w:p w14:paraId="58843424" w14:textId="33AEC3DD"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89" w:history="1">
        <w:r w:rsidR="00921FA3" w:rsidRPr="00FD2284">
          <w:rPr>
            <w:rStyle w:val="Hyperlink"/>
            <w:noProof/>
            <w:lang w:val="en-IE"/>
          </w:rPr>
          <w:t>6.5</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Common impacts</w:t>
        </w:r>
        <w:r w:rsidR="00921FA3">
          <w:rPr>
            <w:noProof/>
            <w:webHidden/>
          </w:rPr>
          <w:tab/>
        </w:r>
        <w:r w:rsidR="00C6592A">
          <w:rPr>
            <w:noProof/>
            <w:webHidden/>
          </w:rPr>
          <w:t>42</w:t>
        </w:r>
      </w:hyperlink>
    </w:p>
    <w:p w14:paraId="62D13C8A" w14:textId="64B750D0"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90" w:history="1">
        <w:r w:rsidR="00921FA3" w:rsidRPr="00FD2284">
          <w:rPr>
            <w:rStyle w:val="Hyperlink"/>
            <w:noProof/>
          </w:rPr>
          <w:t>6.5.1</w:t>
        </w:r>
        <w:r w:rsidR="00921FA3">
          <w:rPr>
            <w:rFonts w:asciiTheme="minorHAnsi" w:eastAsiaTheme="minorEastAsia" w:hAnsiTheme="minorHAnsi" w:cstheme="minorBidi"/>
            <w:noProof/>
            <w:sz w:val="22"/>
            <w:szCs w:val="22"/>
            <w:lang w:eastAsia="en-GB"/>
          </w:rPr>
          <w:tab/>
        </w:r>
        <w:r w:rsidR="00921FA3" w:rsidRPr="00FD2284">
          <w:rPr>
            <w:rStyle w:val="Hyperlink"/>
            <w:noProof/>
          </w:rPr>
          <w:t>Impacts on fundamental rights</w:t>
        </w:r>
        <w:r w:rsidR="00921FA3">
          <w:rPr>
            <w:noProof/>
            <w:webHidden/>
          </w:rPr>
          <w:tab/>
        </w:r>
        <w:r w:rsidR="00C6592A">
          <w:rPr>
            <w:noProof/>
            <w:webHidden/>
          </w:rPr>
          <w:t>42</w:t>
        </w:r>
      </w:hyperlink>
    </w:p>
    <w:p w14:paraId="100C76D1" w14:textId="1F3D066B"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91" w:history="1">
        <w:r w:rsidR="00921FA3" w:rsidRPr="00FD2284">
          <w:rPr>
            <w:rStyle w:val="Hyperlink"/>
            <w:noProof/>
          </w:rPr>
          <w:t>6.5.2</w:t>
        </w:r>
        <w:r w:rsidR="00921FA3">
          <w:rPr>
            <w:rFonts w:asciiTheme="minorHAnsi" w:eastAsiaTheme="minorEastAsia" w:hAnsiTheme="minorHAnsi" w:cstheme="minorBidi"/>
            <w:noProof/>
            <w:sz w:val="22"/>
            <w:szCs w:val="22"/>
            <w:lang w:eastAsia="en-GB"/>
          </w:rPr>
          <w:tab/>
        </w:r>
        <w:r w:rsidR="00921FA3" w:rsidRPr="00FD2284">
          <w:rPr>
            <w:rStyle w:val="Hyperlink"/>
            <w:noProof/>
          </w:rPr>
          <w:t>Social and environmental impacts</w:t>
        </w:r>
        <w:r w:rsidR="00921FA3">
          <w:rPr>
            <w:noProof/>
            <w:webHidden/>
          </w:rPr>
          <w:tab/>
        </w:r>
        <w:r w:rsidR="00C6592A">
          <w:rPr>
            <w:noProof/>
            <w:webHidden/>
          </w:rPr>
          <w:t>43</w:t>
        </w:r>
      </w:hyperlink>
    </w:p>
    <w:p w14:paraId="4936ECFE" w14:textId="46CA2A01"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92" w:history="1">
        <w:r w:rsidR="00921FA3" w:rsidRPr="00FD2284">
          <w:rPr>
            <w:rStyle w:val="Hyperlink"/>
            <w:noProof/>
          </w:rPr>
          <w:t>6.5.3</w:t>
        </w:r>
        <w:r w:rsidR="00921FA3">
          <w:rPr>
            <w:rFonts w:asciiTheme="minorHAnsi" w:eastAsiaTheme="minorEastAsia" w:hAnsiTheme="minorHAnsi" w:cstheme="minorBidi"/>
            <w:noProof/>
            <w:sz w:val="22"/>
            <w:szCs w:val="22"/>
            <w:lang w:eastAsia="en-GB"/>
          </w:rPr>
          <w:tab/>
        </w:r>
        <w:r w:rsidR="00921FA3" w:rsidRPr="00FD2284">
          <w:rPr>
            <w:rStyle w:val="Hyperlink"/>
            <w:noProof/>
          </w:rPr>
          <w:t>Economic and competitiveness impacts</w:t>
        </w:r>
        <w:r w:rsidR="00921FA3">
          <w:rPr>
            <w:noProof/>
            <w:webHidden/>
          </w:rPr>
          <w:tab/>
        </w:r>
        <w:r w:rsidR="00C6592A">
          <w:rPr>
            <w:noProof/>
            <w:webHidden/>
          </w:rPr>
          <w:t>44</w:t>
        </w:r>
      </w:hyperlink>
    </w:p>
    <w:p w14:paraId="5B2EA789" w14:textId="08796E58" w:rsidR="00921FA3" w:rsidRDefault="00A06738">
      <w:pPr>
        <w:pStyle w:val="TOC3"/>
        <w:tabs>
          <w:tab w:val="left" w:pos="1320"/>
          <w:tab w:val="right" w:leader="dot" w:pos="8608"/>
        </w:tabs>
        <w:rPr>
          <w:rFonts w:asciiTheme="minorHAnsi" w:eastAsiaTheme="minorEastAsia" w:hAnsiTheme="minorHAnsi" w:cstheme="minorBidi"/>
          <w:noProof/>
          <w:sz w:val="22"/>
          <w:szCs w:val="22"/>
          <w:lang w:eastAsia="en-GB"/>
        </w:rPr>
      </w:pPr>
      <w:hyperlink w:anchor="_Toc133435393" w:history="1">
        <w:r w:rsidR="00921FA3" w:rsidRPr="00FD2284">
          <w:rPr>
            <w:rStyle w:val="Hyperlink"/>
            <w:noProof/>
          </w:rPr>
          <w:t>6.5.4</w:t>
        </w:r>
        <w:r w:rsidR="00921FA3">
          <w:rPr>
            <w:rFonts w:asciiTheme="minorHAnsi" w:eastAsiaTheme="minorEastAsia" w:hAnsiTheme="minorHAnsi" w:cstheme="minorBidi"/>
            <w:noProof/>
            <w:sz w:val="22"/>
            <w:szCs w:val="22"/>
            <w:lang w:eastAsia="en-GB"/>
          </w:rPr>
          <w:tab/>
        </w:r>
        <w:r w:rsidR="00921FA3" w:rsidRPr="00FD2284">
          <w:rPr>
            <w:rStyle w:val="Hyperlink"/>
            <w:noProof/>
          </w:rPr>
          <w:t>Summary of cost and benefits specific to the compulsory licensing procedures</w:t>
        </w:r>
        <w:r w:rsidR="00921FA3">
          <w:rPr>
            <w:noProof/>
            <w:webHidden/>
          </w:rPr>
          <w:tab/>
        </w:r>
        <w:r w:rsidR="00C6592A">
          <w:rPr>
            <w:noProof/>
            <w:webHidden/>
          </w:rPr>
          <w:t>45</w:t>
        </w:r>
      </w:hyperlink>
    </w:p>
    <w:p w14:paraId="27DE15C0" w14:textId="2D0C41D6" w:rsidR="00921FA3" w:rsidRDefault="00A06738">
      <w:pPr>
        <w:pStyle w:val="TOC1"/>
        <w:rPr>
          <w:rFonts w:asciiTheme="minorHAnsi" w:eastAsiaTheme="minorEastAsia" w:hAnsiTheme="minorHAnsi" w:cstheme="minorBidi"/>
          <w:caps w:val="0"/>
          <w:noProof/>
          <w:sz w:val="22"/>
          <w:szCs w:val="22"/>
          <w:lang w:eastAsia="en-GB"/>
        </w:rPr>
      </w:pPr>
      <w:hyperlink w:anchor="_Toc133435394" w:history="1">
        <w:r w:rsidR="00921FA3" w:rsidRPr="00FD2284">
          <w:rPr>
            <w:rStyle w:val="Hyperlink"/>
            <w:noProof/>
            <w:lang w:val="en-IE"/>
          </w:rPr>
          <w:t>7</w:t>
        </w:r>
        <w:r w:rsidR="00921FA3">
          <w:rPr>
            <w:rFonts w:asciiTheme="minorHAnsi" w:eastAsiaTheme="minorEastAsia" w:hAnsiTheme="minorHAnsi" w:cstheme="minorBidi"/>
            <w:caps w:val="0"/>
            <w:noProof/>
            <w:sz w:val="22"/>
            <w:szCs w:val="22"/>
            <w:lang w:eastAsia="en-GB"/>
          </w:rPr>
          <w:tab/>
        </w:r>
        <w:r w:rsidR="00921FA3" w:rsidRPr="00FD2284">
          <w:rPr>
            <w:rStyle w:val="Hyperlink"/>
            <w:noProof/>
            <w:lang w:val="en-IE"/>
          </w:rPr>
          <w:t>How do the options compare?</w:t>
        </w:r>
        <w:r w:rsidR="00921FA3">
          <w:rPr>
            <w:noProof/>
            <w:webHidden/>
          </w:rPr>
          <w:tab/>
        </w:r>
        <w:r w:rsidR="00C6592A">
          <w:rPr>
            <w:noProof/>
            <w:webHidden/>
          </w:rPr>
          <w:t>47</w:t>
        </w:r>
      </w:hyperlink>
    </w:p>
    <w:p w14:paraId="0DF53E92" w14:textId="0A3E23FE"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95" w:history="1">
        <w:r w:rsidR="00921FA3" w:rsidRPr="00FD2284">
          <w:rPr>
            <w:rStyle w:val="Hyperlink"/>
            <w:noProof/>
            <w:lang w:val="en-IE"/>
          </w:rPr>
          <w:t>7.1</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Comparison of options against the effectiveness and efficiency criteria</w:t>
        </w:r>
        <w:r w:rsidR="00921FA3">
          <w:rPr>
            <w:noProof/>
            <w:webHidden/>
          </w:rPr>
          <w:tab/>
        </w:r>
        <w:r w:rsidR="00C6592A">
          <w:rPr>
            <w:noProof/>
            <w:webHidden/>
          </w:rPr>
          <w:t>47</w:t>
        </w:r>
      </w:hyperlink>
    </w:p>
    <w:p w14:paraId="146E1606" w14:textId="0D2A098E"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96" w:history="1">
        <w:r w:rsidR="00921FA3" w:rsidRPr="00FD2284">
          <w:rPr>
            <w:rStyle w:val="Hyperlink"/>
            <w:noProof/>
            <w:lang w:val="en-IE"/>
          </w:rPr>
          <w:t>7.2</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Comparison of impacts of options on stakeholders</w:t>
        </w:r>
        <w:r w:rsidR="00921FA3">
          <w:rPr>
            <w:noProof/>
            <w:webHidden/>
          </w:rPr>
          <w:tab/>
        </w:r>
        <w:r w:rsidR="00C6592A">
          <w:rPr>
            <w:noProof/>
            <w:webHidden/>
          </w:rPr>
          <w:t>49</w:t>
        </w:r>
      </w:hyperlink>
    </w:p>
    <w:p w14:paraId="5E4F9362" w14:textId="17DC5126"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97" w:history="1">
        <w:r w:rsidR="00921FA3" w:rsidRPr="00FD2284">
          <w:rPr>
            <w:rStyle w:val="Hyperlink"/>
            <w:noProof/>
            <w:lang w:val="en-IE"/>
          </w:rPr>
          <w:t>7.3</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Coherence with other EU policies and proportionality</w:t>
        </w:r>
        <w:r w:rsidR="00921FA3">
          <w:rPr>
            <w:noProof/>
            <w:webHidden/>
          </w:rPr>
          <w:tab/>
        </w:r>
        <w:r w:rsidR="00C6592A">
          <w:rPr>
            <w:noProof/>
            <w:webHidden/>
          </w:rPr>
          <w:t>50</w:t>
        </w:r>
      </w:hyperlink>
    </w:p>
    <w:p w14:paraId="2DD60113" w14:textId="02B755DA" w:rsidR="00921FA3" w:rsidRDefault="00A06738">
      <w:pPr>
        <w:pStyle w:val="TOC1"/>
        <w:rPr>
          <w:rFonts w:asciiTheme="minorHAnsi" w:eastAsiaTheme="minorEastAsia" w:hAnsiTheme="minorHAnsi" w:cstheme="minorBidi"/>
          <w:caps w:val="0"/>
          <w:noProof/>
          <w:sz w:val="22"/>
          <w:szCs w:val="22"/>
          <w:lang w:eastAsia="en-GB"/>
        </w:rPr>
      </w:pPr>
      <w:hyperlink w:anchor="_Toc133435398" w:history="1">
        <w:r w:rsidR="00921FA3" w:rsidRPr="00FD2284">
          <w:rPr>
            <w:rStyle w:val="Hyperlink"/>
            <w:noProof/>
            <w:lang w:val="en-IE"/>
          </w:rPr>
          <w:t>8</w:t>
        </w:r>
        <w:r w:rsidR="00921FA3">
          <w:rPr>
            <w:rFonts w:asciiTheme="minorHAnsi" w:eastAsiaTheme="minorEastAsia" w:hAnsiTheme="minorHAnsi" w:cstheme="minorBidi"/>
            <w:caps w:val="0"/>
            <w:noProof/>
            <w:sz w:val="22"/>
            <w:szCs w:val="22"/>
            <w:lang w:eastAsia="en-GB"/>
          </w:rPr>
          <w:tab/>
        </w:r>
        <w:r w:rsidR="00921FA3" w:rsidRPr="00FD2284">
          <w:rPr>
            <w:rStyle w:val="Hyperlink"/>
            <w:noProof/>
            <w:lang w:val="en-IE"/>
          </w:rPr>
          <w:t>Preferred option</w:t>
        </w:r>
        <w:r w:rsidR="00921FA3">
          <w:rPr>
            <w:noProof/>
            <w:webHidden/>
          </w:rPr>
          <w:tab/>
        </w:r>
        <w:r w:rsidR="00C6592A">
          <w:rPr>
            <w:noProof/>
            <w:webHidden/>
          </w:rPr>
          <w:t>51</w:t>
        </w:r>
      </w:hyperlink>
    </w:p>
    <w:p w14:paraId="05F41404" w14:textId="1E11B21C" w:rsidR="00921FA3" w:rsidRDefault="00A06738">
      <w:pPr>
        <w:pStyle w:val="TOC2"/>
        <w:tabs>
          <w:tab w:val="left" w:pos="1077"/>
        </w:tabs>
        <w:rPr>
          <w:rFonts w:asciiTheme="minorHAnsi" w:eastAsiaTheme="minorEastAsia" w:hAnsiTheme="minorHAnsi" w:cstheme="minorBidi"/>
          <w:noProof/>
          <w:sz w:val="22"/>
          <w:szCs w:val="22"/>
          <w:lang w:eastAsia="en-GB"/>
        </w:rPr>
      </w:pPr>
      <w:hyperlink w:anchor="_Toc133435399" w:history="1">
        <w:r w:rsidR="00921FA3" w:rsidRPr="00FD2284">
          <w:rPr>
            <w:rStyle w:val="Hyperlink"/>
            <w:noProof/>
            <w:lang w:val="en-IE"/>
          </w:rPr>
          <w:t>8.1</w:t>
        </w:r>
        <w:r w:rsidR="00921FA3">
          <w:rPr>
            <w:rFonts w:asciiTheme="minorHAnsi" w:eastAsiaTheme="minorEastAsia" w:hAnsiTheme="minorHAnsi" w:cstheme="minorBidi"/>
            <w:noProof/>
            <w:sz w:val="22"/>
            <w:szCs w:val="22"/>
            <w:lang w:eastAsia="en-GB"/>
          </w:rPr>
          <w:tab/>
        </w:r>
        <w:r w:rsidR="00921FA3" w:rsidRPr="00FD2284">
          <w:rPr>
            <w:rStyle w:val="Hyperlink"/>
            <w:noProof/>
            <w:lang w:val="en-IE"/>
          </w:rPr>
          <w:t>REFIT and the application of the ‘one in, one out’ approach</w:t>
        </w:r>
        <w:r w:rsidR="00921FA3">
          <w:rPr>
            <w:noProof/>
            <w:webHidden/>
          </w:rPr>
          <w:tab/>
        </w:r>
        <w:r w:rsidR="00C6592A">
          <w:rPr>
            <w:noProof/>
            <w:webHidden/>
          </w:rPr>
          <w:t>53</w:t>
        </w:r>
      </w:hyperlink>
    </w:p>
    <w:p w14:paraId="7FB09652" w14:textId="6CFA4073" w:rsidR="00921FA3" w:rsidRDefault="00A06738">
      <w:pPr>
        <w:pStyle w:val="TOC1"/>
        <w:rPr>
          <w:rFonts w:asciiTheme="minorHAnsi" w:eastAsiaTheme="minorEastAsia" w:hAnsiTheme="minorHAnsi" w:cstheme="minorBidi"/>
          <w:caps w:val="0"/>
          <w:noProof/>
          <w:sz w:val="22"/>
          <w:szCs w:val="22"/>
          <w:lang w:eastAsia="en-GB"/>
        </w:rPr>
      </w:pPr>
      <w:hyperlink w:anchor="_Toc133435400" w:history="1">
        <w:r w:rsidR="00921FA3" w:rsidRPr="00FD2284">
          <w:rPr>
            <w:rStyle w:val="Hyperlink"/>
            <w:noProof/>
            <w:lang w:val="en-IE"/>
          </w:rPr>
          <w:t>9</w:t>
        </w:r>
        <w:r w:rsidR="00921FA3">
          <w:rPr>
            <w:rFonts w:asciiTheme="minorHAnsi" w:eastAsiaTheme="minorEastAsia" w:hAnsiTheme="minorHAnsi" w:cstheme="minorBidi"/>
            <w:caps w:val="0"/>
            <w:noProof/>
            <w:sz w:val="22"/>
            <w:szCs w:val="22"/>
            <w:lang w:eastAsia="en-GB"/>
          </w:rPr>
          <w:tab/>
        </w:r>
        <w:r w:rsidR="00921FA3" w:rsidRPr="00FD2284">
          <w:rPr>
            <w:rStyle w:val="Hyperlink"/>
            <w:noProof/>
            <w:lang w:val="en-IE"/>
          </w:rPr>
          <w:t>How will actual impacts be monitored and evaluated?</w:t>
        </w:r>
        <w:r w:rsidR="00921FA3">
          <w:rPr>
            <w:noProof/>
            <w:webHidden/>
          </w:rPr>
          <w:tab/>
        </w:r>
        <w:r w:rsidR="00C6592A">
          <w:rPr>
            <w:noProof/>
            <w:webHidden/>
          </w:rPr>
          <w:t>53</w:t>
        </w:r>
      </w:hyperlink>
    </w:p>
    <w:p w14:paraId="3483C2D3" w14:textId="7F3CB0F0" w:rsidR="00921FA3" w:rsidRDefault="00A06738">
      <w:pPr>
        <w:pStyle w:val="TOC1"/>
        <w:rPr>
          <w:rFonts w:asciiTheme="minorHAnsi" w:eastAsiaTheme="minorEastAsia" w:hAnsiTheme="minorHAnsi" w:cstheme="minorBidi"/>
          <w:caps w:val="0"/>
          <w:noProof/>
          <w:sz w:val="22"/>
          <w:szCs w:val="22"/>
          <w:lang w:eastAsia="en-GB"/>
        </w:rPr>
      </w:pPr>
      <w:hyperlink w:anchor="_Toc133435401" w:history="1">
        <w:r w:rsidR="00921FA3" w:rsidRPr="00FD2284">
          <w:rPr>
            <w:rStyle w:val="Hyperlink"/>
            <w:noProof/>
          </w:rPr>
          <w:t>Annex 1: Procedural information</w:t>
        </w:r>
        <w:r w:rsidR="00921FA3">
          <w:rPr>
            <w:noProof/>
            <w:webHidden/>
          </w:rPr>
          <w:tab/>
        </w:r>
        <w:r w:rsidR="00C6592A">
          <w:rPr>
            <w:noProof/>
            <w:webHidden/>
          </w:rPr>
          <w:t>55</w:t>
        </w:r>
      </w:hyperlink>
    </w:p>
    <w:p w14:paraId="3DD5D605" w14:textId="41CFFF8F" w:rsidR="00921FA3" w:rsidRDefault="00A06738">
      <w:pPr>
        <w:pStyle w:val="TOC1"/>
        <w:rPr>
          <w:rFonts w:asciiTheme="minorHAnsi" w:eastAsiaTheme="minorEastAsia" w:hAnsiTheme="minorHAnsi" w:cstheme="minorBidi"/>
          <w:caps w:val="0"/>
          <w:noProof/>
          <w:sz w:val="22"/>
          <w:szCs w:val="22"/>
          <w:lang w:eastAsia="en-GB"/>
        </w:rPr>
      </w:pPr>
      <w:hyperlink w:anchor="_Toc133435402" w:history="1">
        <w:r w:rsidR="00921FA3" w:rsidRPr="00FD2284">
          <w:rPr>
            <w:rStyle w:val="Hyperlink"/>
            <w:noProof/>
          </w:rPr>
          <w:t>Annex 2: Stakeholder consultation (Synopsis report)</w:t>
        </w:r>
        <w:r w:rsidR="00921FA3">
          <w:rPr>
            <w:noProof/>
            <w:webHidden/>
          </w:rPr>
          <w:tab/>
        </w:r>
        <w:r w:rsidR="00C6592A">
          <w:rPr>
            <w:noProof/>
            <w:webHidden/>
          </w:rPr>
          <w:t>57</w:t>
        </w:r>
      </w:hyperlink>
    </w:p>
    <w:p w14:paraId="4F804E97" w14:textId="0B33A81E" w:rsidR="00921FA3" w:rsidRDefault="00A06738">
      <w:pPr>
        <w:pStyle w:val="TOC1"/>
        <w:rPr>
          <w:rFonts w:asciiTheme="minorHAnsi" w:eastAsiaTheme="minorEastAsia" w:hAnsiTheme="minorHAnsi" w:cstheme="minorBidi"/>
          <w:caps w:val="0"/>
          <w:noProof/>
          <w:sz w:val="22"/>
          <w:szCs w:val="22"/>
          <w:lang w:eastAsia="en-GB"/>
        </w:rPr>
      </w:pPr>
      <w:hyperlink w:anchor="_Toc133435403" w:history="1">
        <w:r w:rsidR="00921FA3" w:rsidRPr="00FD2284">
          <w:rPr>
            <w:rStyle w:val="Hyperlink"/>
            <w:noProof/>
          </w:rPr>
          <w:t>Annex 3: Who is affected and how?</w:t>
        </w:r>
        <w:r w:rsidR="00921FA3">
          <w:rPr>
            <w:noProof/>
            <w:webHidden/>
          </w:rPr>
          <w:tab/>
        </w:r>
        <w:r w:rsidR="00C6592A">
          <w:rPr>
            <w:noProof/>
            <w:webHidden/>
          </w:rPr>
          <w:t>68</w:t>
        </w:r>
      </w:hyperlink>
    </w:p>
    <w:p w14:paraId="0853C95B" w14:textId="43E1AC1C" w:rsidR="00921FA3" w:rsidRDefault="00A06738">
      <w:pPr>
        <w:pStyle w:val="TOC1"/>
        <w:rPr>
          <w:rFonts w:asciiTheme="minorHAnsi" w:eastAsiaTheme="minorEastAsia" w:hAnsiTheme="minorHAnsi" w:cstheme="minorBidi"/>
          <w:caps w:val="0"/>
          <w:noProof/>
          <w:sz w:val="22"/>
          <w:szCs w:val="22"/>
          <w:lang w:eastAsia="en-GB"/>
        </w:rPr>
      </w:pPr>
      <w:hyperlink w:anchor="_Toc133435404" w:history="1">
        <w:r w:rsidR="00921FA3" w:rsidRPr="00FD2284">
          <w:rPr>
            <w:rStyle w:val="Hyperlink"/>
            <w:noProof/>
          </w:rPr>
          <w:t>Annex 4: Analytical methods</w:t>
        </w:r>
        <w:r w:rsidR="00921FA3">
          <w:rPr>
            <w:noProof/>
            <w:webHidden/>
          </w:rPr>
          <w:tab/>
        </w:r>
        <w:r w:rsidR="00C6592A">
          <w:rPr>
            <w:noProof/>
            <w:webHidden/>
          </w:rPr>
          <w:t>72</w:t>
        </w:r>
      </w:hyperlink>
    </w:p>
    <w:p w14:paraId="11605B03" w14:textId="31F0E6C2" w:rsidR="00921FA3" w:rsidRDefault="00A06738">
      <w:pPr>
        <w:pStyle w:val="TOC1"/>
        <w:rPr>
          <w:rFonts w:asciiTheme="minorHAnsi" w:eastAsiaTheme="minorEastAsia" w:hAnsiTheme="minorHAnsi" w:cstheme="minorBidi"/>
          <w:caps w:val="0"/>
          <w:noProof/>
          <w:sz w:val="22"/>
          <w:szCs w:val="22"/>
          <w:lang w:eastAsia="en-GB"/>
        </w:rPr>
      </w:pPr>
      <w:hyperlink w:anchor="_Toc133435405" w:history="1">
        <w:r w:rsidR="00921FA3" w:rsidRPr="00FD2284">
          <w:rPr>
            <w:rStyle w:val="Hyperlink"/>
            <w:noProof/>
          </w:rPr>
          <w:t>Annex 5: Legal background and the key legal provisions</w:t>
        </w:r>
        <w:r w:rsidR="00921FA3">
          <w:rPr>
            <w:noProof/>
            <w:webHidden/>
          </w:rPr>
          <w:tab/>
        </w:r>
        <w:r w:rsidR="00C6592A">
          <w:rPr>
            <w:noProof/>
            <w:webHidden/>
          </w:rPr>
          <w:t>78</w:t>
        </w:r>
      </w:hyperlink>
    </w:p>
    <w:p w14:paraId="38904959" w14:textId="59E442E7" w:rsidR="00921FA3" w:rsidRDefault="00A06738">
      <w:pPr>
        <w:pStyle w:val="TOC1"/>
        <w:rPr>
          <w:rFonts w:asciiTheme="minorHAnsi" w:eastAsiaTheme="minorEastAsia" w:hAnsiTheme="minorHAnsi" w:cstheme="minorBidi"/>
          <w:caps w:val="0"/>
          <w:noProof/>
          <w:sz w:val="22"/>
          <w:szCs w:val="22"/>
          <w:lang w:eastAsia="en-GB"/>
        </w:rPr>
      </w:pPr>
      <w:hyperlink w:anchor="_Toc133435406" w:history="1">
        <w:r w:rsidR="00921FA3" w:rsidRPr="00FD2284">
          <w:rPr>
            <w:rStyle w:val="Hyperlink"/>
            <w:noProof/>
          </w:rPr>
          <w:t>Annex 6: Supplementary evidence</w:t>
        </w:r>
        <w:r w:rsidR="00921FA3">
          <w:rPr>
            <w:noProof/>
            <w:webHidden/>
          </w:rPr>
          <w:tab/>
        </w:r>
        <w:r w:rsidR="00C6592A">
          <w:rPr>
            <w:noProof/>
            <w:webHidden/>
          </w:rPr>
          <w:t>87</w:t>
        </w:r>
      </w:hyperlink>
    </w:p>
    <w:p w14:paraId="125AAB35" w14:textId="5E7FA297" w:rsidR="00921FA3" w:rsidRDefault="00A06738">
      <w:pPr>
        <w:pStyle w:val="TOC1"/>
        <w:rPr>
          <w:rFonts w:asciiTheme="minorHAnsi" w:eastAsiaTheme="minorEastAsia" w:hAnsiTheme="minorHAnsi" w:cstheme="minorBidi"/>
          <w:caps w:val="0"/>
          <w:noProof/>
          <w:sz w:val="22"/>
          <w:szCs w:val="22"/>
          <w:lang w:eastAsia="en-GB"/>
        </w:rPr>
      </w:pPr>
      <w:hyperlink w:anchor="_Toc133435407" w:history="1">
        <w:r w:rsidR="00921FA3" w:rsidRPr="00FD2284">
          <w:rPr>
            <w:rStyle w:val="Hyperlink"/>
            <w:noProof/>
          </w:rPr>
          <w:t>Annex 7: Supplementary legal analysis: the principle of exhaustion in the Single Market</w:t>
        </w:r>
        <w:r w:rsidR="00921FA3">
          <w:rPr>
            <w:noProof/>
            <w:webHidden/>
          </w:rPr>
          <w:tab/>
        </w:r>
        <w:r w:rsidR="00C6592A">
          <w:rPr>
            <w:noProof/>
            <w:webHidden/>
          </w:rPr>
          <w:t>135</w:t>
        </w:r>
      </w:hyperlink>
    </w:p>
    <w:p w14:paraId="3B66DBDB" w14:textId="06BA798C" w:rsidR="00921FA3" w:rsidRDefault="00A06738">
      <w:pPr>
        <w:pStyle w:val="TOC1"/>
        <w:rPr>
          <w:rFonts w:asciiTheme="minorHAnsi" w:eastAsiaTheme="minorEastAsia" w:hAnsiTheme="minorHAnsi" w:cstheme="minorBidi"/>
          <w:caps w:val="0"/>
          <w:noProof/>
          <w:sz w:val="22"/>
          <w:szCs w:val="22"/>
          <w:lang w:eastAsia="en-GB"/>
        </w:rPr>
      </w:pPr>
      <w:hyperlink w:anchor="_Toc133435408" w:history="1">
        <w:r w:rsidR="00921FA3" w:rsidRPr="00FD2284">
          <w:rPr>
            <w:rStyle w:val="Hyperlink"/>
            <w:noProof/>
          </w:rPr>
          <w:t>Annex 8: SME test</w:t>
        </w:r>
        <w:r w:rsidR="00921FA3">
          <w:rPr>
            <w:noProof/>
            <w:webHidden/>
          </w:rPr>
          <w:tab/>
        </w:r>
        <w:r w:rsidR="00C6592A">
          <w:rPr>
            <w:noProof/>
            <w:webHidden/>
          </w:rPr>
          <w:t>138</w:t>
        </w:r>
      </w:hyperlink>
    </w:p>
    <w:p w14:paraId="45C124E8" w14:textId="17B08629" w:rsidR="00186C29" w:rsidRPr="003B11BD" w:rsidRDefault="00D67B38" w:rsidP="000E3086">
      <w:pPr>
        <w:rPr>
          <w:rFonts w:eastAsia="Times New Roman"/>
          <w:caps/>
          <w:noProof/>
          <w:sz w:val="22"/>
          <w:szCs w:val="22"/>
          <w:lang w:val="en-IE"/>
        </w:rPr>
      </w:pPr>
      <w:r w:rsidRPr="003B11BD">
        <w:rPr>
          <w:rFonts w:eastAsia="Times New Roman"/>
          <w:caps/>
          <w:noProof/>
          <w:sz w:val="22"/>
          <w:szCs w:val="22"/>
          <w:lang w:val="en-IE"/>
        </w:rPr>
        <w:fldChar w:fldCharType="end"/>
      </w:r>
    </w:p>
    <w:p w14:paraId="4E4A88A4" w14:textId="77777777" w:rsidR="001B0161" w:rsidRPr="003B11BD" w:rsidRDefault="001B0161">
      <w:pPr>
        <w:spacing w:after="200" w:line="276" w:lineRule="auto"/>
        <w:jc w:val="left"/>
        <w:rPr>
          <w:rFonts w:eastAsia="Times New Roman"/>
          <w:caps/>
          <w:noProof/>
          <w:sz w:val="22"/>
          <w:szCs w:val="22"/>
          <w:lang w:val="en-IE"/>
        </w:rPr>
      </w:pPr>
      <w:r w:rsidRPr="003B11BD">
        <w:rPr>
          <w:rFonts w:eastAsia="Times New Roman"/>
          <w:caps/>
          <w:noProof/>
          <w:sz w:val="22"/>
          <w:szCs w:val="22"/>
          <w:lang w:val="en-IE"/>
        </w:rPr>
        <w:br w:type="page"/>
      </w:r>
    </w:p>
    <w:p w14:paraId="160ABF0E" w14:textId="1F060A2D" w:rsidR="006B087E" w:rsidRPr="003B11BD" w:rsidRDefault="006B087E" w:rsidP="000E3086">
      <w:pPr>
        <w:rPr>
          <w:noProof/>
          <w:lang w:val="en-IE"/>
        </w:rPr>
      </w:pPr>
      <w:r w:rsidRPr="003B11BD">
        <w:rPr>
          <w:b/>
          <w:noProof/>
          <w:lang w:val="en-IE"/>
        </w:rPr>
        <w:t>Glossary</w:t>
      </w:r>
    </w:p>
    <w:tbl>
      <w:tblPr>
        <w:tblStyle w:val="TableGrid"/>
        <w:tblW w:w="0" w:type="auto"/>
        <w:tblLook w:val="04A0" w:firstRow="1" w:lastRow="0" w:firstColumn="1" w:lastColumn="0" w:noHBand="0" w:noVBand="1"/>
      </w:tblPr>
      <w:tblGrid>
        <w:gridCol w:w="3227"/>
        <w:gridCol w:w="5607"/>
      </w:tblGrid>
      <w:tr w:rsidR="006B087E" w:rsidRPr="003B11BD" w14:paraId="5CC348BB" w14:textId="77777777" w:rsidTr="0053316B">
        <w:tc>
          <w:tcPr>
            <w:tcW w:w="3227" w:type="dxa"/>
            <w:tcBorders>
              <w:bottom w:val="double" w:sz="4" w:space="0" w:color="auto"/>
            </w:tcBorders>
            <w:shd w:val="clear" w:color="auto" w:fill="F2F2F2" w:themeFill="background1" w:themeFillShade="F2"/>
          </w:tcPr>
          <w:p w14:paraId="35502B97" w14:textId="77777777" w:rsidR="006B087E" w:rsidRPr="003B11BD" w:rsidRDefault="006B087E" w:rsidP="00DD529A">
            <w:pPr>
              <w:spacing w:after="0"/>
              <w:rPr>
                <w:b/>
                <w:noProof/>
                <w:sz w:val="20"/>
                <w:szCs w:val="20"/>
                <w:lang w:val="en-IE"/>
              </w:rPr>
            </w:pPr>
            <w:r w:rsidRPr="003B11BD">
              <w:rPr>
                <w:b/>
                <w:noProof/>
                <w:sz w:val="20"/>
                <w:szCs w:val="20"/>
                <w:lang w:val="en-IE"/>
              </w:rPr>
              <w:t>Term or acronym</w:t>
            </w:r>
          </w:p>
        </w:tc>
        <w:tc>
          <w:tcPr>
            <w:tcW w:w="5607" w:type="dxa"/>
            <w:tcBorders>
              <w:bottom w:val="double" w:sz="4" w:space="0" w:color="auto"/>
            </w:tcBorders>
            <w:shd w:val="clear" w:color="auto" w:fill="F2F2F2" w:themeFill="background1" w:themeFillShade="F2"/>
          </w:tcPr>
          <w:p w14:paraId="5FA51FD6" w14:textId="77777777" w:rsidR="006B087E" w:rsidRPr="003B11BD" w:rsidRDefault="006B087E" w:rsidP="00DD529A">
            <w:pPr>
              <w:spacing w:after="0"/>
              <w:rPr>
                <w:b/>
                <w:noProof/>
                <w:sz w:val="20"/>
                <w:szCs w:val="20"/>
                <w:lang w:val="en-IE"/>
              </w:rPr>
            </w:pPr>
            <w:r w:rsidRPr="003B11BD">
              <w:rPr>
                <w:b/>
                <w:noProof/>
                <w:sz w:val="20"/>
                <w:szCs w:val="20"/>
                <w:lang w:val="en-IE"/>
              </w:rPr>
              <w:t>Meaning or definition</w:t>
            </w:r>
          </w:p>
        </w:tc>
      </w:tr>
      <w:tr w:rsidR="00ED1A32" w:rsidRPr="003B11BD" w14:paraId="210D6370" w14:textId="77777777" w:rsidTr="00ED1A32">
        <w:tc>
          <w:tcPr>
            <w:tcW w:w="3227" w:type="dxa"/>
            <w:tcBorders>
              <w:top w:val="double" w:sz="4" w:space="0" w:color="auto"/>
              <w:bottom w:val="single" w:sz="4" w:space="0" w:color="auto"/>
            </w:tcBorders>
            <w:tcMar>
              <w:top w:w="85" w:type="dxa"/>
              <w:left w:w="57" w:type="dxa"/>
              <w:bottom w:w="85" w:type="dxa"/>
              <w:right w:w="57" w:type="dxa"/>
            </w:tcMar>
          </w:tcPr>
          <w:p w14:paraId="6EACED27" w14:textId="61FFBE75" w:rsidR="00ED1A32" w:rsidRPr="003B11BD" w:rsidRDefault="00ED1A32" w:rsidP="00DD529A">
            <w:pPr>
              <w:spacing w:after="0"/>
              <w:rPr>
                <w:noProof/>
                <w:color w:val="000000"/>
                <w:sz w:val="20"/>
                <w:szCs w:val="20"/>
                <w:lang w:val="en-IE"/>
              </w:rPr>
            </w:pPr>
            <w:r w:rsidRPr="003B11BD">
              <w:rPr>
                <w:noProof/>
                <w:color w:val="000000"/>
                <w:sz w:val="20"/>
                <w:szCs w:val="20"/>
                <w:lang w:val="en-IE"/>
              </w:rPr>
              <w:t>Charter</w:t>
            </w:r>
          </w:p>
        </w:tc>
        <w:tc>
          <w:tcPr>
            <w:tcW w:w="5607" w:type="dxa"/>
            <w:tcBorders>
              <w:top w:val="double" w:sz="4" w:space="0" w:color="auto"/>
              <w:bottom w:val="single" w:sz="4" w:space="0" w:color="auto"/>
            </w:tcBorders>
            <w:tcMar>
              <w:top w:w="85" w:type="dxa"/>
              <w:left w:w="57" w:type="dxa"/>
              <w:bottom w:w="85" w:type="dxa"/>
              <w:right w:w="57" w:type="dxa"/>
            </w:tcMar>
          </w:tcPr>
          <w:p w14:paraId="7B12F351" w14:textId="69F72BA9" w:rsidR="00ED1A32" w:rsidRPr="003B11BD" w:rsidRDefault="00ED1A32" w:rsidP="00DD529A">
            <w:pPr>
              <w:spacing w:after="0"/>
              <w:rPr>
                <w:noProof/>
                <w:color w:val="000000"/>
                <w:sz w:val="20"/>
                <w:szCs w:val="20"/>
                <w:lang w:val="en-IE"/>
              </w:rPr>
            </w:pPr>
            <w:r w:rsidRPr="003B11BD">
              <w:rPr>
                <w:noProof/>
                <w:color w:val="000000"/>
                <w:sz w:val="20"/>
                <w:szCs w:val="20"/>
                <w:lang w:val="en-IE"/>
              </w:rPr>
              <w:t>EU Charter of fundamental rights</w:t>
            </w:r>
          </w:p>
        </w:tc>
      </w:tr>
      <w:tr w:rsidR="00ED1A32" w:rsidRPr="003B11BD" w14:paraId="0D16786E" w14:textId="77777777" w:rsidTr="00ED1A32">
        <w:tc>
          <w:tcPr>
            <w:tcW w:w="3227" w:type="dxa"/>
            <w:tcBorders>
              <w:top w:val="single" w:sz="4" w:space="0" w:color="auto"/>
              <w:bottom w:val="single" w:sz="4" w:space="0" w:color="auto"/>
            </w:tcBorders>
            <w:tcMar>
              <w:top w:w="85" w:type="dxa"/>
              <w:left w:w="57" w:type="dxa"/>
              <w:bottom w:w="85" w:type="dxa"/>
              <w:right w:w="57" w:type="dxa"/>
            </w:tcMar>
          </w:tcPr>
          <w:p w14:paraId="3A5906D1" w14:textId="77777777" w:rsidR="00ED1A32" w:rsidRPr="003B11BD" w:rsidRDefault="00ED1A32" w:rsidP="00150955">
            <w:pPr>
              <w:spacing w:after="0"/>
              <w:rPr>
                <w:noProof/>
                <w:sz w:val="20"/>
                <w:szCs w:val="20"/>
                <w:lang w:val="en-IE"/>
              </w:rPr>
            </w:pPr>
            <w:r w:rsidRPr="003B11BD">
              <w:rPr>
                <w:noProof/>
                <w:color w:val="000000"/>
                <w:sz w:val="20"/>
                <w:szCs w:val="20"/>
                <w:lang w:val="en-IE"/>
              </w:rPr>
              <w:t>CJEU</w:t>
            </w:r>
          </w:p>
        </w:tc>
        <w:tc>
          <w:tcPr>
            <w:tcW w:w="5607" w:type="dxa"/>
            <w:tcBorders>
              <w:top w:val="single" w:sz="4" w:space="0" w:color="auto"/>
              <w:bottom w:val="single" w:sz="4" w:space="0" w:color="auto"/>
            </w:tcBorders>
            <w:tcMar>
              <w:top w:w="85" w:type="dxa"/>
              <w:left w:w="57" w:type="dxa"/>
              <w:bottom w:w="85" w:type="dxa"/>
              <w:right w:w="57" w:type="dxa"/>
            </w:tcMar>
          </w:tcPr>
          <w:p w14:paraId="04676190" w14:textId="77777777" w:rsidR="00ED1A32" w:rsidRPr="003B11BD" w:rsidRDefault="00ED1A32" w:rsidP="00150955">
            <w:pPr>
              <w:spacing w:after="0"/>
              <w:rPr>
                <w:noProof/>
                <w:sz w:val="20"/>
                <w:szCs w:val="20"/>
                <w:lang w:val="en-IE"/>
              </w:rPr>
            </w:pPr>
            <w:r w:rsidRPr="003B11BD">
              <w:rPr>
                <w:noProof/>
                <w:color w:val="000000"/>
                <w:sz w:val="20"/>
                <w:szCs w:val="20"/>
                <w:lang w:val="en-IE"/>
              </w:rPr>
              <w:t>Court of Justice of the European Union.</w:t>
            </w:r>
          </w:p>
        </w:tc>
      </w:tr>
      <w:tr w:rsidR="00EA724B" w:rsidRPr="003B11BD" w14:paraId="74A8D55F" w14:textId="77777777" w:rsidTr="008D00F0">
        <w:tc>
          <w:tcPr>
            <w:tcW w:w="3227" w:type="dxa"/>
            <w:tcBorders>
              <w:top w:val="single" w:sz="4" w:space="0" w:color="auto"/>
              <w:bottom w:val="single" w:sz="4" w:space="0" w:color="auto"/>
            </w:tcBorders>
            <w:tcMar>
              <w:top w:w="85" w:type="dxa"/>
              <w:left w:w="57" w:type="dxa"/>
              <w:bottom w:w="85" w:type="dxa"/>
              <w:right w:w="57" w:type="dxa"/>
            </w:tcMar>
          </w:tcPr>
          <w:p w14:paraId="549D6A6A" w14:textId="28691FC8" w:rsidR="00EA724B" w:rsidRPr="003B11BD" w:rsidRDefault="00EA724B" w:rsidP="00DD529A">
            <w:pPr>
              <w:spacing w:after="0"/>
              <w:rPr>
                <w:noProof/>
                <w:color w:val="000000"/>
                <w:sz w:val="20"/>
                <w:szCs w:val="20"/>
                <w:lang w:val="en-IE"/>
              </w:rPr>
            </w:pPr>
            <w:r w:rsidRPr="003B11BD">
              <w:rPr>
                <w:noProof/>
                <w:color w:val="000000"/>
                <w:sz w:val="20"/>
                <w:szCs w:val="20"/>
                <w:lang w:val="en-IE"/>
              </w:rPr>
              <w:t>CL</w:t>
            </w:r>
          </w:p>
        </w:tc>
        <w:tc>
          <w:tcPr>
            <w:tcW w:w="5607" w:type="dxa"/>
            <w:tcBorders>
              <w:top w:val="single" w:sz="4" w:space="0" w:color="auto"/>
              <w:bottom w:val="single" w:sz="4" w:space="0" w:color="auto"/>
            </w:tcBorders>
            <w:tcMar>
              <w:top w:w="85" w:type="dxa"/>
              <w:left w:w="57" w:type="dxa"/>
              <w:bottom w:w="85" w:type="dxa"/>
              <w:right w:w="57" w:type="dxa"/>
            </w:tcMar>
          </w:tcPr>
          <w:p w14:paraId="36083A14" w14:textId="3F6B072A" w:rsidR="00EA724B" w:rsidRPr="003B11BD" w:rsidRDefault="00EA724B" w:rsidP="00DD529A">
            <w:pPr>
              <w:spacing w:after="0"/>
              <w:rPr>
                <w:noProof/>
                <w:color w:val="000000"/>
                <w:sz w:val="20"/>
                <w:szCs w:val="20"/>
                <w:lang w:val="en-IE"/>
              </w:rPr>
            </w:pPr>
            <w:r w:rsidRPr="003B11BD">
              <w:rPr>
                <w:noProof/>
                <w:color w:val="000000"/>
                <w:sz w:val="20"/>
                <w:szCs w:val="20"/>
                <w:lang w:val="en-IE"/>
              </w:rPr>
              <w:t>Compulsory licence</w:t>
            </w:r>
          </w:p>
        </w:tc>
      </w:tr>
      <w:tr w:rsidR="005356B7" w:rsidRPr="003B11BD" w14:paraId="001AE70C" w14:textId="77777777" w:rsidTr="00D57B2E">
        <w:tc>
          <w:tcPr>
            <w:tcW w:w="3227" w:type="dxa"/>
            <w:tcBorders>
              <w:top w:val="single" w:sz="4" w:space="0" w:color="auto"/>
            </w:tcBorders>
            <w:tcMar>
              <w:top w:w="85" w:type="dxa"/>
              <w:left w:w="57" w:type="dxa"/>
              <w:bottom w:w="85" w:type="dxa"/>
              <w:right w:w="57" w:type="dxa"/>
            </w:tcMar>
          </w:tcPr>
          <w:p w14:paraId="6B089F05" w14:textId="4C9E2430" w:rsidR="0037261A" w:rsidRPr="003B11BD" w:rsidRDefault="00E009D5" w:rsidP="00EC059D">
            <w:pPr>
              <w:spacing w:after="0"/>
              <w:rPr>
                <w:noProof/>
                <w:sz w:val="20"/>
                <w:szCs w:val="20"/>
                <w:lang w:val="en-IE"/>
              </w:rPr>
            </w:pPr>
            <w:r w:rsidRPr="003B11BD">
              <w:rPr>
                <w:noProof/>
                <w:color w:val="000000"/>
                <w:sz w:val="20"/>
                <w:szCs w:val="20"/>
                <w:lang w:val="en-IE"/>
              </w:rPr>
              <w:t>Doha Declaration</w:t>
            </w:r>
          </w:p>
        </w:tc>
        <w:tc>
          <w:tcPr>
            <w:tcW w:w="5607" w:type="dxa"/>
            <w:tcBorders>
              <w:top w:val="single" w:sz="4" w:space="0" w:color="auto"/>
            </w:tcBorders>
            <w:tcMar>
              <w:top w:w="85" w:type="dxa"/>
              <w:left w:w="57" w:type="dxa"/>
              <w:bottom w:w="85" w:type="dxa"/>
              <w:right w:w="57" w:type="dxa"/>
            </w:tcMar>
          </w:tcPr>
          <w:p w14:paraId="44C9785A" w14:textId="44101CC3" w:rsidR="005356B7" w:rsidRPr="003B11BD" w:rsidRDefault="005356B7" w:rsidP="00DD529A">
            <w:pPr>
              <w:spacing w:after="0"/>
              <w:rPr>
                <w:noProof/>
                <w:color w:val="000000"/>
                <w:sz w:val="20"/>
                <w:szCs w:val="20"/>
                <w:lang w:val="en-IE"/>
              </w:rPr>
            </w:pPr>
            <w:r w:rsidRPr="003B11BD">
              <w:rPr>
                <w:noProof/>
                <w:sz w:val="20"/>
                <w:szCs w:val="20"/>
                <w:lang w:val="en-IE"/>
              </w:rPr>
              <w:t>WTO Declaration on the TRIPS agreement and public health adopted on 14 November 2001</w:t>
            </w:r>
          </w:p>
        </w:tc>
      </w:tr>
      <w:tr w:rsidR="00420AD3" w:rsidRPr="003B11BD" w14:paraId="530967D0" w14:textId="77777777" w:rsidTr="00D57B2E">
        <w:tc>
          <w:tcPr>
            <w:tcW w:w="3227" w:type="dxa"/>
            <w:tcBorders>
              <w:top w:val="single" w:sz="4" w:space="0" w:color="auto"/>
            </w:tcBorders>
            <w:tcMar>
              <w:top w:w="85" w:type="dxa"/>
              <w:left w:w="57" w:type="dxa"/>
              <w:bottom w:w="85" w:type="dxa"/>
              <w:right w:w="57" w:type="dxa"/>
            </w:tcMar>
          </w:tcPr>
          <w:p w14:paraId="68F65723" w14:textId="113F67FF" w:rsidR="00420AD3" w:rsidRPr="003B11BD" w:rsidRDefault="00420AD3" w:rsidP="00EC059D">
            <w:pPr>
              <w:spacing w:after="0"/>
              <w:rPr>
                <w:noProof/>
                <w:color w:val="000000"/>
                <w:sz w:val="20"/>
                <w:szCs w:val="20"/>
                <w:lang w:val="en-IE"/>
              </w:rPr>
            </w:pPr>
            <w:r>
              <w:rPr>
                <w:noProof/>
                <w:color w:val="000000"/>
                <w:sz w:val="20"/>
                <w:szCs w:val="20"/>
                <w:lang w:val="en-IE"/>
              </w:rPr>
              <w:t>EC</w:t>
            </w:r>
          </w:p>
        </w:tc>
        <w:tc>
          <w:tcPr>
            <w:tcW w:w="5607" w:type="dxa"/>
            <w:tcBorders>
              <w:top w:val="single" w:sz="4" w:space="0" w:color="auto"/>
            </w:tcBorders>
            <w:tcMar>
              <w:top w:w="85" w:type="dxa"/>
              <w:left w:w="57" w:type="dxa"/>
              <w:bottom w:w="85" w:type="dxa"/>
              <w:right w:w="57" w:type="dxa"/>
            </w:tcMar>
          </w:tcPr>
          <w:p w14:paraId="4D79C1B7" w14:textId="71F45B68" w:rsidR="00420AD3" w:rsidRPr="003B11BD" w:rsidRDefault="00420AD3" w:rsidP="00DD529A">
            <w:pPr>
              <w:spacing w:after="0"/>
              <w:rPr>
                <w:noProof/>
                <w:sz w:val="20"/>
                <w:szCs w:val="20"/>
                <w:lang w:val="en-IE"/>
              </w:rPr>
            </w:pPr>
            <w:r>
              <w:rPr>
                <w:noProof/>
                <w:sz w:val="20"/>
                <w:szCs w:val="20"/>
                <w:lang w:val="en-IE"/>
              </w:rPr>
              <w:t>The European Commission</w:t>
            </w:r>
          </w:p>
        </w:tc>
      </w:tr>
      <w:tr w:rsidR="006B087E" w:rsidRPr="003B11BD" w14:paraId="548382BB" w14:textId="77777777" w:rsidTr="0053316B">
        <w:tc>
          <w:tcPr>
            <w:tcW w:w="3227" w:type="dxa"/>
            <w:tcMar>
              <w:top w:w="85" w:type="dxa"/>
              <w:left w:w="57" w:type="dxa"/>
              <w:bottom w:w="85" w:type="dxa"/>
              <w:right w:w="57" w:type="dxa"/>
            </w:tcMar>
          </w:tcPr>
          <w:p w14:paraId="30A40315" w14:textId="3F245FD7" w:rsidR="006B087E" w:rsidRPr="003B11BD" w:rsidRDefault="002E27EB" w:rsidP="00DD529A">
            <w:pPr>
              <w:spacing w:after="0"/>
              <w:rPr>
                <w:noProof/>
                <w:sz w:val="20"/>
                <w:szCs w:val="20"/>
                <w:lang w:val="en-IE"/>
              </w:rPr>
            </w:pPr>
            <w:r w:rsidRPr="003B11BD">
              <w:rPr>
                <w:noProof/>
                <w:color w:val="000000"/>
                <w:sz w:val="20"/>
                <w:szCs w:val="20"/>
                <w:lang w:val="en-IE"/>
              </w:rPr>
              <w:t>EPO</w:t>
            </w:r>
          </w:p>
        </w:tc>
        <w:tc>
          <w:tcPr>
            <w:tcW w:w="5607" w:type="dxa"/>
            <w:tcMar>
              <w:top w:w="85" w:type="dxa"/>
              <w:left w:w="57" w:type="dxa"/>
              <w:bottom w:w="85" w:type="dxa"/>
              <w:right w:w="57" w:type="dxa"/>
            </w:tcMar>
          </w:tcPr>
          <w:p w14:paraId="1F171B6A" w14:textId="301D8288" w:rsidR="006B087E" w:rsidRPr="003B11BD" w:rsidRDefault="002E27EB" w:rsidP="00DD529A">
            <w:pPr>
              <w:spacing w:after="0"/>
              <w:rPr>
                <w:noProof/>
                <w:sz w:val="20"/>
                <w:szCs w:val="20"/>
                <w:lang w:val="en-IE"/>
              </w:rPr>
            </w:pPr>
            <w:r w:rsidRPr="003B11BD">
              <w:rPr>
                <w:noProof/>
                <w:color w:val="000000"/>
                <w:sz w:val="20"/>
                <w:szCs w:val="20"/>
                <w:lang w:val="en-IE"/>
              </w:rPr>
              <w:t>European Patent Office</w:t>
            </w:r>
          </w:p>
        </w:tc>
      </w:tr>
      <w:tr w:rsidR="00767B55" w:rsidRPr="003B11BD" w14:paraId="22942599" w14:textId="77777777" w:rsidTr="0053316B">
        <w:tc>
          <w:tcPr>
            <w:tcW w:w="3227" w:type="dxa"/>
            <w:tcMar>
              <w:top w:w="85" w:type="dxa"/>
              <w:left w:w="57" w:type="dxa"/>
              <w:bottom w:w="85" w:type="dxa"/>
              <w:right w:w="57" w:type="dxa"/>
            </w:tcMar>
          </w:tcPr>
          <w:p w14:paraId="63B1FEF9" w14:textId="26861CB5" w:rsidR="00767B55" w:rsidRPr="003B11BD" w:rsidRDefault="00767B55" w:rsidP="00DD529A">
            <w:pPr>
              <w:spacing w:after="0"/>
              <w:rPr>
                <w:noProof/>
                <w:color w:val="000000"/>
                <w:sz w:val="20"/>
                <w:szCs w:val="20"/>
                <w:lang w:val="en-IE"/>
              </w:rPr>
            </w:pPr>
            <w:r w:rsidRPr="003B11BD">
              <w:rPr>
                <w:noProof/>
                <w:color w:val="000000"/>
                <w:sz w:val="20"/>
                <w:szCs w:val="20"/>
                <w:lang w:val="en-IE"/>
              </w:rPr>
              <w:t>EU cross-border crisis</w:t>
            </w:r>
          </w:p>
        </w:tc>
        <w:tc>
          <w:tcPr>
            <w:tcW w:w="5607" w:type="dxa"/>
            <w:tcMar>
              <w:top w:w="85" w:type="dxa"/>
              <w:left w:w="57" w:type="dxa"/>
              <w:bottom w:w="85" w:type="dxa"/>
              <w:right w:w="57" w:type="dxa"/>
            </w:tcMar>
          </w:tcPr>
          <w:p w14:paraId="3E8F82A7" w14:textId="71EDAFD4" w:rsidR="00767B55" w:rsidRPr="003B11BD" w:rsidRDefault="00767B55" w:rsidP="00DD529A">
            <w:pPr>
              <w:spacing w:after="0"/>
              <w:rPr>
                <w:noProof/>
                <w:color w:val="000000"/>
                <w:sz w:val="20"/>
                <w:szCs w:val="20"/>
                <w:lang w:val="en-IE"/>
              </w:rPr>
            </w:pPr>
            <w:r w:rsidRPr="003B11BD">
              <w:rPr>
                <w:noProof/>
                <w:color w:val="000000"/>
                <w:sz w:val="20"/>
                <w:szCs w:val="20"/>
                <w:lang w:val="en-IE"/>
              </w:rPr>
              <w:t>Crisis affecting more than one EU country</w:t>
            </w:r>
          </w:p>
        </w:tc>
      </w:tr>
      <w:tr w:rsidR="009F57F0" w:rsidRPr="003B11BD" w14:paraId="4554AEBE" w14:textId="77777777" w:rsidTr="0053316B">
        <w:tc>
          <w:tcPr>
            <w:tcW w:w="3227" w:type="dxa"/>
            <w:tcMar>
              <w:top w:w="85" w:type="dxa"/>
              <w:left w:w="57" w:type="dxa"/>
              <w:bottom w:w="85" w:type="dxa"/>
              <w:right w:w="57" w:type="dxa"/>
            </w:tcMar>
          </w:tcPr>
          <w:p w14:paraId="071B650D" w14:textId="61F71A71" w:rsidR="009F57F0" w:rsidRPr="003B11BD" w:rsidRDefault="009F57F0" w:rsidP="00DD529A">
            <w:pPr>
              <w:spacing w:after="0"/>
              <w:rPr>
                <w:noProof/>
                <w:color w:val="000000"/>
                <w:sz w:val="20"/>
                <w:szCs w:val="20"/>
                <w:lang w:val="en-IE"/>
              </w:rPr>
            </w:pPr>
            <w:r w:rsidRPr="003B11BD">
              <w:rPr>
                <w:noProof/>
                <w:color w:val="000000"/>
                <w:sz w:val="20"/>
                <w:szCs w:val="20"/>
                <w:lang w:val="en-IE"/>
              </w:rPr>
              <w:t>HERA</w:t>
            </w:r>
          </w:p>
        </w:tc>
        <w:tc>
          <w:tcPr>
            <w:tcW w:w="5607" w:type="dxa"/>
            <w:tcMar>
              <w:top w:w="85" w:type="dxa"/>
              <w:left w:w="57" w:type="dxa"/>
              <w:bottom w:w="85" w:type="dxa"/>
              <w:right w:w="57" w:type="dxa"/>
            </w:tcMar>
          </w:tcPr>
          <w:p w14:paraId="4100589F" w14:textId="6BA97BE5" w:rsidR="009F57F0" w:rsidRPr="003B11BD" w:rsidRDefault="009F57F0" w:rsidP="00DD529A">
            <w:pPr>
              <w:spacing w:after="0"/>
              <w:rPr>
                <w:noProof/>
                <w:sz w:val="20"/>
                <w:szCs w:val="20"/>
                <w:lang w:val="en-IE"/>
              </w:rPr>
            </w:pPr>
            <w:r w:rsidRPr="003B11BD">
              <w:rPr>
                <w:noProof/>
                <w:sz w:val="20"/>
                <w:szCs w:val="20"/>
                <w:shd w:val="clear" w:color="auto" w:fill="FFFFFF"/>
                <w:lang w:val="en-IE"/>
              </w:rPr>
              <w:t xml:space="preserve">Health Emergency Preparedness and Response </w:t>
            </w:r>
          </w:p>
        </w:tc>
      </w:tr>
      <w:tr w:rsidR="006B087E" w:rsidRPr="003B11BD" w14:paraId="4CAF7505" w14:textId="77777777" w:rsidTr="0053316B">
        <w:tc>
          <w:tcPr>
            <w:tcW w:w="3227" w:type="dxa"/>
            <w:tcMar>
              <w:top w:w="85" w:type="dxa"/>
              <w:left w:w="57" w:type="dxa"/>
              <w:bottom w:w="85" w:type="dxa"/>
              <w:right w:w="57" w:type="dxa"/>
            </w:tcMar>
          </w:tcPr>
          <w:p w14:paraId="543B15E0" w14:textId="3ED8E8F9" w:rsidR="006B087E" w:rsidRPr="003B11BD" w:rsidRDefault="002E27EB" w:rsidP="00DD529A">
            <w:pPr>
              <w:spacing w:after="0"/>
              <w:rPr>
                <w:noProof/>
                <w:sz w:val="20"/>
                <w:szCs w:val="20"/>
                <w:lang w:val="en-IE"/>
              </w:rPr>
            </w:pPr>
            <w:r w:rsidRPr="003B11BD">
              <w:rPr>
                <w:noProof/>
                <w:color w:val="000000"/>
                <w:sz w:val="20"/>
                <w:szCs w:val="20"/>
                <w:lang w:val="en-IE"/>
              </w:rPr>
              <w:t>IP</w:t>
            </w:r>
          </w:p>
        </w:tc>
        <w:tc>
          <w:tcPr>
            <w:tcW w:w="5607" w:type="dxa"/>
            <w:tcMar>
              <w:top w:w="85" w:type="dxa"/>
              <w:left w:w="57" w:type="dxa"/>
              <w:bottom w:w="85" w:type="dxa"/>
              <w:right w:w="57" w:type="dxa"/>
            </w:tcMar>
          </w:tcPr>
          <w:p w14:paraId="79C31953" w14:textId="3911BE8F" w:rsidR="006B087E" w:rsidRPr="003B11BD" w:rsidRDefault="002E27EB" w:rsidP="00DD529A">
            <w:pPr>
              <w:spacing w:after="0"/>
              <w:rPr>
                <w:noProof/>
                <w:sz w:val="20"/>
                <w:szCs w:val="20"/>
                <w:lang w:val="en-IE"/>
              </w:rPr>
            </w:pPr>
            <w:r w:rsidRPr="003B11BD">
              <w:rPr>
                <w:noProof/>
                <w:color w:val="000000"/>
                <w:sz w:val="20"/>
                <w:szCs w:val="20"/>
                <w:lang w:val="en-IE"/>
              </w:rPr>
              <w:t>Intellectual property</w:t>
            </w:r>
          </w:p>
        </w:tc>
      </w:tr>
      <w:tr w:rsidR="007F763D" w:rsidRPr="003B11BD" w14:paraId="5C8AA010" w14:textId="77777777" w:rsidTr="0053316B">
        <w:tc>
          <w:tcPr>
            <w:tcW w:w="3227" w:type="dxa"/>
            <w:tcMar>
              <w:top w:w="85" w:type="dxa"/>
              <w:left w:w="57" w:type="dxa"/>
              <w:bottom w:w="85" w:type="dxa"/>
              <w:right w:w="57" w:type="dxa"/>
            </w:tcMar>
          </w:tcPr>
          <w:p w14:paraId="7EE59DFE" w14:textId="70F2184E" w:rsidR="007F763D" w:rsidRPr="003B11BD" w:rsidRDefault="007F763D" w:rsidP="00DD529A">
            <w:pPr>
              <w:spacing w:after="0"/>
              <w:rPr>
                <w:noProof/>
                <w:color w:val="000000"/>
                <w:sz w:val="20"/>
                <w:szCs w:val="20"/>
                <w:lang w:val="en-IE"/>
              </w:rPr>
            </w:pPr>
            <w:r w:rsidRPr="003B11BD">
              <w:rPr>
                <w:noProof/>
                <w:color w:val="000000"/>
                <w:sz w:val="20"/>
                <w:szCs w:val="20"/>
                <w:lang w:val="en-IE"/>
              </w:rPr>
              <w:t>NGO</w:t>
            </w:r>
          </w:p>
        </w:tc>
        <w:tc>
          <w:tcPr>
            <w:tcW w:w="5607" w:type="dxa"/>
            <w:tcMar>
              <w:top w:w="85" w:type="dxa"/>
              <w:left w:w="57" w:type="dxa"/>
              <w:bottom w:w="85" w:type="dxa"/>
              <w:right w:w="57" w:type="dxa"/>
            </w:tcMar>
          </w:tcPr>
          <w:p w14:paraId="49EB222B" w14:textId="5A60AA54" w:rsidR="007F763D" w:rsidRPr="003B11BD" w:rsidRDefault="007F763D" w:rsidP="00DD529A">
            <w:pPr>
              <w:spacing w:after="0"/>
              <w:rPr>
                <w:noProof/>
                <w:color w:val="000000"/>
                <w:sz w:val="20"/>
                <w:szCs w:val="20"/>
                <w:lang w:val="en-IE"/>
              </w:rPr>
            </w:pPr>
            <w:r w:rsidRPr="003B11BD">
              <w:rPr>
                <w:noProof/>
                <w:color w:val="000000"/>
                <w:sz w:val="20"/>
                <w:szCs w:val="20"/>
                <w:lang w:val="en-IE"/>
              </w:rPr>
              <w:t>Non-governmental organisation</w:t>
            </w:r>
          </w:p>
        </w:tc>
      </w:tr>
      <w:tr w:rsidR="0091718F" w:rsidRPr="003B11BD" w14:paraId="78484164" w14:textId="77777777" w:rsidTr="0053316B">
        <w:tc>
          <w:tcPr>
            <w:tcW w:w="3227" w:type="dxa"/>
            <w:tcMar>
              <w:top w:w="85" w:type="dxa"/>
              <w:left w:w="57" w:type="dxa"/>
              <w:bottom w:w="85" w:type="dxa"/>
              <w:right w:w="57" w:type="dxa"/>
            </w:tcMar>
          </w:tcPr>
          <w:p w14:paraId="61F27661" w14:textId="09073E80" w:rsidR="0091718F" w:rsidRPr="003B11BD" w:rsidRDefault="0091718F" w:rsidP="00DD529A">
            <w:pPr>
              <w:spacing w:after="0"/>
              <w:rPr>
                <w:noProof/>
                <w:color w:val="000000"/>
                <w:sz w:val="20"/>
                <w:szCs w:val="20"/>
                <w:lang w:val="en-IE"/>
              </w:rPr>
            </w:pPr>
            <w:r w:rsidRPr="003B11BD">
              <w:rPr>
                <w:noProof/>
                <w:color w:val="000000"/>
                <w:sz w:val="20"/>
                <w:szCs w:val="20"/>
                <w:lang w:val="en-IE"/>
              </w:rPr>
              <w:t>OPC</w:t>
            </w:r>
          </w:p>
        </w:tc>
        <w:tc>
          <w:tcPr>
            <w:tcW w:w="5607" w:type="dxa"/>
            <w:tcMar>
              <w:top w:w="85" w:type="dxa"/>
              <w:left w:w="57" w:type="dxa"/>
              <w:bottom w:w="85" w:type="dxa"/>
              <w:right w:w="57" w:type="dxa"/>
            </w:tcMar>
          </w:tcPr>
          <w:p w14:paraId="2DB44859" w14:textId="2855EB0B" w:rsidR="0091718F" w:rsidRPr="003B11BD" w:rsidRDefault="0091718F" w:rsidP="00DD529A">
            <w:pPr>
              <w:spacing w:after="0"/>
              <w:rPr>
                <w:noProof/>
                <w:color w:val="000000"/>
                <w:sz w:val="20"/>
                <w:szCs w:val="20"/>
                <w:lang w:val="en-IE"/>
              </w:rPr>
            </w:pPr>
            <w:r w:rsidRPr="003B11BD">
              <w:rPr>
                <w:noProof/>
                <w:color w:val="000000"/>
                <w:sz w:val="20"/>
                <w:szCs w:val="20"/>
                <w:lang w:val="en-IE"/>
              </w:rPr>
              <w:t>Open public consultation</w:t>
            </w:r>
          </w:p>
        </w:tc>
      </w:tr>
      <w:tr w:rsidR="006B087E" w:rsidRPr="003B11BD" w14:paraId="43150C11" w14:textId="77777777" w:rsidTr="0053316B">
        <w:tc>
          <w:tcPr>
            <w:tcW w:w="3227" w:type="dxa"/>
            <w:tcMar>
              <w:top w:w="85" w:type="dxa"/>
              <w:left w:w="57" w:type="dxa"/>
              <w:bottom w:w="85" w:type="dxa"/>
              <w:right w:w="57" w:type="dxa"/>
            </w:tcMar>
          </w:tcPr>
          <w:p w14:paraId="02292201" w14:textId="013C270E" w:rsidR="006B087E" w:rsidRPr="003B11BD" w:rsidRDefault="002E27EB" w:rsidP="00DD529A">
            <w:pPr>
              <w:spacing w:after="0"/>
              <w:rPr>
                <w:noProof/>
                <w:sz w:val="20"/>
                <w:szCs w:val="20"/>
                <w:lang w:val="en-IE"/>
              </w:rPr>
            </w:pPr>
            <w:r w:rsidRPr="003B11BD">
              <w:rPr>
                <w:noProof/>
                <w:color w:val="000000"/>
                <w:sz w:val="20"/>
                <w:szCs w:val="20"/>
                <w:lang w:val="en-IE"/>
              </w:rPr>
              <w:t>RDP</w:t>
            </w:r>
          </w:p>
        </w:tc>
        <w:tc>
          <w:tcPr>
            <w:tcW w:w="5607" w:type="dxa"/>
            <w:tcMar>
              <w:top w:w="85" w:type="dxa"/>
              <w:left w:w="57" w:type="dxa"/>
              <w:bottom w:w="85" w:type="dxa"/>
              <w:right w:w="57" w:type="dxa"/>
            </w:tcMar>
          </w:tcPr>
          <w:p w14:paraId="7F0A2407" w14:textId="2D4781BB" w:rsidR="006B087E" w:rsidRPr="003B11BD" w:rsidRDefault="002E27EB" w:rsidP="00DD529A">
            <w:pPr>
              <w:spacing w:after="0"/>
              <w:rPr>
                <w:noProof/>
                <w:sz w:val="20"/>
                <w:szCs w:val="20"/>
                <w:lang w:val="en-IE"/>
              </w:rPr>
            </w:pPr>
            <w:r w:rsidRPr="003B11BD">
              <w:rPr>
                <w:noProof/>
                <w:color w:val="000000"/>
                <w:sz w:val="20"/>
                <w:szCs w:val="20"/>
                <w:lang w:val="en-IE"/>
              </w:rPr>
              <w:t>Regulatory data protection</w:t>
            </w:r>
          </w:p>
        </w:tc>
      </w:tr>
      <w:tr w:rsidR="0035330C" w:rsidRPr="003B11BD" w14:paraId="5CB1055A" w14:textId="77777777" w:rsidTr="0053316B">
        <w:tc>
          <w:tcPr>
            <w:tcW w:w="3227" w:type="dxa"/>
            <w:tcMar>
              <w:top w:w="85" w:type="dxa"/>
              <w:left w:w="57" w:type="dxa"/>
              <w:bottom w:w="85" w:type="dxa"/>
              <w:right w:w="57" w:type="dxa"/>
            </w:tcMar>
          </w:tcPr>
          <w:p w14:paraId="3F0B3379" w14:textId="52FA40E9" w:rsidR="0035330C" w:rsidRPr="003B11BD" w:rsidRDefault="0035330C" w:rsidP="00DD529A">
            <w:pPr>
              <w:spacing w:after="0"/>
              <w:rPr>
                <w:noProof/>
                <w:color w:val="000000"/>
                <w:sz w:val="20"/>
                <w:szCs w:val="20"/>
                <w:lang w:val="en-IE"/>
              </w:rPr>
            </w:pPr>
            <w:r w:rsidRPr="003B11BD">
              <w:rPr>
                <w:noProof/>
                <w:color w:val="000000"/>
                <w:sz w:val="20"/>
                <w:szCs w:val="20"/>
                <w:lang w:val="en-IE"/>
              </w:rPr>
              <w:t>SCBTH</w:t>
            </w:r>
          </w:p>
        </w:tc>
        <w:tc>
          <w:tcPr>
            <w:tcW w:w="5607" w:type="dxa"/>
            <w:tcMar>
              <w:top w:w="85" w:type="dxa"/>
              <w:left w:w="57" w:type="dxa"/>
              <w:bottom w:w="85" w:type="dxa"/>
              <w:right w:w="57" w:type="dxa"/>
            </w:tcMar>
          </w:tcPr>
          <w:p w14:paraId="2BC26BDF" w14:textId="527871D5" w:rsidR="0035330C" w:rsidRPr="003B11BD" w:rsidRDefault="006F0B5C" w:rsidP="00DD529A">
            <w:pPr>
              <w:spacing w:after="0"/>
              <w:rPr>
                <w:noProof/>
                <w:color w:val="000000"/>
                <w:sz w:val="20"/>
                <w:szCs w:val="20"/>
                <w:lang w:val="en-IE"/>
              </w:rPr>
            </w:pPr>
            <w:r w:rsidRPr="003B11BD">
              <w:rPr>
                <w:noProof/>
                <w:color w:val="000000"/>
                <w:sz w:val="20"/>
                <w:szCs w:val="20"/>
                <w:lang w:val="en-IE"/>
              </w:rPr>
              <w:t>Serious cross-border threats to health</w:t>
            </w:r>
          </w:p>
        </w:tc>
      </w:tr>
      <w:tr w:rsidR="001D749A" w:rsidRPr="003B11BD" w14:paraId="317DE4EA" w14:textId="77777777" w:rsidTr="0053316B">
        <w:tc>
          <w:tcPr>
            <w:tcW w:w="3227" w:type="dxa"/>
            <w:tcMar>
              <w:top w:w="85" w:type="dxa"/>
              <w:left w:w="57" w:type="dxa"/>
              <w:bottom w:w="85" w:type="dxa"/>
              <w:right w:w="57" w:type="dxa"/>
            </w:tcMar>
          </w:tcPr>
          <w:p w14:paraId="0870D52E" w14:textId="5C17C08F" w:rsidR="001D749A" w:rsidRPr="003B11BD" w:rsidRDefault="00D43F3F" w:rsidP="00DD529A">
            <w:pPr>
              <w:spacing w:after="0"/>
              <w:rPr>
                <w:noProof/>
                <w:color w:val="000000"/>
                <w:sz w:val="20"/>
                <w:szCs w:val="20"/>
                <w:lang w:val="en-IE"/>
              </w:rPr>
            </w:pPr>
            <w:r w:rsidRPr="003B11BD">
              <w:rPr>
                <w:noProof/>
                <w:color w:val="000000"/>
                <w:sz w:val="20"/>
                <w:szCs w:val="20"/>
                <w:lang w:val="en-IE"/>
              </w:rPr>
              <w:t>Single Market</w:t>
            </w:r>
          </w:p>
        </w:tc>
        <w:tc>
          <w:tcPr>
            <w:tcW w:w="5607" w:type="dxa"/>
            <w:tcMar>
              <w:top w:w="85" w:type="dxa"/>
              <w:left w:w="57" w:type="dxa"/>
              <w:bottom w:w="85" w:type="dxa"/>
              <w:right w:w="57" w:type="dxa"/>
            </w:tcMar>
          </w:tcPr>
          <w:p w14:paraId="6BAEF1C4" w14:textId="6C87C381" w:rsidR="001D749A" w:rsidRPr="003B11BD" w:rsidRDefault="001D749A" w:rsidP="00DD529A">
            <w:pPr>
              <w:spacing w:after="0"/>
              <w:rPr>
                <w:noProof/>
                <w:color w:val="000000"/>
                <w:sz w:val="20"/>
                <w:szCs w:val="20"/>
                <w:lang w:val="en-IE"/>
              </w:rPr>
            </w:pPr>
            <w:r w:rsidRPr="003B11BD">
              <w:rPr>
                <w:noProof/>
                <w:color w:val="000000"/>
                <w:sz w:val="20"/>
                <w:szCs w:val="20"/>
                <w:lang w:val="en-IE"/>
              </w:rPr>
              <w:t xml:space="preserve">The EU </w:t>
            </w:r>
            <w:r w:rsidR="00222D8C" w:rsidRPr="003B11BD">
              <w:rPr>
                <w:noProof/>
                <w:color w:val="000000"/>
                <w:sz w:val="20"/>
                <w:szCs w:val="20"/>
                <w:lang w:val="en-IE"/>
              </w:rPr>
              <w:t>s</w:t>
            </w:r>
            <w:r w:rsidR="00D43F3F" w:rsidRPr="003B11BD">
              <w:rPr>
                <w:noProof/>
                <w:color w:val="000000"/>
                <w:sz w:val="20"/>
                <w:szCs w:val="20"/>
                <w:lang w:val="en-IE"/>
              </w:rPr>
              <w:t xml:space="preserve">ingle </w:t>
            </w:r>
            <w:r w:rsidR="00222D8C" w:rsidRPr="003B11BD">
              <w:rPr>
                <w:noProof/>
                <w:color w:val="000000"/>
                <w:sz w:val="20"/>
                <w:szCs w:val="20"/>
                <w:lang w:val="en-IE"/>
              </w:rPr>
              <w:t>m</w:t>
            </w:r>
            <w:r w:rsidR="00D43F3F" w:rsidRPr="003B11BD">
              <w:rPr>
                <w:noProof/>
                <w:color w:val="000000"/>
                <w:sz w:val="20"/>
                <w:szCs w:val="20"/>
                <w:lang w:val="en-IE"/>
              </w:rPr>
              <w:t>arket</w:t>
            </w:r>
            <w:r w:rsidRPr="003B11BD">
              <w:rPr>
                <w:noProof/>
                <w:color w:val="000000"/>
                <w:sz w:val="20"/>
                <w:szCs w:val="20"/>
                <w:lang w:val="en-IE"/>
              </w:rPr>
              <w:t xml:space="preserve"> covering EU 27 Member States</w:t>
            </w:r>
          </w:p>
        </w:tc>
      </w:tr>
      <w:tr w:rsidR="006B087E" w:rsidRPr="003B11BD" w14:paraId="48C39BCD" w14:textId="77777777" w:rsidTr="0053316B">
        <w:tc>
          <w:tcPr>
            <w:tcW w:w="3227" w:type="dxa"/>
            <w:tcMar>
              <w:top w:w="85" w:type="dxa"/>
              <w:left w:w="57" w:type="dxa"/>
              <w:bottom w:w="85" w:type="dxa"/>
              <w:right w:w="57" w:type="dxa"/>
            </w:tcMar>
          </w:tcPr>
          <w:p w14:paraId="197CCBC2" w14:textId="2ECA2BF4" w:rsidR="006B087E" w:rsidRPr="003B11BD" w:rsidRDefault="002E27EB" w:rsidP="00DD529A">
            <w:pPr>
              <w:spacing w:after="0"/>
              <w:rPr>
                <w:noProof/>
                <w:sz w:val="20"/>
                <w:szCs w:val="20"/>
                <w:lang w:val="en-IE"/>
              </w:rPr>
            </w:pPr>
            <w:r w:rsidRPr="003B11BD">
              <w:rPr>
                <w:noProof/>
                <w:color w:val="000000"/>
                <w:sz w:val="20"/>
                <w:szCs w:val="20"/>
                <w:lang w:val="en-IE"/>
              </w:rPr>
              <w:t>SME</w:t>
            </w:r>
          </w:p>
        </w:tc>
        <w:tc>
          <w:tcPr>
            <w:tcW w:w="5607" w:type="dxa"/>
            <w:tcMar>
              <w:top w:w="85" w:type="dxa"/>
              <w:left w:w="57" w:type="dxa"/>
              <w:bottom w:w="85" w:type="dxa"/>
              <w:right w:w="57" w:type="dxa"/>
            </w:tcMar>
          </w:tcPr>
          <w:p w14:paraId="63A19450" w14:textId="58EB035A" w:rsidR="006B087E" w:rsidRPr="003B11BD" w:rsidRDefault="002E27EB" w:rsidP="00DD529A">
            <w:pPr>
              <w:spacing w:after="0"/>
              <w:rPr>
                <w:noProof/>
                <w:sz w:val="20"/>
                <w:szCs w:val="20"/>
                <w:lang w:val="en-IE"/>
              </w:rPr>
            </w:pPr>
            <w:r w:rsidRPr="003B11BD">
              <w:rPr>
                <w:noProof/>
                <w:color w:val="000000"/>
                <w:sz w:val="20"/>
                <w:szCs w:val="20"/>
                <w:lang w:val="en-IE"/>
              </w:rPr>
              <w:t>Small or medium-sized enterprise(s)</w:t>
            </w:r>
          </w:p>
        </w:tc>
      </w:tr>
      <w:tr w:rsidR="009F57F0" w:rsidRPr="003B11BD" w14:paraId="70F36FAB" w14:textId="77777777" w:rsidTr="0053316B">
        <w:tc>
          <w:tcPr>
            <w:tcW w:w="3227" w:type="dxa"/>
            <w:tcMar>
              <w:top w:w="85" w:type="dxa"/>
              <w:left w:w="57" w:type="dxa"/>
              <w:bottom w:w="85" w:type="dxa"/>
              <w:right w:w="57" w:type="dxa"/>
            </w:tcMar>
          </w:tcPr>
          <w:p w14:paraId="6281409F" w14:textId="1219E3C4" w:rsidR="009F57F0" w:rsidRPr="003B11BD" w:rsidRDefault="009F57F0" w:rsidP="00DD529A">
            <w:pPr>
              <w:spacing w:after="0"/>
              <w:rPr>
                <w:noProof/>
                <w:color w:val="000000"/>
                <w:sz w:val="20"/>
                <w:szCs w:val="20"/>
                <w:lang w:val="en-IE"/>
              </w:rPr>
            </w:pPr>
            <w:r w:rsidRPr="003B11BD">
              <w:rPr>
                <w:noProof/>
                <w:color w:val="000000"/>
                <w:sz w:val="20"/>
                <w:szCs w:val="20"/>
                <w:lang w:val="en-IE"/>
              </w:rPr>
              <w:t>SMEI</w:t>
            </w:r>
          </w:p>
        </w:tc>
        <w:tc>
          <w:tcPr>
            <w:tcW w:w="5607" w:type="dxa"/>
            <w:tcMar>
              <w:top w:w="85" w:type="dxa"/>
              <w:left w:w="57" w:type="dxa"/>
              <w:bottom w:w="85" w:type="dxa"/>
              <w:right w:w="57" w:type="dxa"/>
            </w:tcMar>
          </w:tcPr>
          <w:p w14:paraId="139908CE" w14:textId="0853A04A" w:rsidR="009F57F0" w:rsidRPr="003B11BD" w:rsidRDefault="00D43F3F" w:rsidP="00DD529A">
            <w:pPr>
              <w:spacing w:after="0"/>
              <w:rPr>
                <w:noProof/>
                <w:color w:val="000000"/>
                <w:sz w:val="20"/>
                <w:szCs w:val="20"/>
                <w:lang w:val="en-IE"/>
              </w:rPr>
            </w:pPr>
            <w:r w:rsidRPr="003B11BD">
              <w:rPr>
                <w:noProof/>
                <w:color w:val="000000"/>
                <w:sz w:val="20"/>
                <w:szCs w:val="20"/>
                <w:lang w:val="en-IE"/>
              </w:rPr>
              <w:t>Single Market</w:t>
            </w:r>
            <w:r w:rsidR="009F57F0" w:rsidRPr="003B11BD">
              <w:rPr>
                <w:noProof/>
                <w:color w:val="000000"/>
                <w:sz w:val="20"/>
                <w:szCs w:val="20"/>
                <w:lang w:val="en-IE"/>
              </w:rPr>
              <w:t xml:space="preserve"> Emergency Instrument</w:t>
            </w:r>
          </w:p>
        </w:tc>
      </w:tr>
      <w:tr w:rsidR="00E767DB" w:rsidRPr="003B11BD" w14:paraId="4D196763" w14:textId="77777777" w:rsidTr="0053316B">
        <w:tc>
          <w:tcPr>
            <w:tcW w:w="3227" w:type="dxa"/>
            <w:tcMar>
              <w:top w:w="85" w:type="dxa"/>
              <w:left w:w="57" w:type="dxa"/>
              <w:bottom w:w="85" w:type="dxa"/>
              <w:right w:w="57" w:type="dxa"/>
            </w:tcMar>
          </w:tcPr>
          <w:p w14:paraId="30026149" w14:textId="47D2EB1E" w:rsidR="00E767DB" w:rsidRPr="003B11BD" w:rsidRDefault="00E767DB" w:rsidP="00DD529A">
            <w:pPr>
              <w:spacing w:after="0"/>
              <w:rPr>
                <w:noProof/>
                <w:color w:val="000000"/>
                <w:sz w:val="20"/>
                <w:szCs w:val="20"/>
                <w:lang w:val="en-IE"/>
              </w:rPr>
            </w:pPr>
            <w:r w:rsidRPr="003B11BD">
              <w:rPr>
                <w:noProof/>
                <w:color w:val="000000"/>
                <w:sz w:val="20"/>
                <w:szCs w:val="20"/>
                <w:lang w:val="en-IE"/>
              </w:rPr>
              <w:t>SPC</w:t>
            </w:r>
          </w:p>
        </w:tc>
        <w:tc>
          <w:tcPr>
            <w:tcW w:w="5607" w:type="dxa"/>
            <w:tcMar>
              <w:top w:w="85" w:type="dxa"/>
              <w:left w:w="57" w:type="dxa"/>
              <w:bottom w:w="85" w:type="dxa"/>
              <w:right w:w="57" w:type="dxa"/>
            </w:tcMar>
          </w:tcPr>
          <w:p w14:paraId="665B069B" w14:textId="0192B81E" w:rsidR="00E767DB" w:rsidRPr="003B11BD" w:rsidRDefault="00E767DB" w:rsidP="00DD529A">
            <w:pPr>
              <w:spacing w:after="0"/>
              <w:rPr>
                <w:noProof/>
                <w:color w:val="000000"/>
                <w:sz w:val="20"/>
                <w:szCs w:val="20"/>
                <w:lang w:val="en-IE"/>
              </w:rPr>
            </w:pPr>
            <w:r w:rsidRPr="003B11BD">
              <w:rPr>
                <w:noProof/>
                <w:sz w:val="20"/>
                <w:szCs w:val="20"/>
                <w:lang w:val="en-IE"/>
              </w:rPr>
              <w:t>Supplementary protection certificates</w:t>
            </w:r>
          </w:p>
        </w:tc>
      </w:tr>
      <w:tr w:rsidR="000A2FAE" w:rsidRPr="003B11BD" w14:paraId="44D80D90" w14:textId="77777777" w:rsidTr="0053316B">
        <w:tc>
          <w:tcPr>
            <w:tcW w:w="3227" w:type="dxa"/>
            <w:tcMar>
              <w:top w:w="85" w:type="dxa"/>
              <w:left w:w="57" w:type="dxa"/>
              <w:bottom w:w="85" w:type="dxa"/>
              <w:right w:w="57" w:type="dxa"/>
            </w:tcMar>
          </w:tcPr>
          <w:p w14:paraId="58711994" w14:textId="50297D35" w:rsidR="000A2FAE" w:rsidRPr="003B11BD" w:rsidRDefault="000A2FAE" w:rsidP="00DD529A">
            <w:pPr>
              <w:spacing w:after="0"/>
              <w:rPr>
                <w:noProof/>
                <w:color w:val="000000"/>
                <w:sz w:val="20"/>
                <w:szCs w:val="20"/>
                <w:lang w:val="en-IE"/>
              </w:rPr>
            </w:pPr>
            <w:r w:rsidRPr="003B11BD">
              <w:rPr>
                <w:noProof/>
                <w:color w:val="000000"/>
                <w:sz w:val="20"/>
                <w:szCs w:val="20"/>
                <w:lang w:val="en-IE"/>
              </w:rPr>
              <w:t>TFEU</w:t>
            </w:r>
          </w:p>
        </w:tc>
        <w:tc>
          <w:tcPr>
            <w:tcW w:w="5607" w:type="dxa"/>
            <w:tcMar>
              <w:top w:w="85" w:type="dxa"/>
              <w:left w:w="57" w:type="dxa"/>
              <w:bottom w:w="85" w:type="dxa"/>
              <w:right w:w="57" w:type="dxa"/>
            </w:tcMar>
          </w:tcPr>
          <w:p w14:paraId="05EF352F" w14:textId="6CBF2C57" w:rsidR="000A2FAE" w:rsidRPr="003B11BD" w:rsidRDefault="000A2FAE" w:rsidP="00DD529A">
            <w:pPr>
              <w:spacing w:after="0"/>
              <w:rPr>
                <w:noProof/>
                <w:sz w:val="20"/>
                <w:szCs w:val="20"/>
                <w:lang w:val="en-IE"/>
              </w:rPr>
            </w:pPr>
            <w:r w:rsidRPr="003B11BD">
              <w:rPr>
                <w:noProof/>
                <w:sz w:val="20"/>
                <w:szCs w:val="20"/>
                <w:lang w:val="en-IE"/>
              </w:rPr>
              <w:t>Treaty on the Functioning of the European Union</w:t>
            </w:r>
          </w:p>
        </w:tc>
      </w:tr>
      <w:tr w:rsidR="006B087E" w:rsidRPr="003B11BD" w14:paraId="3AFC7C8C" w14:textId="77777777" w:rsidTr="0053316B">
        <w:tc>
          <w:tcPr>
            <w:tcW w:w="3227" w:type="dxa"/>
            <w:tcMar>
              <w:top w:w="85" w:type="dxa"/>
              <w:left w:w="57" w:type="dxa"/>
              <w:bottom w:w="85" w:type="dxa"/>
              <w:right w:w="57" w:type="dxa"/>
            </w:tcMar>
          </w:tcPr>
          <w:p w14:paraId="133CE00A" w14:textId="34BD3D76" w:rsidR="006B087E" w:rsidRPr="003B11BD" w:rsidRDefault="002E27EB" w:rsidP="00DD529A">
            <w:pPr>
              <w:spacing w:after="0"/>
              <w:rPr>
                <w:noProof/>
                <w:sz w:val="20"/>
                <w:szCs w:val="20"/>
                <w:lang w:val="en-IE"/>
              </w:rPr>
            </w:pPr>
            <w:r w:rsidRPr="003B11BD">
              <w:rPr>
                <w:noProof/>
                <w:color w:val="000000"/>
                <w:sz w:val="20"/>
                <w:szCs w:val="20"/>
                <w:lang w:val="en-IE"/>
              </w:rPr>
              <w:t>TRIPS</w:t>
            </w:r>
            <w:r w:rsidR="00F17DCC" w:rsidRPr="003B11BD">
              <w:rPr>
                <w:noProof/>
                <w:color w:val="000000"/>
                <w:sz w:val="20"/>
                <w:szCs w:val="20"/>
                <w:lang w:val="en-IE"/>
              </w:rPr>
              <w:t xml:space="preserve"> Agreement</w:t>
            </w:r>
          </w:p>
        </w:tc>
        <w:tc>
          <w:tcPr>
            <w:tcW w:w="5607" w:type="dxa"/>
            <w:tcMar>
              <w:top w:w="85" w:type="dxa"/>
              <w:left w:w="57" w:type="dxa"/>
              <w:bottom w:w="85" w:type="dxa"/>
              <w:right w:w="57" w:type="dxa"/>
            </w:tcMar>
          </w:tcPr>
          <w:p w14:paraId="216BADEF" w14:textId="6DCE5CCB" w:rsidR="006B087E" w:rsidRPr="003B11BD" w:rsidRDefault="002E27EB" w:rsidP="00DD529A">
            <w:pPr>
              <w:spacing w:after="0"/>
              <w:rPr>
                <w:noProof/>
                <w:sz w:val="20"/>
                <w:szCs w:val="20"/>
                <w:lang w:val="en-IE"/>
              </w:rPr>
            </w:pPr>
            <w:r w:rsidRPr="003B11BD">
              <w:rPr>
                <w:noProof/>
                <w:color w:val="000000"/>
                <w:sz w:val="20"/>
                <w:szCs w:val="20"/>
                <w:lang w:val="en-IE"/>
              </w:rPr>
              <w:t>Agreement of the World Trade Organization (WTO) on Trade-Related Aspects of Intellectual Property Rights</w:t>
            </w:r>
          </w:p>
        </w:tc>
      </w:tr>
      <w:tr w:rsidR="006B087E" w:rsidRPr="003B11BD" w14:paraId="07C4DAAA" w14:textId="77777777" w:rsidTr="0053316B">
        <w:tc>
          <w:tcPr>
            <w:tcW w:w="3227" w:type="dxa"/>
            <w:tcMar>
              <w:top w:w="85" w:type="dxa"/>
              <w:left w:w="57" w:type="dxa"/>
              <w:bottom w:w="85" w:type="dxa"/>
              <w:right w:w="57" w:type="dxa"/>
            </w:tcMar>
          </w:tcPr>
          <w:p w14:paraId="0342CEB8" w14:textId="5586D097" w:rsidR="006B087E" w:rsidRPr="003B11BD" w:rsidRDefault="002E27EB" w:rsidP="00DD529A">
            <w:pPr>
              <w:spacing w:after="0"/>
              <w:rPr>
                <w:noProof/>
                <w:sz w:val="20"/>
                <w:szCs w:val="20"/>
                <w:lang w:val="en-IE"/>
              </w:rPr>
            </w:pPr>
            <w:r w:rsidRPr="003B11BD">
              <w:rPr>
                <w:noProof/>
                <w:color w:val="000000"/>
                <w:sz w:val="20"/>
                <w:szCs w:val="20"/>
                <w:lang w:val="en-IE"/>
              </w:rPr>
              <w:t>WHO</w:t>
            </w:r>
          </w:p>
        </w:tc>
        <w:tc>
          <w:tcPr>
            <w:tcW w:w="5607" w:type="dxa"/>
            <w:tcMar>
              <w:top w:w="85" w:type="dxa"/>
              <w:left w:w="57" w:type="dxa"/>
              <w:bottom w:w="85" w:type="dxa"/>
              <w:right w:w="57" w:type="dxa"/>
            </w:tcMar>
          </w:tcPr>
          <w:p w14:paraId="350123BD" w14:textId="3E855734" w:rsidR="006B087E" w:rsidRPr="003B11BD" w:rsidRDefault="002E27EB" w:rsidP="00DD529A">
            <w:pPr>
              <w:spacing w:after="0"/>
              <w:rPr>
                <w:noProof/>
                <w:sz w:val="20"/>
                <w:szCs w:val="20"/>
                <w:lang w:val="en-IE"/>
              </w:rPr>
            </w:pPr>
            <w:r w:rsidRPr="003B11BD">
              <w:rPr>
                <w:noProof/>
                <w:color w:val="000000"/>
                <w:sz w:val="20"/>
                <w:szCs w:val="20"/>
                <w:lang w:val="en-IE"/>
              </w:rPr>
              <w:t>World Health Organization</w:t>
            </w:r>
          </w:p>
        </w:tc>
      </w:tr>
      <w:tr w:rsidR="006B087E" w:rsidRPr="003B11BD" w14:paraId="0A85B19C" w14:textId="77777777" w:rsidTr="0053316B">
        <w:tc>
          <w:tcPr>
            <w:tcW w:w="3227" w:type="dxa"/>
            <w:tcMar>
              <w:top w:w="85" w:type="dxa"/>
              <w:left w:w="57" w:type="dxa"/>
              <w:bottom w:w="85" w:type="dxa"/>
              <w:right w:w="57" w:type="dxa"/>
            </w:tcMar>
          </w:tcPr>
          <w:p w14:paraId="26055D70" w14:textId="5AAC94B1" w:rsidR="006B087E" w:rsidRPr="003B11BD" w:rsidRDefault="002E27EB" w:rsidP="00DD529A">
            <w:pPr>
              <w:spacing w:after="0"/>
              <w:rPr>
                <w:noProof/>
                <w:sz w:val="20"/>
                <w:szCs w:val="20"/>
                <w:lang w:val="en-IE"/>
              </w:rPr>
            </w:pPr>
            <w:r w:rsidRPr="003B11BD">
              <w:rPr>
                <w:noProof/>
                <w:color w:val="000000"/>
                <w:sz w:val="20"/>
                <w:szCs w:val="20"/>
                <w:lang w:val="en-IE"/>
              </w:rPr>
              <w:t>WIPO</w:t>
            </w:r>
          </w:p>
        </w:tc>
        <w:tc>
          <w:tcPr>
            <w:tcW w:w="5607" w:type="dxa"/>
            <w:tcMar>
              <w:top w:w="85" w:type="dxa"/>
              <w:left w:w="57" w:type="dxa"/>
              <w:bottom w:w="85" w:type="dxa"/>
              <w:right w:w="57" w:type="dxa"/>
            </w:tcMar>
          </w:tcPr>
          <w:p w14:paraId="36DE5593" w14:textId="2F02D53C" w:rsidR="006B087E" w:rsidRPr="003B11BD" w:rsidRDefault="002E27EB" w:rsidP="00DD529A">
            <w:pPr>
              <w:spacing w:after="0"/>
              <w:rPr>
                <w:noProof/>
                <w:sz w:val="20"/>
                <w:szCs w:val="20"/>
                <w:lang w:val="en-IE"/>
              </w:rPr>
            </w:pPr>
            <w:r w:rsidRPr="003B11BD">
              <w:rPr>
                <w:noProof/>
                <w:color w:val="000000"/>
                <w:sz w:val="20"/>
                <w:szCs w:val="20"/>
                <w:lang w:val="en-IE"/>
              </w:rPr>
              <w:t>World Intellectual Property Organization</w:t>
            </w:r>
          </w:p>
        </w:tc>
      </w:tr>
      <w:tr w:rsidR="006B087E" w:rsidRPr="003B11BD" w14:paraId="2F76E9CC" w14:textId="77777777" w:rsidTr="0053316B">
        <w:tc>
          <w:tcPr>
            <w:tcW w:w="3227" w:type="dxa"/>
            <w:tcMar>
              <w:top w:w="85" w:type="dxa"/>
              <w:left w:w="57" w:type="dxa"/>
              <w:bottom w:w="85" w:type="dxa"/>
              <w:right w:w="57" w:type="dxa"/>
            </w:tcMar>
          </w:tcPr>
          <w:p w14:paraId="45FB72E8" w14:textId="3409FAA7" w:rsidR="006B087E" w:rsidRPr="003B11BD" w:rsidRDefault="002E27EB" w:rsidP="00DD529A">
            <w:pPr>
              <w:spacing w:after="0"/>
              <w:rPr>
                <w:noProof/>
                <w:sz w:val="20"/>
                <w:szCs w:val="20"/>
                <w:lang w:val="en-IE"/>
              </w:rPr>
            </w:pPr>
            <w:r w:rsidRPr="003B11BD">
              <w:rPr>
                <w:noProof/>
                <w:sz w:val="20"/>
                <w:szCs w:val="20"/>
                <w:lang w:val="en-IE"/>
              </w:rPr>
              <w:t>WTO</w:t>
            </w:r>
          </w:p>
        </w:tc>
        <w:tc>
          <w:tcPr>
            <w:tcW w:w="5607" w:type="dxa"/>
            <w:tcMar>
              <w:top w:w="85" w:type="dxa"/>
              <w:left w:w="57" w:type="dxa"/>
              <w:bottom w:w="85" w:type="dxa"/>
              <w:right w:w="57" w:type="dxa"/>
            </w:tcMar>
          </w:tcPr>
          <w:p w14:paraId="5A7401D3" w14:textId="5594EBB8" w:rsidR="006B087E" w:rsidRPr="003B11BD" w:rsidRDefault="002E27EB" w:rsidP="00DD529A">
            <w:pPr>
              <w:spacing w:after="0"/>
              <w:rPr>
                <w:noProof/>
                <w:sz w:val="20"/>
                <w:szCs w:val="20"/>
                <w:lang w:val="en-IE"/>
              </w:rPr>
            </w:pPr>
            <w:r w:rsidRPr="003B11BD">
              <w:rPr>
                <w:noProof/>
                <w:sz w:val="20"/>
                <w:szCs w:val="20"/>
                <w:lang w:val="en-IE"/>
              </w:rPr>
              <w:t>World Trade Organization</w:t>
            </w:r>
          </w:p>
        </w:tc>
      </w:tr>
    </w:tbl>
    <w:p w14:paraId="720E6C93" w14:textId="77777777" w:rsidR="00DD529A" w:rsidRPr="003B11BD" w:rsidRDefault="00DD529A" w:rsidP="00DD529A">
      <w:pPr>
        <w:rPr>
          <w:noProof/>
          <w:sz w:val="16"/>
          <w:szCs w:val="16"/>
          <w:lang w:val="en-IE"/>
        </w:rPr>
      </w:pPr>
    </w:p>
    <w:p w14:paraId="3CB75610" w14:textId="5D81E9F1" w:rsidR="00DD529A" w:rsidRPr="003B11BD" w:rsidRDefault="00DD529A" w:rsidP="00DD529A">
      <w:pPr>
        <w:rPr>
          <w:noProof/>
          <w:lang w:val="en-IE"/>
        </w:rPr>
      </w:pPr>
      <w:r w:rsidRPr="003B11BD">
        <w:rPr>
          <w:noProof/>
          <w:lang w:val="en-IE"/>
        </w:rPr>
        <w:t xml:space="preserve">Country codes used in the text: </w:t>
      </w:r>
    </w:p>
    <w:p w14:paraId="606D7F99" w14:textId="77777777" w:rsidR="00DD529A" w:rsidRPr="003B11BD" w:rsidRDefault="00DD529A" w:rsidP="00DD529A">
      <w:pPr>
        <w:spacing w:after="0"/>
        <w:jc w:val="left"/>
        <w:rPr>
          <w:noProof/>
          <w:lang w:val="en-IE"/>
        </w:rPr>
        <w:sectPr w:rsidR="00DD529A" w:rsidRPr="003B11BD" w:rsidSect="00DD529A">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020" w:right="1701" w:bottom="1020" w:left="1587" w:header="601" w:footer="1077" w:gutter="0"/>
          <w:cols w:space="720"/>
        </w:sectPr>
      </w:pPr>
    </w:p>
    <w:p w14:paraId="17504128" w14:textId="77777777" w:rsidR="00DD529A" w:rsidRPr="003B11BD" w:rsidRDefault="00DD529A" w:rsidP="00DD529A">
      <w:pPr>
        <w:spacing w:after="0"/>
        <w:rPr>
          <w:noProof/>
          <w:sz w:val="16"/>
          <w:szCs w:val="16"/>
          <w:lang w:val="en-IE"/>
        </w:rPr>
      </w:pPr>
      <w:r w:rsidRPr="003B11BD">
        <w:rPr>
          <w:noProof/>
          <w:sz w:val="16"/>
          <w:szCs w:val="16"/>
          <w:lang w:val="en-IE"/>
        </w:rPr>
        <w:t xml:space="preserve">AT - Austria </w:t>
      </w:r>
    </w:p>
    <w:p w14:paraId="43FBF4A2" w14:textId="77777777" w:rsidR="00DD529A" w:rsidRPr="003B11BD" w:rsidRDefault="00DD529A" w:rsidP="00DD529A">
      <w:pPr>
        <w:spacing w:after="0"/>
        <w:rPr>
          <w:noProof/>
          <w:sz w:val="16"/>
          <w:szCs w:val="16"/>
          <w:lang w:val="en-IE"/>
        </w:rPr>
      </w:pPr>
      <w:r w:rsidRPr="003B11BD">
        <w:rPr>
          <w:noProof/>
          <w:sz w:val="16"/>
          <w:szCs w:val="16"/>
          <w:lang w:val="en-IE"/>
        </w:rPr>
        <w:t>BE - Belgium</w:t>
      </w:r>
    </w:p>
    <w:p w14:paraId="33E4B841" w14:textId="77777777" w:rsidR="00DD529A" w:rsidRPr="003B11BD" w:rsidRDefault="00DD529A" w:rsidP="00DD529A">
      <w:pPr>
        <w:spacing w:after="0"/>
        <w:rPr>
          <w:noProof/>
          <w:sz w:val="16"/>
          <w:szCs w:val="16"/>
          <w:lang w:val="en-IE"/>
        </w:rPr>
      </w:pPr>
      <w:r w:rsidRPr="003B11BD">
        <w:rPr>
          <w:noProof/>
          <w:sz w:val="16"/>
          <w:szCs w:val="16"/>
          <w:lang w:val="en-IE"/>
        </w:rPr>
        <w:t xml:space="preserve">BG - Bulgaria </w:t>
      </w:r>
    </w:p>
    <w:p w14:paraId="687D6170" w14:textId="77777777" w:rsidR="00DD529A" w:rsidRPr="003B11BD" w:rsidRDefault="00DD529A" w:rsidP="00DD529A">
      <w:pPr>
        <w:spacing w:after="0"/>
        <w:rPr>
          <w:noProof/>
          <w:sz w:val="16"/>
          <w:szCs w:val="16"/>
          <w:lang w:val="en-IE"/>
        </w:rPr>
      </w:pPr>
      <w:r w:rsidRPr="003B11BD">
        <w:rPr>
          <w:noProof/>
          <w:sz w:val="16"/>
          <w:szCs w:val="16"/>
          <w:lang w:val="en-IE"/>
        </w:rPr>
        <w:t xml:space="preserve">DE - Germany </w:t>
      </w:r>
    </w:p>
    <w:p w14:paraId="2D0FFEFF" w14:textId="77777777" w:rsidR="00DD529A" w:rsidRPr="003B11BD" w:rsidRDefault="00DD529A" w:rsidP="00DD529A">
      <w:pPr>
        <w:spacing w:after="0"/>
        <w:rPr>
          <w:noProof/>
          <w:sz w:val="16"/>
          <w:szCs w:val="16"/>
          <w:lang w:val="en-IE"/>
        </w:rPr>
      </w:pPr>
      <w:r w:rsidRPr="003B11BD">
        <w:rPr>
          <w:noProof/>
          <w:sz w:val="16"/>
          <w:szCs w:val="16"/>
          <w:lang w:val="en-IE"/>
        </w:rPr>
        <w:t>DK - Denmark</w:t>
      </w:r>
    </w:p>
    <w:p w14:paraId="1796A667" w14:textId="77777777" w:rsidR="00DD529A" w:rsidRPr="003B11BD" w:rsidRDefault="00DD529A" w:rsidP="00DD529A">
      <w:pPr>
        <w:spacing w:after="0"/>
        <w:rPr>
          <w:noProof/>
          <w:sz w:val="16"/>
          <w:szCs w:val="16"/>
          <w:lang w:val="en-IE"/>
        </w:rPr>
      </w:pPr>
      <w:r w:rsidRPr="003B11BD">
        <w:rPr>
          <w:noProof/>
          <w:sz w:val="16"/>
          <w:szCs w:val="16"/>
          <w:lang w:val="en-IE"/>
        </w:rPr>
        <w:t xml:space="preserve">CY - Cyprus </w:t>
      </w:r>
    </w:p>
    <w:p w14:paraId="097A73E5" w14:textId="77777777" w:rsidR="00DD529A" w:rsidRPr="003B11BD" w:rsidRDefault="00DD529A" w:rsidP="00DD529A">
      <w:pPr>
        <w:spacing w:after="0"/>
        <w:rPr>
          <w:noProof/>
          <w:sz w:val="16"/>
          <w:szCs w:val="16"/>
          <w:lang w:val="en-IE"/>
        </w:rPr>
      </w:pPr>
      <w:r w:rsidRPr="003B11BD">
        <w:rPr>
          <w:noProof/>
          <w:sz w:val="16"/>
          <w:szCs w:val="16"/>
          <w:lang w:val="en-IE"/>
        </w:rPr>
        <w:t>CZ - Czechia</w:t>
      </w:r>
    </w:p>
    <w:p w14:paraId="39BCCDB1" w14:textId="77777777" w:rsidR="00DD529A" w:rsidRPr="00C6592A" w:rsidRDefault="00DD529A" w:rsidP="00DD529A">
      <w:pPr>
        <w:spacing w:after="0"/>
        <w:rPr>
          <w:noProof/>
          <w:sz w:val="16"/>
          <w:szCs w:val="16"/>
          <w:lang w:val="it-IT"/>
        </w:rPr>
      </w:pPr>
      <w:r w:rsidRPr="00C6592A">
        <w:rPr>
          <w:noProof/>
          <w:sz w:val="16"/>
          <w:szCs w:val="16"/>
          <w:lang w:val="it-IT"/>
        </w:rPr>
        <w:t>EE – Estonia</w:t>
      </w:r>
    </w:p>
    <w:p w14:paraId="1B2BCD4E" w14:textId="77777777" w:rsidR="00DD529A" w:rsidRPr="00C6592A" w:rsidRDefault="00DD529A" w:rsidP="00DD529A">
      <w:pPr>
        <w:spacing w:after="0"/>
        <w:rPr>
          <w:noProof/>
          <w:sz w:val="16"/>
          <w:szCs w:val="16"/>
          <w:lang w:val="it-IT"/>
        </w:rPr>
      </w:pPr>
      <w:r w:rsidRPr="00C6592A">
        <w:rPr>
          <w:noProof/>
          <w:sz w:val="16"/>
          <w:szCs w:val="16"/>
          <w:lang w:val="it-IT"/>
        </w:rPr>
        <w:t>FI - Finland</w:t>
      </w:r>
    </w:p>
    <w:p w14:paraId="7A6FE02E" w14:textId="77777777" w:rsidR="00DD529A" w:rsidRPr="00C6592A" w:rsidRDefault="00DD529A" w:rsidP="00DD529A">
      <w:pPr>
        <w:spacing w:after="0"/>
        <w:rPr>
          <w:noProof/>
          <w:sz w:val="16"/>
          <w:szCs w:val="16"/>
          <w:lang w:val="it-IT"/>
        </w:rPr>
      </w:pPr>
      <w:r w:rsidRPr="00C6592A">
        <w:rPr>
          <w:noProof/>
          <w:sz w:val="16"/>
          <w:szCs w:val="16"/>
          <w:lang w:val="it-IT"/>
        </w:rPr>
        <w:t xml:space="preserve">FR- France </w:t>
      </w:r>
    </w:p>
    <w:p w14:paraId="30F8436A" w14:textId="77777777" w:rsidR="00DD529A" w:rsidRPr="00C6592A" w:rsidRDefault="00DD529A" w:rsidP="00DD529A">
      <w:pPr>
        <w:spacing w:after="0"/>
        <w:rPr>
          <w:noProof/>
          <w:sz w:val="16"/>
          <w:szCs w:val="16"/>
          <w:lang w:val="it-IT"/>
        </w:rPr>
      </w:pPr>
      <w:r w:rsidRPr="00C6592A">
        <w:rPr>
          <w:noProof/>
          <w:sz w:val="16"/>
          <w:szCs w:val="16"/>
          <w:lang w:val="it-IT"/>
        </w:rPr>
        <w:t xml:space="preserve">EL - Greece </w:t>
      </w:r>
    </w:p>
    <w:p w14:paraId="3F3F1957" w14:textId="77777777" w:rsidR="00DD529A" w:rsidRPr="00C6592A" w:rsidRDefault="00DD529A" w:rsidP="00DD529A">
      <w:pPr>
        <w:spacing w:after="0"/>
        <w:rPr>
          <w:noProof/>
          <w:sz w:val="16"/>
          <w:szCs w:val="16"/>
          <w:lang w:val="it-IT"/>
        </w:rPr>
      </w:pPr>
      <w:r w:rsidRPr="00C6592A">
        <w:rPr>
          <w:noProof/>
          <w:sz w:val="16"/>
          <w:szCs w:val="16"/>
          <w:lang w:val="it-IT"/>
        </w:rPr>
        <w:t xml:space="preserve">HR - Croatia </w:t>
      </w:r>
    </w:p>
    <w:p w14:paraId="72BC04A8" w14:textId="77777777" w:rsidR="00DD529A" w:rsidRPr="00C6592A" w:rsidRDefault="00DD529A" w:rsidP="00DD529A">
      <w:pPr>
        <w:spacing w:after="0"/>
        <w:rPr>
          <w:noProof/>
          <w:sz w:val="16"/>
          <w:szCs w:val="16"/>
          <w:lang w:val="it-IT"/>
        </w:rPr>
      </w:pPr>
      <w:r w:rsidRPr="00C6592A">
        <w:rPr>
          <w:noProof/>
          <w:sz w:val="16"/>
          <w:szCs w:val="16"/>
          <w:lang w:val="it-IT"/>
        </w:rPr>
        <w:t xml:space="preserve">HU - Hungary </w:t>
      </w:r>
    </w:p>
    <w:p w14:paraId="320B8A02" w14:textId="77777777" w:rsidR="00DD529A" w:rsidRPr="003B11BD" w:rsidRDefault="00DD529A" w:rsidP="00DD529A">
      <w:pPr>
        <w:spacing w:after="0"/>
        <w:rPr>
          <w:noProof/>
          <w:sz w:val="16"/>
          <w:szCs w:val="16"/>
          <w:lang w:val="en-IE"/>
        </w:rPr>
      </w:pPr>
      <w:r w:rsidRPr="003B11BD">
        <w:rPr>
          <w:noProof/>
          <w:sz w:val="16"/>
          <w:szCs w:val="16"/>
          <w:lang w:val="en-IE"/>
        </w:rPr>
        <w:t xml:space="preserve">IE - Ireland </w:t>
      </w:r>
    </w:p>
    <w:p w14:paraId="7FBA34A2" w14:textId="77777777" w:rsidR="00DD529A" w:rsidRPr="003B11BD" w:rsidRDefault="00DD529A" w:rsidP="00DD529A">
      <w:pPr>
        <w:spacing w:after="0"/>
        <w:rPr>
          <w:noProof/>
          <w:sz w:val="16"/>
          <w:szCs w:val="16"/>
          <w:lang w:val="en-IE"/>
        </w:rPr>
      </w:pPr>
      <w:r w:rsidRPr="003B11BD">
        <w:rPr>
          <w:noProof/>
          <w:sz w:val="16"/>
          <w:szCs w:val="16"/>
          <w:lang w:val="en-IE"/>
        </w:rPr>
        <w:t>IT - Italy</w:t>
      </w:r>
    </w:p>
    <w:p w14:paraId="0BB99880" w14:textId="77777777" w:rsidR="00DD529A" w:rsidRPr="003B11BD" w:rsidRDefault="00DD529A" w:rsidP="00DD529A">
      <w:pPr>
        <w:spacing w:after="0"/>
        <w:rPr>
          <w:noProof/>
          <w:sz w:val="16"/>
          <w:szCs w:val="16"/>
          <w:lang w:val="en-IE"/>
        </w:rPr>
      </w:pPr>
      <w:r w:rsidRPr="003B11BD">
        <w:rPr>
          <w:noProof/>
          <w:sz w:val="16"/>
          <w:szCs w:val="16"/>
          <w:lang w:val="en-IE"/>
        </w:rPr>
        <w:t xml:space="preserve">LV - Latvia </w:t>
      </w:r>
    </w:p>
    <w:p w14:paraId="6A1C1BEC" w14:textId="77777777" w:rsidR="00DD529A" w:rsidRPr="003B11BD" w:rsidRDefault="00DD529A" w:rsidP="00DD529A">
      <w:pPr>
        <w:spacing w:after="0"/>
        <w:rPr>
          <w:noProof/>
          <w:sz w:val="16"/>
          <w:szCs w:val="16"/>
          <w:lang w:val="en-IE"/>
        </w:rPr>
      </w:pPr>
      <w:r w:rsidRPr="003B11BD">
        <w:rPr>
          <w:noProof/>
          <w:sz w:val="16"/>
          <w:szCs w:val="16"/>
          <w:lang w:val="en-IE"/>
        </w:rPr>
        <w:t xml:space="preserve">LT - Lithuania </w:t>
      </w:r>
    </w:p>
    <w:p w14:paraId="53681A21" w14:textId="77777777" w:rsidR="00DD529A" w:rsidRPr="00C6592A" w:rsidRDefault="00DD529A" w:rsidP="00DD529A">
      <w:pPr>
        <w:spacing w:after="0"/>
        <w:rPr>
          <w:noProof/>
          <w:sz w:val="16"/>
          <w:szCs w:val="16"/>
          <w:lang w:val="en-IE"/>
        </w:rPr>
      </w:pPr>
      <w:r w:rsidRPr="00C6592A">
        <w:rPr>
          <w:noProof/>
          <w:sz w:val="16"/>
          <w:szCs w:val="16"/>
          <w:lang w:val="en-IE"/>
        </w:rPr>
        <w:t xml:space="preserve">LU - Luxembourg </w:t>
      </w:r>
    </w:p>
    <w:p w14:paraId="684EF964" w14:textId="77777777" w:rsidR="00DD529A" w:rsidRPr="00C6592A" w:rsidRDefault="00DD529A" w:rsidP="00DD529A">
      <w:pPr>
        <w:spacing w:after="0"/>
        <w:rPr>
          <w:noProof/>
          <w:sz w:val="16"/>
          <w:szCs w:val="16"/>
          <w:lang w:val="en-IE"/>
        </w:rPr>
      </w:pPr>
      <w:r w:rsidRPr="00C6592A">
        <w:rPr>
          <w:noProof/>
          <w:sz w:val="16"/>
          <w:szCs w:val="16"/>
          <w:lang w:val="en-IE"/>
        </w:rPr>
        <w:t>MT - Malta</w:t>
      </w:r>
    </w:p>
    <w:p w14:paraId="38C26505" w14:textId="77777777" w:rsidR="00DD529A" w:rsidRPr="00C6592A" w:rsidRDefault="00DD529A" w:rsidP="00DD529A">
      <w:pPr>
        <w:spacing w:after="0"/>
        <w:rPr>
          <w:noProof/>
          <w:sz w:val="16"/>
          <w:szCs w:val="16"/>
        </w:rPr>
      </w:pPr>
      <w:r w:rsidRPr="00C6592A">
        <w:rPr>
          <w:noProof/>
          <w:sz w:val="16"/>
          <w:szCs w:val="16"/>
        </w:rPr>
        <w:t xml:space="preserve">NL – Netherlands, the </w:t>
      </w:r>
    </w:p>
    <w:p w14:paraId="60DA04EA" w14:textId="77777777" w:rsidR="00DD529A" w:rsidRPr="00C6592A" w:rsidRDefault="00DD529A" w:rsidP="00DD529A">
      <w:pPr>
        <w:spacing w:after="0"/>
        <w:rPr>
          <w:noProof/>
          <w:sz w:val="16"/>
          <w:szCs w:val="16"/>
        </w:rPr>
      </w:pPr>
      <w:r w:rsidRPr="00C6592A">
        <w:rPr>
          <w:noProof/>
          <w:sz w:val="16"/>
          <w:szCs w:val="16"/>
        </w:rPr>
        <w:t xml:space="preserve">PL - Poland </w:t>
      </w:r>
    </w:p>
    <w:p w14:paraId="26FB6165" w14:textId="77777777" w:rsidR="00DD529A" w:rsidRPr="00C6592A" w:rsidRDefault="00DD529A" w:rsidP="00DD529A">
      <w:pPr>
        <w:spacing w:after="0"/>
        <w:rPr>
          <w:noProof/>
          <w:sz w:val="16"/>
          <w:szCs w:val="16"/>
        </w:rPr>
      </w:pPr>
      <w:r w:rsidRPr="00C6592A">
        <w:rPr>
          <w:noProof/>
          <w:sz w:val="16"/>
          <w:szCs w:val="16"/>
        </w:rPr>
        <w:t xml:space="preserve">PT - Portugal </w:t>
      </w:r>
    </w:p>
    <w:p w14:paraId="14D4381C" w14:textId="77777777" w:rsidR="00DD529A" w:rsidRPr="00C6592A" w:rsidRDefault="00DD529A" w:rsidP="00DD529A">
      <w:pPr>
        <w:spacing w:after="0"/>
        <w:rPr>
          <w:noProof/>
          <w:sz w:val="16"/>
          <w:szCs w:val="16"/>
          <w:lang w:val="it-IT"/>
        </w:rPr>
      </w:pPr>
      <w:r w:rsidRPr="00C6592A">
        <w:rPr>
          <w:noProof/>
          <w:sz w:val="16"/>
          <w:szCs w:val="16"/>
          <w:lang w:val="it-IT"/>
        </w:rPr>
        <w:t xml:space="preserve">RO - Romania </w:t>
      </w:r>
    </w:p>
    <w:p w14:paraId="442D44BC" w14:textId="77777777" w:rsidR="00DD529A" w:rsidRPr="00C6592A" w:rsidRDefault="00DD529A" w:rsidP="00DD529A">
      <w:pPr>
        <w:spacing w:after="0"/>
        <w:rPr>
          <w:noProof/>
          <w:sz w:val="16"/>
          <w:szCs w:val="16"/>
          <w:lang w:val="it-IT"/>
        </w:rPr>
      </w:pPr>
      <w:r w:rsidRPr="00C6592A">
        <w:rPr>
          <w:noProof/>
          <w:sz w:val="16"/>
          <w:szCs w:val="16"/>
          <w:lang w:val="it-IT"/>
        </w:rPr>
        <w:t xml:space="preserve">SK - Slovakia </w:t>
      </w:r>
    </w:p>
    <w:p w14:paraId="17B2A768" w14:textId="77777777" w:rsidR="00DD529A" w:rsidRPr="00C6592A" w:rsidRDefault="00DD529A" w:rsidP="00DD529A">
      <w:pPr>
        <w:spacing w:after="0"/>
        <w:rPr>
          <w:noProof/>
          <w:sz w:val="16"/>
          <w:szCs w:val="16"/>
          <w:lang w:val="it-IT"/>
        </w:rPr>
      </w:pPr>
      <w:r w:rsidRPr="00C6592A">
        <w:rPr>
          <w:noProof/>
          <w:sz w:val="16"/>
          <w:szCs w:val="16"/>
          <w:lang w:val="it-IT"/>
        </w:rPr>
        <w:t>SI – Slovenia</w:t>
      </w:r>
    </w:p>
    <w:p w14:paraId="3BCD02B8" w14:textId="77777777" w:rsidR="00DD529A" w:rsidRPr="003B11BD" w:rsidRDefault="00DD529A" w:rsidP="00DD529A">
      <w:pPr>
        <w:spacing w:after="0"/>
        <w:rPr>
          <w:noProof/>
          <w:sz w:val="16"/>
          <w:szCs w:val="16"/>
          <w:lang w:val="en-IE"/>
        </w:rPr>
      </w:pPr>
      <w:r w:rsidRPr="003B11BD">
        <w:rPr>
          <w:noProof/>
          <w:sz w:val="16"/>
          <w:szCs w:val="16"/>
          <w:lang w:val="en-IE"/>
        </w:rPr>
        <w:t>ES - Spain</w:t>
      </w:r>
    </w:p>
    <w:p w14:paraId="523B6080" w14:textId="7D47D7AD" w:rsidR="00DD529A" w:rsidRDefault="00DD529A" w:rsidP="00260B5E">
      <w:pPr>
        <w:spacing w:after="0"/>
        <w:rPr>
          <w:noProof/>
          <w:sz w:val="16"/>
          <w:szCs w:val="16"/>
          <w:lang w:val="en-IE"/>
        </w:rPr>
      </w:pPr>
      <w:r w:rsidRPr="003B11BD">
        <w:rPr>
          <w:noProof/>
          <w:sz w:val="16"/>
          <w:szCs w:val="16"/>
          <w:lang w:val="en-IE"/>
        </w:rPr>
        <w:t xml:space="preserve">SE - Sweden </w:t>
      </w:r>
    </w:p>
    <w:p w14:paraId="482A0E58" w14:textId="77777777" w:rsidR="00241EEC" w:rsidRPr="003B11BD" w:rsidRDefault="00241EEC" w:rsidP="00260B5E">
      <w:pPr>
        <w:spacing w:after="0"/>
        <w:rPr>
          <w:noProof/>
          <w:sz w:val="16"/>
          <w:szCs w:val="16"/>
          <w:lang w:val="en-IE"/>
        </w:rPr>
      </w:pPr>
    </w:p>
    <w:p w14:paraId="4AF1F2FA" w14:textId="77777777" w:rsidR="00DD529A" w:rsidRPr="003B11BD" w:rsidRDefault="00DD529A" w:rsidP="00DD529A">
      <w:pPr>
        <w:spacing w:after="0"/>
        <w:jc w:val="left"/>
        <w:rPr>
          <w:noProof/>
          <w:lang w:val="en-IE"/>
        </w:rPr>
        <w:sectPr w:rsidR="00DD529A" w:rsidRPr="003B11BD">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020" w:right="1701" w:bottom="1020" w:left="1587" w:header="601" w:footer="1077" w:gutter="0"/>
          <w:cols w:num="4" w:space="720"/>
        </w:sectPr>
      </w:pPr>
    </w:p>
    <w:p w14:paraId="4B8168D3" w14:textId="50C08BD5" w:rsidR="006B087E" w:rsidRPr="003B11BD" w:rsidRDefault="006B087E" w:rsidP="000E3086">
      <w:pPr>
        <w:pStyle w:val="Heading1"/>
        <w:rPr>
          <w:noProof/>
          <w:lang w:val="en-IE"/>
        </w:rPr>
      </w:pPr>
      <w:bookmarkStart w:id="3" w:name="_Toc121747987"/>
      <w:bookmarkStart w:id="4" w:name="_Toc120731187"/>
      <w:bookmarkStart w:id="5" w:name="_Toc121386344"/>
      <w:bookmarkStart w:id="6" w:name="_Toc121489569"/>
      <w:bookmarkStart w:id="7" w:name="_Toc121496321"/>
      <w:bookmarkStart w:id="8" w:name="_Toc133435341"/>
      <w:r w:rsidRPr="003B11BD">
        <w:rPr>
          <w:noProof/>
          <w:lang w:val="en-IE"/>
        </w:rPr>
        <w:t>Introduction: Political and legal context</w:t>
      </w:r>
      <w:bookmarkEnd w:id="3"/>
      <w:bookmarkEnd w:id="4"/>
      <w:bookmarkEnd w:id="5"/>
      <w:bookmarkEnd w:id="6"/>
      <w:bookmarkEnd w:id="7"/>
      <w:bookmarkEnd w:id="8"/>
    </w:p>
    <w:p w14:paraId="670808F2" w14:textId="536F409D" w:rsidR="00386908" w:rsidRPr="003B11BD" w:rsidRDefault="00386908" w:rsidP="00070542">
      <w:pPr>
        <w:pStyle w:val="Heading2"/>
        <w:rPr>
          <w:noProof/>
          <w:lang w:val="en-IE"/>
        </w:rPr>
      </w:pPr>
      <w:bookmarkStart w:id="9" w:name="_Toc120731188"/>
      <w:bookmarkStart w:id="10" w:name="_Toc121386345"/>
      <w:bookmarkStart w:id="11" w:name="_Toc121489570"/>
      <w:bookmarkStart w:id="12" w:name="_Toc121496322"/>
      <w:bookmarkStart w:id="13" w:name="_Toc121747988"/>
      <w:bookmarkStart w:id="14" w:name="_Toc133435342"/>
      <w:r w:rsidRPr="003B11BD">
        <w:rPr>
          <w:noProof/>
          <w:lang w:val="en-IE"/>
        </w:rPr>
        <w:t>The political context</w:t>
      </w:r>
      <w:bookmarkEnd w:id="9"/>
      <w:bookmarkEnd w:id="10"/>
      <w:bookmarkEnd w:id="11"/>
      <w:bookmarkEnd w:id="12"/>
      <w:bookmarkEnd w:id="13"/>
      <w:bookmarkEnd w:id="14"/>
    </w:p>
    <w:p w14:paraId="10FD4998" w14:textId="77777777" w:rsidR="005E4C3D" w:rsidRPr="003B11BD" w:rsidRDefault="00443468" w:rsidP="005E4C3D">
      <w:pPr>
        <w:spacing w:after="120"/>
        <w:rPr>
          <w:noProof/>
          <w:lang w:val="en-IE"/>
        </w:rPr>
      </w:pPr>
      <w:r w:rsidRPr="003B11BD">
        <w:rPr>
          <w:noProof/>
          <w:color w:val="000000" w:themeColor="text1"/>
          <w:lang w:val="en-IE"/>
        </w:rPr>
        <w:t xml:space="preserve">Intellectual property </w:t>
      </w:r>
      <w:r w:rsidR="0047365E" w:rsidRPr="003B11BD">
        <w:rPr>
          <w:noProof/>
          <w:lang w:val="en-IE"/>
        </w:rPr>
        <w:t xml:space="preserve">(‘IP’) </w:t>
      </w:r>
      <w:r w:rsidRPr="003B11BD">
        <w:rPr>
          <w:noProof/>
          <w:color w:val="000000" w:themeColor="text1"/>
          <w:lang w:val="en-IE"/>
        </w:rPr>
        <w:t>rights, and in particular patents, are powerful tools in support of EU innovation and the EU</w:t>
      </w:r>
      <w:r w:rsidR="00983C1B" w:rsidRPr="003B11BD">
        <w:rPr>
          <w:noProof/>
          <w:color w:val="000000" w:themeColor="text1"/>
          <w:lang w:val="en-IE"/>
        </w:rPr>
        <w:t xml:space="preserve"> </w:t>
      </w:r>
      <w:r w:rsidR="0024101B" w:rsidRPr="003B11BD">
        <w:rPr>
          <w:noProof/>
          <w:color w:val="000000" w:themeColor="text1"/>
          <w:lang w:val="en-IE"/>
        </w:rPr>
        <w:t xml:space="preserve">economic </w:t>
      </w:r>
      <w:r w:rsidR="00983C1B" w:rsidRPr="003B11BD">
        <w:rPr>
          <w:noProof/>
          <w:color w:val="000000" w:themeColor="text1"/>
          <w:lang w:val="en-IE"/>
        </w:rPr>
        <w:t>transition</w:t>
      </w:r>
      <w:r w:rsidRPr="003B11BD">
        <w:rPr>
          <w:noProof/>
          <w:color w:val="000000" w:themeColor="text1"/>
          <w:lang w:val="en-IE"/>
        </w:rPr>
        <w:t xml:space="preserve"> objectives. Patents are exclusive rights </w:t>
      </w:r>
      <w:r w:rsidR="00EF20E4" w:rsidRPr="003B11BD">
        <w:rPr>
          <w:noProof/>
          <w:color w:val="000000" w:themeColor="text1"/>
          <w:lang w:val="en-IE"/>
        </w:rPr>
        <w:t>protect</w:t>
      </w:r>
      <w:r w:rsidRPr="003B11BD">
        <w:rPr>
          <w:noProof/>
          <w:color w:val="000000" w:themeColor="text1"/>
          <w:lang w:val="en-IE"/>
        </w:rPr>
        <w:t>ing inventions. They are an important asset for inventors as they can ensure investments and access to finance</w:t>
      </w:r>
      <w:r w:rsidR="00623AB2" w:rsidRPr="003B11BD">
        <w:rPr>
          <w:rStyle w:val="FootnoteReference"/>
          <w:noProof/>
          <w:color w:val="000000" w:themeColor="text1"/>
          <w:lang w:val="en-IE"/>
        </w:rPr>
        <w:footnoteReference w:id="2"/>
      </w:r>
      <w:r w:rsidRPr="003B11BD">
        <w:rPr>
          <w:noProof/>
          <w:lang w:val="en-IE"/>
        </w:rPr>
        <w:t xml:space="preserve">. </w:t>
      </w:r>
    </w:p>
    <w:p w14:paraId="604B0F69" w14:textId="45829D63" w:rsidR="00374CE3" w:rsidRPr="003B11BD" w:rsidRDefault="00C21CCB" w:rsidP="005E4C3D">
      <w:pPr>
        <w:spacing w:after="120"/>
        <w:rPr>
          <w:noProof/>
          <w:lang w:val="en-IE"/>
        </w:rPr>
      </w:pPr>
      <w:r w:rsidRPr="003B11BD">
        <w:rPr>
          <w:noProof/>
          <w:lang w:val="en-IE"/>
        </w:rPr>
        <w:t xml:space="preserve">The balance between IP rights and other rights and interests has </w:t>
      </w:r>
      <w:r w:rsidR="00CA4E00" w:rsidRPr="003B11BD">
        <w:rPr>
          <w:noProof/>
          <w:lang w:val="en-IE"/>
        </w:rPr>
        <w:t xml:space="preserve">continuously </w:t>
      </w:r>
      <w:r w:rsidRPr="003B11BD">
        <w:rPr>
          <w:noProof/>
          <w:lang w:val="en-IE"/>
        </w:rPr>
        <w:t xml:space="preserve">been discussed and reassessed amid societal changes, technological </w:t>
      </w:r>
      <w:r w:rsidR="00A3468A" w:rsidRPr="003B11BD">
        <w:rPr>
          <w:noProof/>
          <w:lang w:val="en-IE"/>
        </w:rPr>
        <w:t>developments</w:t>
      </w:r>
      <w:r w:rsidR="00423553" w:rsidRPr="003B11BD">
        <w:rPr>
          <w:noProof/>
          <w:lang w:val="en-IE"/>
        </w:rPr>
        <w:t>,</w:t>
      </w:r>
      <w:r w:rsidRPr="003B11BD">
        <w:rPr>
          <w:noProof/>
          <w:lang w:val="en-IE"/>
        </w:rPr>
        <w:t xml:space="preserve"> and crises.</w:t>
      </w:r>
      <w:r w:rsidR="00330706" w:rsidRPr="003B11BD">
        <w:rPr>
          <w:noProof/>
          <w:lang w:val="en-IE"/>
        </w:rPr>
        <w:t xml:space="preserve"> It is therefore not surprising that the COVID-19 crisis brought this issue </w:t>
      </w:r>
      <w:r w:rsidR="008100CC" w:rsidRPr="003B11BD">
        <w:rPr>
          <w:noProof/>
          <w:lang w:val="en-IE"/>
        </w:rPr>
        <w:t>once more</w:t>
      </w:r>
      <w:r w:rsidR="00330706" w:rsidRPr="003B11BD">
        <w:rPr>
          <w:noProof/>
          <w:lang w:val="en-IE"/>
        </w:rPr>
        <w:t xml:space="preserve"> into the spotlight.</w:t>
      </w:r>
      <w:r w:rsidR="008937DA" w:rsidRPr="003B11BD">
        <w:rPr>
          <w:noProof/>
          <w:lang w:val="en-IE"/>
        </w:rPr>
        <w:t xml:space="preserve"> </w:t>
      </w:r>
      <w:r w:rsidR="00E86860" w:rsidRPr="003B11BD">
        <w:rPr>
          <w:noProof/>
          <w:lang w:val="en-IE"/>
        </w:rPr>
        <w:t>On that occasion</w:t>
      </w:r>
      <w:r w:rsidR="003D3375" w:rsidRPr="003B11BD">
        <w:rPr>
          <w:noProof/>
          <w:lang w:val="en-IE"/>
        </w:rPr>
        <w:t>,</w:t>
      </w:r>
      <w:r w:rsidR="00132D7A" w:rsidRPr="003B11BD">
        <w:rPr>
          <w:noProof/>
          <w:lang w:val="en-IE"/>
        </w:rPr>
        <w:t xml:space="preserve"> </w:t>
      </w:r>
      <w:r w:rsidR="00B504A1" w:rsidRPr="003B11BD">
        <w:rPr>
          <w:noProof/>
          <w:lang w:val="en-IE"/>
        </w:rPr>
        <w:t xml:space="preserve">the conflicting interests </w:t>
      </w:r>
      <w:r w:rsidR="00831D2D" w:rsidRPr="003B11BD">
        <w:rPr>
          <w:noProof/>
          <w:lang w:val="en-IE"/>
        </w:rPr>
        <w:t>were</w:t>
      </w:r>
      <w:r w:rsidR="00B504A1" w:rsidRPr="003B11BD">
        <w:rPr>
          <w:noProof/>
          <w:lang w:val="en-IE"/>
        </w:rPr>
        <w:t xml:space="preserve"> on the one hand, access to </w:t>
      </w:r>
      <w:r w:rsidR="00CC1064" w:rsidRPr="003B11BD">
        <w:rPr>
          <w:noProof/>
          <w:lang w:val="en-IE"/>
        </w:rPr>
        <w:t>health products</w:t>
      </w:r>
      <w:r w:rsidR="00B504A1" w:rsidRPr="003B11BD">
        <w:rPr>
          <w:noProof/>
          <w:lang w:val="en-IE"/>
        </w:rPr>
        <w:t>, and on the other hand</w:t>
      </w:r>
      <w:r w:rsidR="0065053C" w:rsidRPr="003B11BD">
        <w:rPr>
          <w:noProof/>
          <w:lang w:val="en-IE"/>
        </w:rPr>
        <w:t xml:space="preserve"> preserving innovation incentives that are key to the </w:t>
      </w:r>
      <w:r w:rsidR="0055470E" w:rsidRPr="003B11BD">
        <w:rPr>
          <w:noProof/>
          <w:lang w:val="en-IE"/>
        </w:rPr>
        <w:t>development of</w:t>
      </w:r>
      <w:r w:rsidR="006F7945" w:rsidRPr="003B11BD">
        <w:rPr>
          <w:noProof/>
          <w:lang w:val="en-IE"/>
        </w:rPr>
        <w:t xml:space="preserve"> </w:t>
      </w:r>
      <w:r w:rsidR="00B33863" w:rsidRPr="003B11BD">
        <w:rPr>
          <w:noProof/>
          <w:lang w:val="en-IE"/>
        </w:rPr>
        <w:t xml:space="preserve">new </w:t>
      </w:r>
      <w:r w:rsidR="006F7945" w:rsidRPr="003B11BD">
        <w:rPr>
          <w:noProof/>
          <w:lang w:val="en-IE"/>
        </w:rPr>
        <w:t>health products, such as vaccines and therapeutics</w:t>
      </w:r>
      <w:r w:rsidR="0055470E" w:rsidRPr="003B11BD">
        <w:rPr>
          <w:noProof/>
          <w:lang w:val="en-IE"/>
        </w:rPr>
        <w:t>.</w:t>
      </w:r>
      <w:r w:rsidR="001D09BC" w:rsidRPr="003B11BD">
        <w:rPr>
          <w:noProof/>
          <w:lang w:val="en-IE"/>
        </w:rPr>
        <w:t xml:space="preserve"> </w:t>
      </w:r>
      <w:r w:rsidR="004C2233" w:rsidRPr="003B11BD">
        <w:rPr>
          <w:noProof/>
          <w:lang w:val="en-IE"/>
        </w:rPr>
        <w:t xml:space="preserve">However, the pandemics also added </w:t>
      </w:r>
      <w:r w:rsidR="00EC4E4B" w:rsidRPr="003B11BD">
        <w:rPr>
          <w:noProof/>
          <w:lang w:val="en-IE"/>
        </w:rPr>
        <w:t>another</w:t>
      </w:r>
      <w:r w:rsidR="00DB270B" w:rsidRPr="003B11BD">
        <w:rPr>
          <w:noProof/>
          <w:lang w:val="en-IE"/>
        </w:rPr>
        <w:t xml:space="preserve"> element</w:t>
      </w:r>
      <w:r w:rsidR="004C2233" w:rsidRPr="003B11BD">
        <w:rPr>
          <w:noProof/>
          <w:lang w:val="en-IE"/>
        </w:rPr>
        <w:t xml:space="preserve"> to the discussion, notably </w:t>
      </w:r>
      <w:r w:rsidR="00E749D3" w:rsidRPr="003B11BD">
        <w:rPr>
          <w:noProof/>
          <w:lang w:val="en-IE"/>
        </w:rPr>
        <w:t>on</w:t>
      </w:r>
      <w:r w:rsidR="004D469F" w:rsidRPr="003B11BD">
        <w:rPr>
          <w:noProof/>
          <w:lang w:val="en-IE"/>
        </w:rPr>
        <w:t xml:space="preserve"> the role IP rights </w:t>
      </w:r>
      <w:r w:rsidR="00E94F94" w:rsidRPr="003B11BD">
        <w:rPr>
          <w:noProof/>
          <w:lang w:val="en-IE"/>
        </w:rPr>
        <w:t>could</w:t>
      </w:r>
      <w:r w:rsidR="004D469F" w:rsidRPr="003B11BD">
        <w:rPr>
          <w:noProof/>
          <w:lang w:val="en-IE"/>
        </w:rPr>
        <w:t xml:space="preserve"> and should play in a crisis. </w:t>
      </w:r>
      <w:r w:rsidR="00E749D3" w:rsidRPr="003B11BD">
        <w:rPr>
          <w:noProof/>
          <w:lang w:val="en-IE"/>
        </w:rPr>
        <w:t>In other words, t</w:t>
      </w:r>
      <w:r w:rsidR="00DC1955" w:rsidRPr="003B11BD">
        <w:rPr>
          <w:noProof/>
          <w:lang w:val="en-IE"/>
        </w:rPr>
        <w:t xml:space="preserve">he question was how </w:t>
      </w:r>
      <w:r w:rsidR="003C2CC2" w:rsidRPr="003B11BD">
        <w:rPr>
          <w:noProof/>
          <w:lang w:val="en-IE"/>
        </w:rPr>
        <w:t>we can</w:t>
      </w:r>
      <w:r w:rsidR="00DC1955" w:rsidRPr="003B11BD">
        <w:rPr>
          <w:noProof/>
          <w:lang w:val="en-IE"/>
        </w:rPr>
        <w:t xml:space="preserve"> preserve the balance and incentives for innovation while ensuring </w:t>
      </w:r>
      <w:r w:rsidR="00312296" w:rsidRPr="003B11BD">
        <w:rPr>
          <w:noProof/>
          <w:lang w:val="en-IE"/>
        </w:rPr>
        <w:t xml:space="preserve">swift </w:t>
      </w:r>
      <w:r w:rsidR="00DC1955" w:rsidRPr="003B11BD">
        <w:rPr>
          <w:noProof/>
          <w:lang w:val="en-IE"/>
        </w:rPr>
        <w:t>access to critical products</w:t>
      </w:r>
      <w:r w:rsidR="009E325F" w:rsidRPr="003B11BD">
        <w:rPr>
          <w:rStyle w:val="FootnoteReference"/>
          <w:noProof/>
          <w:lang w:val="en-IE"/>
        </w:rPr>
        <w:footnoteReference w:id="3"/>
      </w:r>
      <w:r w:rsidR="00DC1955" w:rsidRPr="003B11BD">
        <w:rPr>
          <w:noProof/>
          <w:lang w:val="en-IE"/>
        </w:rPr>
        <w:t xml:space="preserve"> and technologies in crises. </w:t>
      </w:r>
      <w:r w:rsidR="004A134F" w:rsidRPr="003B11BD">
        <w:rPr>
          <w:noProof/>
          <w:lang w:val="en-IE"/>
        </w:rPr>
        <w:t>Replies differed among countries in the world</w:t>
      </w:r>
      <w:r w:rsidR="001C6132" w:rsidRPr="003B11BD">
        <w:rPr>
          <w:noProof/>
          <w:lang w:val="en-IE"/>
        </w:rPr>
        <w:t>.</w:t>
      </w:r>
    </w:p>
    <w:p w14:paraId="30ABD151" w14:textId="2D38D809" w:rsidR="002071E0" w:rsidRPr="003B11BD" w:rsidRDefault="00C43C10" w:rsidP="002071E0">
      <w:pPr>
        <w:spacing w:after="120"/>
        <w:rPr>
          <w:rFonts w:eastAsia="Times New Roman"/>
          <w:noProof/>
          <w:lang w:val="en-IE"/>
        </w:rPr>
      </w:pPr>
      <w:r w:rsidRPr="003B11BD">
        <w:rPr>
          <w:noProof/>
          <w:lang w:val="en-IE"/>
        </w:rPr>
        <w:t>In</w:t>
      </w:r>
      <w:r w:rsidR="00C00382" w:rsidRPr="003B11BD">
        <w:rPr>
          <w:noProof/>
          <w:lang w:val="en-IE"/>
        </w:rPr>
        <w:t xml:space="preserve"> October 2020, </w:t>
      </w:r>
      <w:r w:rsidR="002B4147" w:rsidRPr="003B11BD">
        <w:rPr>
          <w:noProof/>
          <w:lang w:val="en-IE"/>
        </w:rPr>
        <w:t>several</w:t>
      </w:r>
      <w:r w:rsidR="00C00382" w:rsidRPr="003B11BD">
        <w:rPr>
          <w:noProof/>
          <w:lang w:val="en-IE"/>
        </w:rPr>
        <w:t xml:space="preserve"> W</w:t>
      </w:r>
      <w:r w:rsidR="001F71FC" w:rsidRPr="003B11BD">
        <w:rPr>
          <w:noProof/>
          <w:lang w:val="en-IE"/>
        </w:rPr>
        <w:t xml:space="preserve">orld </w:t>
      </w:r>
      <w:r w:rsidR="00C00382" w:rsidRPr="003B11BD">
        <w:rPr>
          <w:noProof/>
          <w:lang w:val="en-IE"/>
        </w:rPr>
        <w:t>T</w:t>
      </w:r>
      <w:r w:rsidR="001F71FC" w:rsidRPr="003B11BD">
        <w:rPr>
          <w:noProof/>
          <w:lang w:val="en-IE"/>
        </w:rPr>
        <w:t xml:space="preserve">rade </w:t>
      </w:r>
      <w:r w:rsidR="00C00382" w:rsidRPr="003B11BD">
        <w:rPr>
          <w:noProof/>
          <w:lang w:val="en-IE"/>
        </w:rPr>
        <w:t>O</w:t>
      </w:r>
      <w:r w:rsidR="001F71FC" w:rsidRPr="003B11BD">
        <w:rPr>
          <w:noProof/>
          <w:lang w:val="en-IE"/>
        </w:rPr>
        <w:t>rganisation (‘WTO’)</w:t>
      </w:r>
      <w:r w:rsidR="00C00382" w:rsidRPr="003B11BD">
        <w:rPr>
          <w:noProof/>
          <w:lang w:val="en-IE"/>
        </w:rPr>
        <w:t xml:space="preserve"> members submitted a proposal </w:t>
      </w:r>
      <w:r w:rsidR="00A95CD1" w:rsidRPr="003B11BD">
        <w:rPr>
          <w:noProof/>
          <w:lang w:val="en-IE"/>
        </w:rPr>
        <w:t>to</w:t>
      </w:r>
      <w:r w:rsidR="00C00382" w:rsidRPr="003B11BD">
        <w:rPr>
          <w:noProof/>
          <w:lang w:val="en-IE"/>
        </w:rPr>
        <w:t xml:space="preserve"> waive WTO members’ obligation to protect and enforce some IP rights in relation to the prevention, containment or treatment of COVID-19. Waiving IP rights differs from compulsory licensing. </w:t>
      </w:r>
      <w:r w:rsidR="00243718" w:rsidRPr="003B11BD">
        <w:rPr>
          <w:b/>
          <w:noProof/>
          <w:lang w:val="en-IE"/>
        </w:rPr>
        <w:t>A compulsory licence</w:t>
      </w:r>
      <w:r w:rsidR="00ED49E6" w:rsidRPr="003B11BD">
        <w:rPr>
          <w:b/>
          <w:noProof/>
          <w:lang w:val="en-IE"/>
        </w:rPr>
        <w:t xml:space="preserve"> </w:t>
      </w:r>
      <w:r w:rsidR="00ED49E6" w:rsidRPr="003B11BD">
        <w:rPr>
          <w:noProof/>
          <w:lang w:val="en-IE"/>
        </w:rPr>
        <w:t>(‘CL’)</w:t>
      </w:r>
      <w:r w:rsidR="00FD4008" w:rsidRPr="003B11BD">
        <w:rPr>
          <w:b/>
          <w:noProof/>
          <w:lang w:val="en-IE"/>
        </w:rPr>
        <w:t xml:space="preserve"> is an authorisation</w:t>
      </w:r>
      <w:r w:rsidR="00243718" w:rsidRPr="003B11BD">
        <w:rPr>
          <w:b/>
          <w:noProof/>
          <w:lang w:val="en-IE"/>
        </w:rPr>
        <w:t xml:space="preserve"> </w:t>
      </w:r>
      <w:r w:rsidR="00D02965" w:rsidRPr="003B11BD">
        <w:rPr>
          <w:b/>
          <w:noProof/>
          <w:lang w:val="en-IE"/>
        </w:rPr>
        <w:t>granted</w:t>
      </w:r>
      <w:r w:rsidR="00243718" w:rsidRPr="003B11BD">
        <w:rPr>
          <w:b/>
          <w:noProof/>
          <w:lang w:val="en-IE"/>
        </w:rPr>
        <w:t xml:space="preserve"> by a government </w:t>
      </w:r>
      <w:r w:rsidR="00D02965" w:rsidRPr="003B11BD">
        <w:rPr>
          <w:b/>
          <w:noProof/>
          <w:lang w:val="en-IE"/>
        </w:rPr>
        <w:t>to</w:t>
      </w:r>
      <w:r w:rsidR="00243718" w:rsidRPr="003B11BD">
        <w:rPr>
          <w:b/>
          <w:noProof/>
          <w:lang w:val="en-IE"/>
        </w:rPr>
        <w:t xml:space="preserve"> a party other than the patent holder to use a patented invention without the consent of the patent holder.</w:t>
      </w:r>
      <w:r w:rsidR="00243718" w:rsidRPr="003B11BD">
        <w:rPr>
          <w:noProof/>
          <w:lang w:val="en-IE"/>
        </w:rPr>
        <w:t xml:space="preserve"> </w:t>
      </w:r>
      <w:r w:rsidR="00C00382" w:rsidRPr="003B11BD">
        <w:rPr>
          <w:noProof/>
          <w:lang w:val="en-IE"/>
        </w:rPr>
        <w:t xml:space="preserve">The </w:t>
      </w:r>
      <w:r w:rsidR="00F02197" w:rsidRPr="003B11BD">
        <w:rPr>
          <w:noProof/>
          <w:lang w:val="en-IE"/>
        </w:rPr>
        <w:t>Agreement on Trade-Related Aspects of Intellectual Property Rights (‘TRIPS</w:t>
      </w:r>
      <w:r w:rsidR="001A19FF" w:rsidRPr="003B11BD">
        <w:rPr>
          <w:noProof/>
          <w:lang w:val="en-IE"/>
        </w:rPr>
        <w:t xml:space="preserve"> Agreement</w:t>
      </w:r>
      <w:r w:rsidR="00F02197" w:rsidRPr="003B11BD">
        <w:rPr>
          <w:noProof/>
          <w:lang w:val="en-IE"/>
        </w:rPr>
        <w:t xml:space="preserve">’) </w:t>
      </w:r>
      <w:r w:rsidR="00C00382" w:rsidRPr="003B11BD">
        <w:rPr>
          <w:noProof/>
          <w:lang w:val="en-IE"/>
        </w:rPr>
        <w:t xml:space="preserve">explicitly allows compulsory licensing, provided that some conditions, such as a limited duration and the payment of an adequate remuneration, are met. </w:t>
      </w:r>
      <w:r w:rsidR="002071E0" w:rsidRPr="003B11BD">
        <w:rPr>
          <w:noProof/>
          <w:lang w:val="en-IE"/>
        </w:rPr>
        <w:t>There is no mechanism in the TRIPS Agreement or in domestic systems of the WTO members to waive IP rights</w:t>
      </w:r>
      <w:r w:rsidR="005E4C3D" w:rsidRPr="003B11BD">
        <w:rPr>
          <w:rStyle w:val="FootnoteReference"/>
          <w:noProof/>
          <w:lang w:val="en-IE"/>
        </w:rPr>
        <w:footnoteReference w:id="4"/>
      </w:r>
      <w:r w:rsidR="002071E0" w:rsidRPr="003B11BD">
        <w:rPr>
          <w:noProof/>
          <w:lang w:val="en-IE"/>
        </w:rPr>
        <w:t>. The EU, among other WTO members, did not support waiving TRIPS obligations that could result in the suspension of IP rights in relation to COVID-19 products. There was no evidence that IP was a barrier in the production and distribution of these products. The EU also considered that</w:t>
      </w:r>
      <w:r w:rsidR="00103C21" w:rsidRPr="003B11BD">
        <w:rPr>
          <w:noProof/>
          <w:lang w:val="en-IE"/>
        </w:rPr>
        <w:t>, should voluntary agreements fail</w:t>
      </w:r>
      <w:r w:rsidR="002071E0" w:rsidRPr="003B11BD">
        <w:rPr>
          <w:noProof/>
          <w:lang w:val="en-IE"/>
        </w:rPr>
        <w:t>, the TRIPS Agreement already provides for solutions through the existing flexibilities and, in particular, compulsory licensing</w:t>
      </w:r>
      <w:r w:rsidR="005E4C3D" w:rsidRPr="003B11BD">
        <w:rPr>
          <w:rStyle w:val="FootnoteReference"/>
          <w:noProof/>
          <w:lang w:val="en-IE"/>
        </w:rPr>
        <w:footnoteReference w:id="5"/>
      </w:r>
      <w:r w:rsidR="002071E0" w:rsidRPr="003B11BD">
        <w:rPr>
          <w:noProof/>
          <w:lang w:val="en-IE"/>
        </w:rPr>
        <w:t>.</w:t>
      </w:r>
    </w:p>
    <w:p w14:paraId="7560781C" w14:textId="7C1CCF37" w:rsidR="00BA1352" w:rsidRPr="003B11BD" w:rsidRDefault="00DB590A" w:rsidP="00BA1352">
      <w:pPr>
        <w:rPr>
          <w:noProof/>
          <w:lang w:val="en-IE"/>
        </w:rPr>
      </w:pPr>
      <w:r w:rsidRPr="003B11BD">
        <w:rPr>
          <w:noProof/>
          <w:lang w:val="en-IE"/>
        </w:rPr>
        <w:t xml:space="preserve">In that context, the </w:t>
      </w:r>
      <w:r w:rsidRPr="003B11BD">
        <w:rPr>
          <w:b/>
          <w:noProof/>
          <w:lang w:val="en-IE"/>
        </w:rPr>
        <w:t>Commission</w:t>
      </w:r>
      <w:r w:rsidR="00BA1352" w:rsidRPr="003B11BD">
        <w:rPr>
          <w:b/>
          <w:noProof/>
          <w:lang w:val="en-IE"/>
        </w:rPr>
        <w:t xml:space="preserve"> IP </w:t>
      </w:r>
      <w:r w:rsidR="00E5309B" w:rsidRPr="003B11BD">
        <w:rPr>
          <w:b/>
          <w:noProof/>
          <w:lang w:val="en-IE"/>
        </w:rPr>
        <w:t>A</w:t>
      </w:r>
      <w:r w:rsidR="00BA1352" w:rsidRPr="003B11BD">
        <w:rPr>
          <w:b/>
          <w:noProof/>
          <w:lang w:val="en-IE"/>
        </w:rPr>
        <w:t xml:space="preserve">ction </w:t>
      </w:r>
      <w:r w:rsidR="00E5309B" w:rsidRPr="003B11BD">
        <w:rPr>
          <w:b/>
          <w:noProof/>
          <w:lang w:val="en-IE"/>
        </w:rPr>
        <w:t>P</w:t>
      </w:r>
      <w:r w:rsidR="00BA1352" w:rsidRPr="003B11BD">
        <w:rPr>
          <w:b/>
          <w:noProof/>
          <w:lang w:val="en-IE"/>
        </w:rPr>
        <w:t>lan</w:t>
      </w:r>
      <w:r w:rsidR="00D272AB" w:rsidRPr="003B11BD">
        <w:rPr>
          <w:rStyle w:val="FootnoteReference"/>
          <w:noProof/>
          <w:lang w:val="en-IE"/>
        </w:rPr>
        <w:footnoteReference w:id="6"/>
      </w:r>
      <w:r w:rsidR="00C44529" w:rsidRPr="003B11BD">
        <w:rPr>
          <w:noProof/>
          <w:lang w:val="en-IE"/>
        </w:rPr>
        <w:t xml:space="preserve"> </w:t>
      </w:r>
      <w:r w:rsidR="00E5309B" w:rsidRPr="003B11BD">
        <w:rPr>
          <w:noProof/>
          <w:lang w:val="en-IE"/>
        </w:rPr>
        <w:t xml:space="preserve">of 2020 </w:t>
      </w:r>
      <w:r w:rsidR="00BA1352" w:rsidRPr="003B11BD">
        <w:rPr>
          <w:noProof/>
          <w:lang w:val="en-IE"/>
        </w:rPr>
        <w:t xml:space="preserve">underlined ‘the need to ensure that effective systems for issuing compulsory licences are in place’. The Commission </w:t>
      </w:r>
      <w:r w:rsidR="005E4C94" w:rsidRPr="003B11BD">
        <w:rPr>
          <w:noProof/>
          <w:lang w:val="en-IE"/>
        </w:rPr>
        <w:t>undertook to</w:t>
      </w:r>
      <w:r w:rsidR="00BA1352" w:rsidRPr="003B11BD">
        <w:rPr>
          <w:noProof/>
          <w:lang w:val="en-IE"/>
        </w:rPr>
        <w:t xml:space="preserve"> ‘explore with Member States the possibility of creating an emergency co-ordination mechanism, to be triggered at short notice when Member States consider issuing a compulsory licence’. </w:t>
      </w:r>
      <w:r w:rsidR="003E1D82" w:rsidRPr="003B11BD">
        <w:rPr>
          <w:noProof/>
          <w:lang w:val="en-IE"/>
        </w:rPr>
        <w:t>Finally, the</w:t>
      </w:r>
      <w:r w:rsidR="00572A5E" w:rsidRPr="003B11BD">
        <w:rPr>
          <w:noProof/>
          <w:lang w:val="en-IE"/>
        </w:rPr>
        <w:t xml:space="preserve"> 2023 Commission Work Programme</w:t>
      </w:r>
      <w:r w:rsidR="00572A5E" w:rsidRPr="003B11BD">
        <w:rPr>
          <w:rStyle w:val="FootnoteReference"/>
          <w:noProof/>
          <w:lang w:val="en-IE"/>
        </w:rPr>
        <w:footnoteReference w:id="7"/>
      </w:r>
      <w:r w:rsidR="00346B81" w:rsidRPr="003B11BD">
        <w:rPr>
          <w:noProof/>
          <w:lang w:val="en-IE"/>
        </w:rPr>
        <w:t xml:space="preserve"> provides that the Commission will establish clear rules for the compulsory licensing of patents</w:t>
      </w:r>
      <w:r w:rsidR="003E1D82" w:rsidRPr="003B11BD">
        <w:rPr>
          <w:noProof/>
          <w:lang w:val="en-IE"/>
        </w:rPr>
        <w:t>.</w:t>
      </w:r>
    </w:p>
    <w:p w14:paraId="7015C3A8" w14:textId="1F6E73FF" w:rsidR="00B96197" w:rsidRPr="003B11BD" w:rsidRDefault="009D587E" w:rsidP="0083301D">
      <w:pPr>
        <w:rPr>
          <w:noProof/>
          <w:lang w:val="en-IE"/>
        </w:rPr>
      </w:pPr>
      <w:r w:rsidRPr="003B11BD">
        <w:rPr>
          <w:noProof/>
          <w:lang w:val="en-IE"/>
        </w:rPr>
        <w:t>I</w:t>
      </w:r>
      <w:r w:rsidR="00BA1352" w:rsidRPr="003B11BD">
        <w:rPr>
          <w:noProof/>
          <w:lang w:val="en-IE"/>
        </w:rPr>
        <w:t>n its resolution of November 2021</w:t>
      </w:r>
      <w:r w:rsidR="005E2DC7" w:rsidRPr="003B11BD">
        <w:rPr>
          <w:rStyle w:val="FootnoteReference"/>
          <w:noProof/>
          <w:lang w:val="en-IE"/>
        </w:rPr>
        <w:footnoteReference w:id="8"/>
      </w:r>
      <w:r w:rsidR="00BA1352" w:rsidRPr="003B11BD">
        <w:rPr>
          <w:noProof/>
          <w:lang w:val="en-IE"/>
        </w:rPr>
        <w:t xml:space="preserve">, </w:t>
      </w:r>
      <w:r w:rsidRPr="003B11BD">
        <w:rPr>
          <w:bCs/>
          <w:noProof/>
          <w:lang w:val="en-IE"/>
        </w:rPr>
        <w:t>the</w:t>
      </w:r>
      <w:r w:rsidRPr="003B11BD">
        <w:rPr>
          <w:b/>
          <w:noProof/>
          <w:lang w:val="en-IE"/>
        </w:rPr>
        <w:t xml:space="preserve"> European Parliament</w:t>
      </w:r>
      <w:r w:rsidRPr="003B11BD">
        <w:rPr>
          <w:noProof/>
          <w:lang w:val="en-IE"/>
        </w:rPr>
        <w:t xml:space="preserve"> </w:t>
      </w:r>
      <w:r w:rsidR="00BA1352" w:rsidRPr="003B11BD">
        <w:rPr>
          <w:noProof/>
          <w:lang w:val="en-IE"/>
        </w:rPr>
        <w:t xml:space="preserve">called on the Commission ‘to analyse and explore possible options for ensuring effectiveness and better coordination of compulsory licensing in the EU. </w:t>
      </w:r>
      <w:r w:rsidR="00BA1352" w:rsidRPr="003B11BD">
        <w:rPr>
          <w:bCs/>
          <w:noProof/>
          <w:lang w:val="en-IE"/>
        </w:rPr>
        <w:t>The</w:t>
      </w:r>
      <w:r w:rsidR="00BA1352" w:rsidRPr="003B11BD">
        <w:rPr>
          <w:b/>
          <w:noProof/>
          <w:lang w:val="en-IE"/>
        </w:rPr>
        <w:t xml:space="preserve"> </w:t>
      </w:r>
      <w:r w:rsidR="00572A5E" w:rsidRPr="003B11BD">
        <w:rPr>
          <w:b/>
          <w:noProof/>
          <w:lang w:val="en-IE"/>
        </w:rPr>
        <w:t>Council</w:t>
      </w:r>
      <w:r w:rsidR="00572A5E" w:rsidRPr="003B11BD">
        <w:rPr>
          <w:rStyle w:val="FootnoteReference"/>
          <w:noProof/>
          <w:lang w:val="en-IE"/>
        </w:rPr>
        <w:footnoteReference w:id="9"/>
      </w:r>
      <w:r w:rsidR="00572A5E" w:rsidRPr="003B11BD">
        <w:rPr>
          <w:noProof/>
          <w:lang w:val="en-IE"/>
        </w:rPr>
        <w:t xml:space="preserve"> </w:t>
      </w:r>
      <w:r w:rsidR="00BA1352" w:rsidRPr="003B11BD">
        <w:rPr>
          <w:noProof/>
          <w:lang w:val="en-IE"/>
        </w:rPr>
        <w:t xml:space="preserve">confirmed that the EU stood ready to discuss the flexibilities </w:t>
      </w:r>
      <w:r w:rsidR="00970B4B" w:rsidRPr="003B11BD">
        <w:rPr>
          <w:noProof/>
          <w:lang w:val="en-IE"/>
        </w:rPr>
        <w:t>of compulsory licensing for the domestic market and export purposes</w:t>
      </w:r>
      <w:r w:rsidR="66CADDD7" w:rsidRPr="003B11BD">
        <w:rPr>
          <w:noProof/>
          <w:lang w:val="en-IE"/>
        </w:rPr>
        <w:t xml:space="preserve"> to third</w:t>
      </w:r>
      <w:r w:rsidR="002D606C" w:rsidRPr="003B11BD">
        <w:rPr>
          <w:noProof/>
          <w:lang w:val="en-IE"/>
        </w:rPr>
        <w:t xml:space="preserve"> (non-EU)</w:t>
      </w:r>
      <w:r w:rsidR="66CADDD7" w:rsidRPr="003B11BD">
        <w:rPr>
          <w:noProof/>
          <w:lang w:val="en-IE"/>
        </w:rPr>
        <w:t xml:space="preserve"> countries</w:t>
      </w:r>
      <w:r w:rsidR="00C70634" w:rsidRPr="003B11BD">
        <w:rPr>
          <w:rStyle w:val="FootnoteReference"/>
          <w:noProof/>
          <w:lang w:val="en-IE"/>
        </w:rPr>
        <w:footnoteReference w:id="10"/>
      </w:r>
      <w:r w:rsidR="1E721A15" w:rsidRPr="003B11BD">
        <w:rPr>
          <w:noProof/>
          <w:lang w:val="en-IE"/>
        </w:rPr>
        <w:t>.</w:t>
      </w:r>
      <w:r w:rsidR="00BA1352" w:rsidRPr="003B11BD">
        <w:rPr>
          <w:noProof/>
          <w:lang w:val="en-IE"/>
        </w:rPr>
        <w:t xml:space="preserve"> It also confirmed the need to explore possible IP tools and options to better coordinate the management of cross-border crises. </w:t>
      </w:r>
      <w:r w:rsidR="1E4460CA" w:rsidRPr="003B11BD">
        <w:rPr>
          <w:noProof/>
          <w:lang w:val="en-IE"/>
        </w:rPr>
        <w:t xml:space="preserve">At the same time, </w:t>
      </w:r>
      <w:r w:rsidR="5C9760D0" w:rsidRPr="003B11BD">
        <w:rPr>
          <w:noProof/>
          <w:lang w:val="en-IE"/>
        </w:rPr>
        <w:t xml:space="preserve">the Commission </w:t>
      </w:r>
      <w:r w:rsidR="22D3A4A8" w:rsidRPr="003B11BD">
        <w:rPr>
          <w:noProof/>
          <w:lang w:val="en-IE"/>
        </w:rPr>
        <w:t xml:space="preserve">announced its willingness to table proposals to </w:t>
      </w:r>
      <w:r w:rsidR="45F64628" w:rsidRPr="003B11BD">
        <w:rPr>
          <w:noProof/>
          <w:lang w:val="en-IE"/>
        </w:rPr>
        <w:t>ensure the EU’s resilience to crises</w:t>
      </w:r>
      <w:r w:rsidR="36475BEA" w:rsidRPr="003B11BD">
        <w:rPr>
          <w:noProof/>
          <w:lang w:val="en-IE"/>
        </w:rPr>
        <w:t xml:space="preserve"> and new mechanisms to guarantee </w:t>
      </w:r>
      <w:r w:rsidR="0083301D" w:rsidRPr="003B11BD">
        <w:rPr>
          <w:noProof/>
          <w:lang w:val="en-IE"/>
        </w:rPr>
        <w:t>well-functioning</w:t>
      </w:r>
      <w:r w:rsidR="36475BEA" w:rsidRPr="003B11BD">
        <w:rPr>
          <w:noProof/>
          <w:lang w:val="en-IE"/>
        </w:rPr>
        <w:t xml:space="preserve"> supply chains</w:t>
      </w:r>
      <w:r w:rsidR="3FE97A6C" w:rsidRPr="003B11BD">
        <w:rPr>
          <w:noProof/>
          <w:lang w:val="en-IE"/>
        </w:rPr>
        <w:t xml:space="preserve"> </w:t>
      </w:r>
      <w:r w:rsidR="508E110C" w:rsidRPr="003B11BD">
        <w:rPr>
          <w:noProof/>
          <w:lang w:val="en-IE"/>
        </w:rPr>
        <w:t xml:space="preserve">in </w:t>
      </w:r>
      <w:r w:rsidR="36475BEA" w:rsidRPr="003B11BD">
        <w:rPr>
          <w:noProof/>
          <w:lang w:val="en-IE"/>
        </w:rPr>
        <w:t xml:space="preserve">the </w:t>
      </w:r>
      <w:r w:rsidR="00D43F3F" w:rsidRPr="003B11BD">
        <w:rPr>
          <w:noProof/>
          <w:lang w:val="en-IE"/>
        </w:rPr>
        <w:t>Single Market</w:t>
      </w:r>
      <w:r w:rsidR="5D737539" w:rsidRPr="003B11BD">
        <w:rPr>
          <w:noProof/>
          <w:lang w:val="en-IE"/>
        </w:rPr>
        <w:t xml:space="preserve"> and abroad</w:t>
      </w:r>
      <w:r w:rsidR="45F64628" w:rsidRPr="003B11BD">
        <w:rPr>
          <w:noProof/>
          <w:lang w:val="en-IE"/>
        </w:rPr>
        <w:t>.</w:t>
      </w:r>
      <w:r w:rsidR="423F5CB1" w:rsidRPr="003B11BD">
        <w:rPr>
          <w:noProof/>
          <w:lang w:val="en-IE"/>
        </w:rPr>
        <w:t xml:space="preserve"> In that respect, reference can be made to two key </w:t>
      </w:r>
      <w:r w:rsidR="7D801B1C" w:rsidRPr="003B11BD">
        <w:rPr>
          <w:noProof/>
          <w:lang w:val="en-IE"/>
        </w:rPr>
        <w:t xml:space="preserve">EU </w:t>
      </w:r>
      <w:r w:rsidR="423F5CB1" w:rsidRPr="003B11BD">
        <w:rPr>
          <w:noProof/>
          <w:lang w:val="en-IE"/>
        </w:rPr>
        <w:t>proposals:</w:t>
      </w:r>
      <w:r w:rsidR="00487504" w:rsidRPr="003B11BD">
        <w:rPr>
          <w:noProof/>
          <w:lang w:val="en-IE"/>
        </w:rPr>
        <w:t xml:space="preserve"> </w:t>
      </w:r>
    </w:p>
    <w:p w14:paraId="039F9217" w14:textId="38496D16" w:rsidR="008A1AA1" w:rsidRPr="003B11BD" w:rsidRDefault="423F5CB1" w:rsidP="004C618F">
      <w:pPr>
        <w:pStyle w:val="Bullets"/>
        <w:numPr>
          <w:ilvl w:val="0"/>
          <w:numId w:val="132"/>
        </w:numPr>
        <w:rPr>
          <w:noProof/>
        </w:rPr>
      </w:pPr>
      <w:r w:rsidRPr="003B11BD">
        <w:rPr>
          <w:noProof/>
        </w:rPr>
        <w:t xml:space="preserve">Proposal for a regulation establishing a </w:t>
      </w:r>
      <w:r w:rsidR="00D43F3F" w:rsidRPr="003B11BD">
        <w:rPr>
          <w:noProof/>
        </w:rPr>
        <w:t>Single Market</w:t>
      </w:r>
      <w:r w:rsidRPr="003B11BD">
        <w:rPr>
          <w:noProof/>
        </w:rPr>
        <w:t xml:space="preserve"> emergency instrument</w:t>
      </w:r>
      <w:r w:rsidR="004B4840" w:rsidRPr="003B11BD">
        <w:rPr>
          <w:rStyle w:val="FootnoteReference"/>
          <w:noProof/>
        </w:rPr>
        <w:footnoteReference w:id="11"/>
      </w:r>
      <w:r w:rsidRPr="003B11BD">
        <w:rPr>
          <w:noProof/>
        </w:rPr>
        <w:t xml:space="preserve"> (‘SMEI’);</w:t>
      </w:r>
    </w:p>
    <w:p w14:paraId="219B4711" w14:textId="0ED8BDE7" w:rsidR="008A1AA1" w:rsidRPr="003B11BD" w:rsidRDefault="008A1AA1" w:rsidP="004C618F">
      <w:pPr>
        <w:pStyle w:val="Bullets"/>
        <w:numPr>
          <w:ilvl w:val="0"/>
          <w:numId w:val="132"/>
        </w:numPr>
        <w:rPr>
          <w:noProof/>
        </w:rPr>
      </w:pPr>
      <w:r w:rsidRPr="003B11BD">
        <w:rPr>
          <w:noProof/>
        </w:rPr>
        <w:t>In the context of the setting-up of HERA, the regulation on serious cross-border threats to health</w:t>
      </w:r>
      <w:r w:rsidRPr="003B11BD">
        <w:rPr>
          <w:rStyle w:val="FootnoteReference"/>
          <w:noProof/>
        </w:rPr>
        <w:footnoteReference w:id="12"/>
      </w:r>
      <w:r w:rsidRPr="003B11BD">
        <w:rPr>
          <w:noProof/>
        </w:rPr>
        <w:t xml:space="preserve"> (‘SC</w:t>
      </w:r>
      <w:r w:rsidR="00112BA5" w:rsidRPr="003B11BD">
        <w:rPr>
          <w:noProof/>
        </w:rPr>
        <w:t>B</w:t>
      </w:r>
      <w:r w:rsidRPr="003B11BD">
        <w:rPr>
          <w:noProof/>
        </w:rPr>
        <w:t>TH’) and the regulation on a framework of measures for ensuring the supply of crisis-relevant medical countermeasures in the event of a public health emergency at Union level (‘HERA’)</w:t>
      </w:r>
      <w:r w:rsidRPr="003B11BD">
        <w:rPr>
          <w:rStyle w:val="FootnoteReference"/>
          <w:noProof/>
        </w:rPr>
        <w:footnoteReference w:id="13"/>
      </w:r>
      <w:r w:rsidRPr="003B11BD">
        <w:rPr>
          <w:noProof/>
        </w:rPr>
        <w:t>.</w:t>
      </w:r>
    </w:p>
    <w:p w14:paraId="4E2FE844" w14:textId="79FE5BAA" w:rsidR="004D2DB1" w:rsidRPr="003B11BD" w:rsidRDefault="003A1124" w:rsidP="007F2535">
      <w:pPr>
        <w:rPr>
          <w:noProof/>
          <w:lang w:val="en-IE"/>
        </w:rPr>
      </w:pPr>
      <w:r w:rsidRPr="003B11BD">
        <w:rPr>
          <w:noProof/>
          <w:lang w:val="en-IE"/>
        </w:rPr>
        <w:t>These proposals</w:t>
      </w:r>
      <w:r w:rsidR="008A1AA1" w:rsidRPr="003B11BD">
        <w:rPr>
          <w:noProof/>
          <w:lang w:val="en-IE"/>
        </w:rPr>
        <w:t xml:space="preserve"> qualify as crisis instruments, setting-up emergency mechanisms to ensure the supply of and access to critical goods</w:t>
      </w:r>
      <w:r w:rsidR="01496F1B" w:rsidRPr="003B11BD">
        <w:rPr>
          <w:noProof/>
          <w:lang w:val="en-IE"/>
        </w:rPr>
        <w:t xml:space="preserve"> notably in the</w:t>
      </w:r>
      <w:r w:rsidR="7A73699E" w:rsidRPr="003B11BD">
        <w:rPr>
          <w:noProof/>
          <w:lang w:val="en-IE"/>
        </w:rPr>
        <w:t xml:space="preserve"> </w:t>
      </w:r>
      <w:r w:rsidR="00D43F3F" w:rsidRPr="003B11BD">
        <w:rPr>
          <w:noProof/>
          <w:lang w:val="en-IE"/>
        </w:rPr>
        <w:t>Single Market</w:t>
      </w:r>
      <w:r w:rsidR="0083301D" w:rsidRPr="003B11BD">
        <w:rPr>
          <w:noProof/>
          <w:lang w:val="en-IE"/>
        </w:rPr>
        <w:t>.</w:t>
      </w:r>
      <w:r w:rsidR="008A1AA1" w:rsidRPr="003B11BD">
        <w:rPr>
          <w:noProof/>
          <w:lang w:val="en-IE"/>
        </w:rPr>
        <w:t xml:space="preserve"> </w:t>
      </w:r>
      <w:r w:rsidR="007005DA" w:rsidRPr="003B11BD">
        <w:rPr>
          <w:noProof/>
          <w:lang w:val="en-IE"/>
        </w:rPr>
        <w:t>Other instruments, such as the Chips Act</w:t>
      </w:r>
      <w:r w:rsidR="007005DA" w:rsidRPr="003B11BD">
        <w:rPr>
          <w:rStyle w:val="FootnoteReference"/>
          <w:noProof/>
          <w:lang w:val="en-IE"/>
        </w:rPr>
        <w:footnoteReference w:id="14"/>
      </w:r>
      <w:r w:rsidR="007005DA" w:rsidRPr="003B11BD">
        <w:rPr>
          <w:noProof/>
          <w:lang w:val="en-IE"/>
        </w:rPr>
        <w:t xml:space="preserve">, </w:t>
      </w:r>
      <w:r w:rsidR="067CE9DF" w:rsidRPr="003B11BD">
        <w:rPr>
          <w:noProof/>
          <w:lang w:val="en-IE"/>
        </w:rPr>
        <w:t xml:space="preserve">also </w:t>
      </w:r>
      <w:r w:rsidR="007005DA" w:rsidRPr="003B11BD">
        <w:rPr>
          <w:noProof/>
          <w:lang w:val="en-IE"/>
        </w:rPr>
        <w:t xml:space="preserve">include </w:t>
      </w:r>
      <w:r w:rsidR="00141CED" w:rsidRPr="003B11BD">
        <w:rPr>
          <w:noProof/>
          <w:lang w:val="en-IE"/>
        </w:rPr>
        <w:t xml:space="preserve">crisis measures. </w:t>
      </w:r>
      <w:bookmarkStart w:id="15" w:name="_Toc120731189"/>
      <w:bookmarkStart w:id="16" w:name="_Toc121386346"/>
      <w:bookmarkStart w:id="17" w:name="_Toc121489571"/>
      <w:bookmarkStart w:id="18" w:name="_Toc121496323"/>
      <w:r w:rsidR="0035330C" w:rsidRPr="003B11BD">
        <w:rPr>
          <w:noProof/>
          <w:lang w:val="en-IE"/>
        </w:rPr>
        <w:t xml:space="preserve">None of the above instruments </w:t>
      </w:r>
      <w:r w:rsidR="002A7F42" w:rsidRPr="003B11BD">
        <w:rPr>
          <w:noProof/>
          <w:lang w:val="en-IE"/>
        </w:rPr>
        <w:t xml:space="preserve">explicitly includes </w:t>
      </w:r>
      <w:r w:rsidR="0035330C" w:rsidRPr="003B11BD">
        <w:rPr>
          <w:noProof/>
          <w:lang w:val="en-IE"/>
        </w:rPr>
        <w:t>the use of compulsory licensing to address a crisis</w:t>
      </w:r>
      <w:r w:rsidR="006F13D0" w:rsidRPr="003B11BD">
        <w:rPr>
          <w:noProof/>
          <w:lang w:val="en-IE"/>
        </w:rPr>
        <w:t>. The rationale</w:t>
      </w:r>
      <w:r w:rsidR="0035330C" w:rsidRPr="003B11BD">
        <w:rPr>
          <w:noProof/>
          <w:lang w:val="en-IE"/>
        </w:rPr>
        <w:t xml:space="preserve"> was</w:t>
      </w:r>
      <w:r w:rsidR="006F13D0" w:rsidRPr="003B11BD">
        <w:rPr>
          <w:noProof/>
          <w:lang w:val="en-IE"/>
        </w:rPr>
        <w:t xml:space="preserve"> that IP rights apply across sectors</w:t>
      </w:r>
      <w:r w:rsidR="00625E59" w:rsidRPr="003B11BD">
        <w:rPr>
          <w:noProof/>
          <w:lang w:val="en-IE"/>
        </w:rPr>
        <w:t xml:space="preserve"> </w:t>
      </w:r>
      <w:r w:rsidR="008E0FC8" w:rsidRPr="003B11BD">
        <w:rPr>
          <w:noProof/>
          <w:lang w:val="en-IE"/>
        </w:rPr>
        <w:t xml:space="preserve">in a uniform way. Yet, EU crisis instruments rarely apply to all sectors. </w:t>
      </w:r>
      <w:r w:rsidR="00B32636" w:rsidRPr="003B11BD">
        <w:rPr>
          <w:noProof/>
          <w:lang w:val="en-IE"/>
        </w:rPr>
        <w:t xml:space="preserve">For instance, </w:t>
      </w:r>
      <w:r w:rsidR="001C76A4" w:rsidRPr="003B11BD">
        <w:rPr>
          <w:noProof/>
          <w:lang w:val="en-IE"/>
        </w:rPr>
        <w:t>despite a large</w:t>
      </w:r>
      <w:r w:rsidR="00654AE2" w:rsidRPr="003B11BD">
        <w:rPr>
          <w:noProof/>
          <w:lang w:val="en-IE"/>
        </w:rPr>
        <w:t xml:space="preserve"> material</w:t>
      </w:r>
      <w:r w:rsidR="001C76A4" w:rsidRPr="003B11BD">
        <w:rPr>
          <w:noProof/>
          <w:lang w:val="en-IE"/>
        </w:rPr>
        <w:t xml:space="preserve"> scope,</w:t>
      </w:r>
      <w:r w:rsidR="008E0FC8" w:rsidRPr="003B11BD">
        <w:rPr>
          <w:noProof/>
          <w:lang w:val="en-IE"/>
        </w:rPr>
        <w:t xml:space="preserve"> the SMEI proposal does not apply to the health sector. Embedding </w:t>
      </w:r>
      <w:r w:rsidR="0081610B" w:rsidRPr="003B11BD">
        <w:rPr>
          <w:noProof/>
          <w:lang w:val="en-IE"/>
        </w:rPr>
        <w:t xml:space="preserve">compulsory licensing in </w:t>
      </w:r>
      <w:r w:rsidR="00E641ED" w:rsidRPr="003B11BD">
        <w:rPr>
          <w:noProof/>
          <w:lang w:val="en-IE"/>
        </w:rPr>
        <w:t>(</w:t>
      </w:r>
      <w:r w:rsidR="00142774" w:rsidRPr="003B11BD">
        <w:rPr>
          <w:noProof/>
          <w:lang w:val="en-IE"/>
        </w:rPr>
        <w:t>sector-specific</w:t>
      </w:r>
      <w:r w:rsidR="00E641ED" w:rsidRPr="003B11BD">
        <w:rPr>
          <w:noProof/>
          <w:lang w:val="en-IE"/>
        </w:rPr>
        <w:t>)</w:t>
      </w:r>
      <w:r w:rsidR="00142774" w:rsidRPr="003B11BD">
        <w:rPr>
          <w:noProof/>
          <w:lang w:val="en-IE"/>
        </w:rPr>
        <w:t xml:space="preserve"> </w:t>
      </w:r>
      <w:r w:rsidR="0081610B" w:rsidRPr="003B11BD">
        <w:rPr>
          <w:noProof/>
          <w:lang w:val="en-IE"/>
        </w:rPr>
        <w:t xml:space="preserve">EU crisis instruments would run the risk of creating different rules on compulsory licensing across </w:t>
      </w:r>
      <w:r w:rsidR="00142774" w:rsidRPr="003B11BD">
        <w:rPr>
          <w:noProof/>
          <w:lang w:val="en-IE"/>
        </w:rPr>
        <w:t>domains</w:t>
      </w:r>
      <w:r w:rsidR="0081610B" w:rsidRPr="003B11BD">
        <w:rPr>
          <w:noProof/>
          <w:lang w:val="en-IE"/>
        </w:rPr>
        <w:t>.</w:t>
      </w:r>
      <w:r w:rsidR="00625E59" w:rsidRPr="003B11BD">
        <w:rPr>
          <w:noProof/>
          <w:lang w:val="en-IE"/>
        </w:rPr>
        <w:t xml:space="preserve"> </w:t>
      </w:r>
      <w:r w:rsidR="005D344F" w:rsidRPr="003B11BD">
        <w:rPr>
          <w:noProof/>
          <w:lang w:val="en-IE"/>
        </w:rPr>
        <w:t>Nevertheless</w:t>
      </w:r>
      <w:r w:rsidR="00BF7169" w:rsidRPr="003B11BD">
        <w:rPr>
          <w:noProof/>
          <w:lang w:val="en-IE"/>
        </w:rPr>
        <w:t>,</w:t>
      </w:r>
      <w:r w:rsidR="005D344F" w:rsidRPr="003B11BD">
        <w:rPr>
          <w:noProof/>
          <w:lang w:val="en-IE"/>
        </w:rPr>
        <w:t xml:space="preserve"> this initiative would be closely linked to </w:t>
      </w:r>
      <w:r w:rsidR="00BF7169" w:rsidRPr="003B11BD">
        <w:rPr>
          <w:noProof/>
          <w:lang w:val="en-IE"/>
        </w:rPr>
        <w:t>crisis inst</w:t>
      </w:r>
      <w:r w:rsidR="004D2962" w:rsidRPr="003B11BD">
        <w:rPr>
          <w:noProof/>
          <w:lang w:val="en-IE"/>
        </w:rPr>
        <w:t xml:space="preserve">ruments as to ensure they are fully coherent and </w:t>
      </w:r>
      <w:r w:rsidR="00A0119D" w:rsidRPr="003B11BD">
        <w:rPr>
          <w:noProof/>
          <w:lang w:val="en-IE"/>
        </w:rPr>
        <w:t>complementary.</w:t>
      </w:r>
    </w:p>
    <w:p w14:paraId="51944387" w14:textId="254EBB7F" w:rsidR="007F2535" w:rsidRPr="003B11BD" w:rsidRDefault="007F2535" w:rsidP="007F2535">
      <w:pPr>
        <w:rPr>
          <w:noProof/>
          <w:lang w:val="en-IE"/>
        </w:rPr>
      </w:pPr>
      <w:r w:rsidRPr="003B11BD">
        <w:rPr>
          <w:noProof/>
          <w:lang w:val="en-IE"/>
        </w:rPr>
        <w:t>Finally, this initiative co</w:t>
      </w:r>
      <w:r w:rsidR="00152DA4" w:rsidRPr="003B11BD">
        <w:rPr>
          <w:noProof/>
          <w:lang w:val="en-IE"/>
        </w:rPr>
        <w:t>mplements</w:t>
      </w:r>
      <w:r w:rsidRPr="003B11BD">
        <w:rPr>
          <w:noProof/>
          <w:lang w:val="en-IE"/>
        </w:rPr>
        <w:t xml:space="preserve"> the </w:t>
      </w:r>
      <w:r w:rsidRPr="003B11BD">
        <w:rPr>
          <w:b/>
          <w:noProof/>
          <w:lang w:val="en-IE"/>
        </w:rPr>
        <w:t>launch of the Unitary Patent</w:t>
      </w:r>
      <w:r w:rsidRPr="003B11BD">
        <w:rPr>
          <w:noProof/>
          <w:lang w:val="en-IE"/>
        </w:rPr>
        <w:t xml:space="preserve"> system (expected in June 2023). The Unitary Patent is a major step towards the completion of the </w:t>
      </w:r>
      <w:r w:rsidR="00D43F3F" w:rsidRPr="003B11BD">
        <w:rPr>
          <w:noProof/>
          <w:lang w:val="en-IE"/>
        </w:rPr>
        <w:t>Single Market</w:t>
      </w:r>
      <w:r w:rsidRPr="003B11BD">
        <w:rPr>
          <w:noProof/>
          <w:lang w:val="en-IE"/>
        </w:rPr>
        <w:t xml:space="preserve"> for patents and an EU-level compulsory licence </w:t>
      </w:r>
      <w:r w:rsidR="004D2DB1" w:rsidRPr="003B11BD">
        <w:rPr>
          <w:noProof/>
          <w:lang w:val="en-IE"/>
        </w:rPr>
        <w:t>is part of</w:t>
      </w:r>
      <w:r w:rsidRPr="003B11BD">
        <w:rPr>
          <w:noProof/>
          <w:lang w:val="en-IE"/>
        </w:rPr>
        <w:t xml:space="preserve"> this harmonisation</w:t>
      </w:r>
      <w:r w:rsidR="00152DA4" w:rsidRPr="003B11BD">
        <w:rPr>
          <w:noProof/>
          <w:lang w:val="en-IE"/>
        </w:rPr>
        <w:t xml:space="preserve"> coordinated</w:t>
      </w:r>
      <w:r w:rsidRPr="003B11BD">
        <w:rPr>
          <w:noProof/>
          <w:lang w:val="en-IE"/>
        </w:rPr>
        <w:t xml:space="preserve"> effort.</w:t>
      </w:r>
      <w:r w:rsidR="006E02EF" w:rsidRPr="003B11BD">
        <w:rPr>
          <w:noProof/>
          <w:lang w:val="en-IE"/>
        </w:rPr>
        <w:t xml:space="preserve"> </w:t>
      </w:r>
      <w:r w:rsidR="00152DA4" w:rsidRPr="003B11BD">
        <w:rPr>
          <w:noProof/>
          <w:lang w:val="en-IE"/>
        </w:rPr>
        <w:t>Against this backdrop</w:t>
      </w:r>
      <w:r w:rsidR="00C048CA" w:rsidRPr="003B11BD">
        <w:rPr>
          <w:noProof/>
          <w:lang w:val="en-IE"/>
        </w:rPr>
        <w:t xml:space="preserve"> of</w:t>
      </w:r>
      <w:r w:rsidR="00B63D2E" w:rsidRPr="003B11BD">
        <w:rPr>
          <w:noProof/>
          <w:lang w:val="en-IE"/>
        </w:rPr>
        <w:t xml:space="preserve"> the increasing completion of the </w:t>
      </w:r>
      <w:r w:rsidR="00D43F3F" w:rsidRPr="003B11BD">
        <w:rPr>
          <w:noProof/>
          <w:lang w:val="en-IE"/>
        </w:rPr>
        <w:t>Single Market</w:t>
      </w:r>
      <w:r w:rsidR="00B63D2E" w:rsidRPr="003B11BD">
        <w:rPr>
          <w:noProof/>
          <w:lang w:val="en-IE"/>
        </w:rPr>
        <w:t xml:space="preserve"> for patents</w:t>
      </w:r>
      <w:r w:rsidR="00557D29" w:rsidRPr="003B11BD">
        <w:rPr>
          <w:noProof/>
          <w:lang w:val="en-IE"/>
        </w:rPr>
        <w:t>,</w:t>
      </w:r>
      <w:r w:rsidR="00B63D2E" w:rsidRPr="003B11BD">
        <w:rPr>
          <w:noProof/>
          <w:lang w:val="en-IE"/>
        </w:rPr>
        <w:t xml:space="preserve"> </w:t>
      </w:r>
      <w:r w:rsidR="00557D29" w:rsidRPr="003B11BD">
        <w:rPr>
          <w:noProof/>
          <w:lang w:val="en-IE"/>
        </w:rPr>
        <w:t>t</w:t>
      </w:r>
      <w:r w:rsidRPr="003B11BD">
        <w:rPr>
          <w:noProof/>
          <w:lang w:val="en-IE"/>
        </w:rPr>
        <w:t>he envisaged initiative on compulsory licensing is therefore at the crossroads between the different EU crisis instruments and the international obligations and discussions on IP rights and compulsory licensing.</w:t>
      </w:r>
    </w:p>
    <w:p w14:paraId="73DFA86F" w14:textId="5EA226C2" w:rsidR="003452AB" w:rsidRPr="003B11BD" w:rsidRDefault="23D2324C" w:rsidP="003452AB">
      <w:pPr>
        <w:pStyle w:val="Heading2"/>
        <w:rPr>
          <w:noProof/>
          <w:lang w:val="en-IE"/>
        </w:rPr>
      </w:pPr>
      <w:bookmarkStart w:id="19" w:name="_Toc121747989"/>
      <w:bookmarkStart w:id="20" w:name="_Toc133435343"/>
      <w:r w:rsidRPr="003B11BD">
        <w:rPr>
          <w:noProof/>
          <w:lang w:val="en-IE"/>
        </w:rPr>
        <w:t>The</w:t>
      </w:r>
      <w:r w:rsidR="1475033D" w:rsidRPr="003B11BD">
        <w:rPr>
          <w:noProof/>
          <w:lang w:val="en-IE"/>
        </w:rPr>
        <w:t xml:space="preserve"> </w:t>
      </w:r>
      <w:r w:rsidR="47A7D1F9" w:rsidRPr="003B11BD">
        <w:rPr>
          <w:noProof/>
          <w:lang w:val="en-IE"/>
        </w:rPr>
        <w:t>legal context</w:t>
      </w:r>
      <w:bookmarkEnd w:id="15"/>
      <w:bookmarkEnd w:id="16"/>
      <w:bookmarkEnd w:id="17"/>
      <w:bookmarkEnd w:id="18"/>
      <w:bookmarkEnd w:id="19"/>
      <w:bookmarkEnd w:id="20"/>
    </w:p>
    <w:p w14:paraId="7E0BE56D" w14:textId="4133C398" w:rsidR="002955F4" w:rsidRPr="003B11BD" w:rsidRDefault="00B66254" w:rsidP="002B690A">
      <w:pPr>
        <w:rPr>
          <w:noProof/>
          <w:lang w:val="en-IE"/>
        </w:rPr>
      </w:pPr>
      <w:r w:rsidRPr="003B11BD">
        <w:rPr>
          <w:noProof/>
          <w:lang w:val="en-IE"/>
        </w:rPr>
        <w:t>A co</w:t>
      </w:r>
      <w:r w:rsidR="00964311" w:rsidRPr="003B11BD">
        <w:rPr>
          <w:noProof/>
          <w:lang w:val="en-IE"/>
        </w:rPr>
        <w:t>mpulsory licence</w:t>
      </w:r>
      <w:r w:rsidR="007D14E6" w:rsidRPr="003B11BD">
        <w:rPr>
          <w:rStyle w:val="FootnoteReference"/>
          <w:rFonts w:eastAsia="Calibri"/>
          <w:noProof/>
          <w:lang w:val="en-IE"/>
        </w:rPr>
        <w:footnoteReference w:id="15"/>
      </w:r>
      <w:r w:rsidR="00964311" w:rsidRPr="003B11BD">
        <w:rPr>
          <w:noProof/>
          <w:lang w:val="en-IE"/>
        </w:rPr>
        <w:t xml:space="preserve"> </w:t>
      </w:r>
      <w:r w:rsidR="002F0964" w:rsidRPr="003B11BD">
        <w:rPr>
          <w:noProof/>
          <w:lang w:val="en-IE"/>
        </w:rPr>
        <w:t xml:space="preserve">refers </w:t>
      </w:r>
      <w:r w:rsidR="005473C5" w:rsidRPr="003B11BD">
        <w:rPr>
          <w:noProof/>
          <w:lang w:val="en-IE"/>
        </w:rPr>
        <w:t xml:space="preserve">to </w:t>
      </w:r>
      <w:r w:rsidR="00114B4B" w:rsidRPr="003B11BD">
        <w:rPr>
          <w:noProof/>
          <w:lang w:val="en-IE"/>
        </w:rPr>
        <w:t>the</w:t>
      </w:r>
      <w:r w:rsidR="003D6D72" w:rsidRPr="003B11BD">
        <w:rPr>
          <w:noProof/>
          <w:lang w:val="en-IE"/>
        </w:rPr>
        <w:t xml:space="preserve"> possibility for a government to allow </w:t>
      </w:r>
      <w:r w:rsidR="00475FA8" w:rsidRPr="003B11BD">
        <w:rPr>
          <w:noProof/>
          <w:lang w:val="en-IE"/>
        </w:rPr>
        <w:t xml:space="preserve">a third party </w:t>
      </w:r>
      <w:r w:rsidR="003D6D72" w:rsidRPr="003B11BD">
        <w:rPr>
          <w:noProof/>
          <w:lang w:val="en-IE"/>
        </w:rPr>
        <w:t xml:space="preserve">to </w:t>
      </w:r>
      <w:r w:rsidR="00114B4B" w:rsidRPr="003B11BD">
        <w:rPr>
          <w:noProof/>
          <w:lang w:val="en-IE"/>
        </w:rPr>
        <w:t>use a patent without the authorisation of the right holder</w:t>
      </w:r>
      <w:r w:rsidR="00897B11" w:rsidRPr="003B11BD">
        <w:rPr>
          <w:noProof/>
          <w:lang w:val="en-IE"/>
        </w:rPr>
        <w:t xml:space="preserve">, </w:t>
      </w:r>
      <w:r w:rsidR="00673E80" w:rsidRPr="003B11BD">
        <w:rPr>
          <w:noProof/>
          <w:lang w:val="en-IE"/>
        </w:rPr>
        <w:t xml:space="preserve">subject to </w:t>
      </w:r>
      <w:r w:rsidR="00897B11" w:rsidRPr="003B11BD">
        <w:rPr>
          <w:noProof/>
          <w:lang w:val="en-IE"/>
        </w:rPr>
        <w:t>certain conditions aiming at preserving the legitimate interests of the patent holders</w:t>
      </w:r>
      <w:r w:rsidRPr="003B11BD">
        <w:rPr>
          <w:noProof/>
          <w:lang w:val="en-IE"/>
        </w:rPr>
        <w:t xml:space="preserve">. </w:t>
      </w:r>
      <w:r w:rsidR="00F768D4" w:rsidRPr="003B11BD">
        <w:rPr>
          <w:noProof/>
          <w:lang w:val="en-IE"/>
        </w:rPr>
        <w:t xml:space="preserve">The TRIPS Agreement </w:t>
      </w:r>
      <w:r w:rsidR="00693BB2" w:rsidRPr="003B11BD">
        <w:rPr>
          <w:noProof/>
          <w:lang w:val="en-IE"/>
        </w:rPr>
        <w:t xml:space="preserve">sets the international legal obligations as regards compulsory licensing. </w:t>
      </w:r>
      <w:r w:rsidR="00216D00" w:rsidRPr="003B11BD">
        <w:rPr>
          <w:noProof/>
          <w:lang w:val="en-IE"/>
        </w:rPr>
        <w:t xml:space="preserve">It provides </w:t>
      </w:r>
      <w:r w:rsidR="00CC4BC0" w:rsidRPr="003B11BD">
        <w:rPr>
          <w:noProof/>
          <w:lang w:val="en-IE"/>
        </w:rPr>
        <w:t>two types of compulsory licensing</w:t>
      </w:r>
      <w:r w:rsidR="0025691E" w:rsidRPr="003B11BD">
        <w:rPr>
          <w:noProof/>
          <w:lang w:val="en-IE"/>
        </w:rPr>
        <w:t xml:space="preserve"> schemes</w:t>
      </w:r>
      <w:r w:rsidR="00EA3BA7" w:rsidRPr="003B11BD">
        <w:rPr>
          <w:noProof/>
          <w:lang w:val="en-IE"/>
        </w:rPr>
        <w:t>: (i) compulsory licensing for the domestic market (</w:t>
      </w:r>
      <w:r w:rsidR="00E8185B" w:rsidRPr="003B11BD">
        <w:rPr>
          <w:noProof/>
          <w:lang w:val="en-IE"/>
        </w:rPr>
        <w:t xml:space="preserve">article </w:t>
      </w:r>
      <w:r w:rsidR="00EA3BA7" w:rsidRPr="003B11BD">
        <w:rPr>
          <w:noProof/>
          <w:lang w:val="en-IE"/>
        </w:rPr>
        <w:t>31)</w:t>
      </w:r>
      <w:r w:rsidR="00342F72" w:rsidRPr="003B11BD">
        <w:rPr>
          <w:noProof/>
          <w:lang w:val="en-IE"/>
        </w:rPr>
        <w:t>, which applies to all types of products</w:t>
      </w:r>
      <w:r w:rsidR="00EA3BA7" w:rsidRPr="003B11BD">
        <w:rPr>
          <w:noProof/>
          <w:lang w:val="en-IE"/>
        </w:rPr>
        <w:t xml:space="preserve"> and (ii) compulsory licensing for the export</w:t>
      </w:r>
      <w:r w:rsidR="00342F72" w:rsidRPr="003B11BD">
        <w:rPr>
          <w:noProof/>
          <w:lang w:val="en-IE"/>
        </w:rPr>
        <w:t xml:space="preserve">, which only applies to </w:t>
      </w:r>
      <w:r w:rsidR="00EA3BA7" w:rsidRPr="003B11BD">
        <w:rPr>
          <w:noProof/>
          <w:lang w:val="en-IE"/>
        </w:rPr>
        <w:t>pharma</w:t>
      </w:r>
      <w:r w:rsidR="00342F72" w:rsidRPr="003B11BD">
        <w:rPr>
          <w:noProof/>
          <w:lang w:val="en-IE"/>
        </w:rPr>
        <w:t>ceutical</w:t>
      </w:r>
      <w:r w:rsidR="00EA3BA7" w:rsidRPr="003B11BD">
        <w:rPr>
          <w:noProof/>
          <w:lang w:val="en-IE"/>
        </w:rPr>
        <w:t xml:space="preserve"> products (article 31bis). </w:t>
      </w:r>
    </w:p>
    <w:p w14:paraId="5F6CFE52" w14:textId="63349FED" w:rsidR="00142774" w:rsidRPr="003B11BD" w:rsidRDefault="00063478" w:rsidP="00402655">
      <w:pPr>
        <w:spacing w:after="120"/>
        <w:rPr>
          <w:noProof/>
          <w:lang w:val="en-IE"/>
        </w:rPr>
      </w:pPr>
      <w:r w:rsidRPr="003B11BD">
        <w:rPr>
          <w:noProof/>
          <w:lang w:val="en-IE"/>
        </w:rPr>
        <w:t xml:space="preserve">Article 31 allows the granting of </w:t>
      </w:r>
      <w:r w:rsidR="00EB30F5" w:rsidRPr="003B11BD">
        <w:rPr>
          <w:noProof/>
          <w:lang w:val="en-IE"/>
        </w:rPr>
        <w:t xml:space="preserve">a </w:t>
      </w:r>
      <w:r w:rsidRPr="003B11BD">
        <w:rPr>
          <w:noProof/>
          <w:lang w:val="en-IE"/>
        </w:rPr>
        <w:t xml:space="preserve">compulsory </w:t>
      </w:r>
      <w:r w:rsidR="00EB30F5" w:rsidRPr="003B11BD">
        <w:rPr>
          <w:noProof/>
          <w:lang w:val="en-IE"/>
        </w:rPr>
        <w:t>licence</w:t>
      </w:r>
      <w:r w:rsidR="00694F7D" w:rsidRPr="003B11BD">
        <w:rPr>
          <w:noProof/>
          <w:lang w:val="en-IE"/>
        </w:rPr>
        <w:t xml:space="preserve">, for </w:t>
      </w:r>
      <w:r w:rsidR="00EB30F5" w:rsidRPr="003B11BD">
        <w:rPr>
          <w:noProof/>
          <w:lang w:val="en-IE"/>
        </w:rPr>
        <w:t>any type</w:t>
      </w:r>
      <w:r w:rsidR="00694F7D" w:rsidRPr="003B11BD">
        <w:rPr>
          <w:noProof/>
          <w:lang w:val="en-IE"/>
        </w:rPr>
        <w:t xml:space="preserve"> of product</w:t>
      </w:r>
      <w:r w:rsidR="0060076C" w:rsidRPr="003B11BD">
        <w:rPr>
          <w:noProof/>
          <w:lang w:val="en-IE"/>
        </w:rPr>
        <w:t xml:space="preserve">. In this context, the compulsory licence </w:t>
      </w:r>
      <w:r w:rsidR="00E47E73" w:rsidRPr="003B11BD">
        <w:rPr>
          <w:noProof/>
          <w:lang w:val="en-IE"/>
        </w:rPr>
        <w:t>must</w:t>
      </w:r>
      <w:r w:rsidRPr="003B11BD">
        <w:rPr>
          <w:noProof/>
          <w:lang w:val="en-IE"/>
        </w:rPr>
        <w:t xml:space="preserve"> </w:t>
      </w:r>
      <w:r w:rsidR="00E47E73" w:rsidRPr="003B11BD">
        <w:rPr>
          <w:noProof/>
          <w:lang w:val="en-IE"/>
        </w:rPr>
        <w:t xml:space="preserve">be </w:t>
      </w:r>
      <w:r w:rsidR="005F5595" w:rsidRPr="003B11BD">
        <w:rPr>
          <w:b/>
          <w:noProof/>
          <w:lang w:val="en-IE"/>
        </w:rPr>
        <w:t>predominantly for the supply of the</w:t>
      </w:r>
      <w:r w:rsidR="005F5595" w:rsidRPr="003B11BD">
        <w:rPr>
          <w:noProof/>
          <w:lang w:val="en-IE"/>
        </w:rPr>
        <w:t xml:space="preserve"> </w:t>
      </w:r>
      <w:r w:rsidR="00B72E96" w:rsidRPr="003B11BD">
        <w:rPr>
          <w:b/>
          <w:noProof/>
          <w:lang w:val="en-IE"/>
        </w:rPr>
        <w:t xml:space="preserve">domestic </w:t>
      </w:r>
      <w:r w:rsidR="005F5595" w:rsidRPr="003B11BD">
        <w:rPr>
          <w:b/>
          <w:noProof/>
          <w:lang w:val="en-IE"/>
        </w:rPr>
        <w:t>market</w:t>
      </w:r>
      <w:r w:rsidR="005F5595" w:rsidRPr="003B11BD">
        <w:rPr>
          <w:noProof/>
          <w:lang w:val="en-IE"/>
        </w:rPr>
        <w:t xml:space="preserve"> o</w:t>
      </w:r>
      <w:r w:rsidR="00B72E96" w:rsidRPr="003B11BD">
        <w:rPr>
          <w:noProof/>
          <w:lang w:val="en-IE"/>
        </w:rPr>
        <w:t xml:space="preserve">f the WTO Member authorising the use. </w:t>
      </w:r>
      <w:r w:rsidR="005305C5" w:rsidRPr="003B11BD">
        <w:rPr>
          <w:noProof/>
          <w:lang w:val="en-IE"/>
        </w:rPr>
        <w:t xml:space="preserve">The TRIPS </w:t>
      </w:r>
      <w:r w:rsidR="00847C69" w:rsidRPr="003B11BD">
        <w:rPr>
          <w:noProof/>
          <w:lang w:val="en-IE"/>
        </w:rPr>
        <w:t>A</w:t>
      </w:r>
      <w:r w:rsidR="005305C5" w:rsidRPr="003B11BD">
        <w:rPr>
          <w:noProof/>
          <w:lang w:val="en-IE"/>
        </w:rPr>
        <w:t xml:space="preserve">greement does not </w:t>
      </w:r>
      <w:r w:rsidR="009437D7" w:rsidRPr="003B11BD">
        <w:rPr>
          <w:noProof/>
          <w:lang w:val="en-IE"/>
        </w:rPr>
        <w:t>list</w:t>
      </w:r>
      <w:r w:rsidR="005305C5" w:rsidRPr="003B11BD">
        <w:rPr>
          <w:noProof/>
          <w:lang w:val="en-IE"/>
        </w:rPr>
        <w:t xml:space="preserve"> the grounds on which a compulsory licence can be </w:t>
      </w:r>
      <w:r w:rsidR="00A608FA" w:rsidRPr="003B11BD">
        <w:rPr>
          <w:noProof/>
          <w:lang w:val="en-IE"/>
        </w:rPr>
        <w:t>granted</w:t>
      </w:r>
      <w:r w:rsidR="001F0CC2" w:rsidRPr="003B11BD">
        <w:rPr>
          <w:noProof/>
          <w:lang w:val="en-IE"/>
        </w:rPr>
        <w:t xml:space="preserve"> but </w:t>
      </w:r>
      <w:r w:rsidR="00D931FF" w:rsidRPr="003B11BD">
        <w:rPr>
          <w:noProof/>
          <w:lang w:val="en-IE"/>
        </w:rPr>
        <w:t xml:space="preserve">provides </w:t>
      </w:r>
      <w:r w:rsidR="00CE4AE0" w:rsidRPr="003B11BD">
        <w:rPr>
          <w:noProof/>
          <w:lang w:val="en-IE"/>
        </w:rPr>
        <w:t>several</w:t>
      </w:r>
      <w:r w:rsidR="00F65DF3" w:rsidRPr="003B11BD">
        <w:rPr>
          <w:noProof/>
          <w:lang w:val="en-IE"/>
        </w:rPr>
        <w:t xml:space="preserve"> conditions under which a compulsory licence </w:t>
      </w:r>
      <w:r w:rsidR="005A05C7" w:rsidRPr="003B11BD">
        <w:rPr>
          <w:noProof/>
          <w:lang w:val="en-IE"/>
        </w:rPr>
        <w:t>can be authorised</w:t>
      </w:r>
      <w:r w:rsidR="0056555D" w:rsidRPr="003B11BD">
        <w:rPr>
          <w:noProof/>
          <w:lang w:val="en-IE"/>
        </w:rPr>
        <w:t xml:space="preserve"> </w:t>
      </w:r>
      <w:r w:rsidR="00DD0408" w:rsidRPr="003B11BD">
        <w:rPr>
          <w:noProof/>
          <w:lang w:val="en-IE"/>
        </w:rPr>
        <w:t>(see Annex 5</w:t>
      </w:r>
      <w:r w:rsidR="00BB4286" w:rsidRPr="003B11BD">
        <w:rPr>
          <w:noProof/>
          <w:lang w:val="en-IE"/>
        </w:rPr>
        <w:t>D</w:t>
      </w:r>
      <w:r w:rsidR="00DD0408" w:rsidRPr="003B11BD">
        <w:rPr>
          <w:noProof/>
          <w:lang w:val="en-IE"/>
        </w:rPr>
        <w:t xml:space="preserve">). </w:t>
      </w:r>
      <w:r w:rsidR="002955F4" w:rsidRPr="003B11BD">
        <w:rPr>
          <w:noProof/>
          <w:lang w:val="en-IE"/>
        </w:rPr>
        <w:t>As for the EU legal context, there is no harmonisation of compulsory licensing for the domestic market, including as regards European patents with a unitary effect</w:t>
      </w:r>
      <w:r w:rsidR="002955F4" w:rsidRPr="003B11BD">
        <w:rPr>
          <w:rStyle w:val="FootnoteReference"/>
          <w:noProof/>
          <w:lang w:val="en-IE"/>
        </w:rPr>
        <w:footnoteReference w:id="16"/>
      </w:r>
      <w:r w:rsidR="002955F4" w:rsidRPr="003B11BD">
        <w:rPr>
          <w:noProof/>
          <w:lang w:val="en-IE"/>
        </w:rPr>
        <w:t>. EU countries have all implemented compulsory licensing schemes but for different grounds and following different procedures, in accordance with the flexibilities left at international level.</w:t>
      </w:r>
    </w:p>
    <w:p w14:paraId="60F36E98" w14:textId="28EBEAD7" w:rsidR="008F31C7" w:rsidRPr="003B11BD" w:rsidRDefault="00A01F41" w:rsidP="002955F4">
      <w:pPr>
        <w:spacing w:after="120"/>
        <w:rPr>
          <w:noProof/>
          <w:lang w:val="en-IE"/>
        </w:rPr>
      </w:pPr>
      <w:r w:rsidRPr="003B11BD">
        <w:rPr>
          <w:noProof/>
          <w:lang w:val="en-IE"/>
        </w:rPr>
        <w:t>Under Article 31bis of the TRIPS Agreement, a country can grant a compulsory licence to the extent necessary for the purposes of production and the</w:t>
      </w:r>
      <w:r w:rsidRPr="003B11BD">
        <w:rPr>
          <w:b/>
          <w:bCs/>
          <w:noProof/>
          <w:lang w:val="en-IE"/>
        </w:rPr>
        <w:t xml:space="preserve"> export of a pharmaceutical product</w:t>
      </w:r>
      <w:r w:rsidRPr="003B11BD">
        <w:rPr>
          <w:noProof/>
          <w:lang w:val="en-IE"/>
        </w:rPr>
        <w:t xml:space="preserve">. The EU implemented this new disposition in its legal order through the adoption of regulation (EC) </w:t>
      </w:r>
      <w:r w:rsidR="006D7126" w:rsidRPr="003B11BD">
        <w:rPr>
          <w:noProof/>
          <w:lang w:val="en-IE"/>
        </w:rPr>
        <w:t xml:space="preserve">No </w:t>
      </w:r>
      <w:r w:rsidRPr="003B11BD">
        <w:rPr>
          <w:noProof/>
          <w:lang w:val="en-IE"/>
        </w:rPr>
        <w:t>816/2006</w:t>
      </w:r>
      <w:r w:rsidRPr="003B11BD">
        <w:rPr>
          <w:rStyle w:val="FootnoteReference"/>
          <w:noProof/>
          <w:lang w:val="en-IE"/>
        </w:rPr>
        <w:footnoteReference w:id="17"/>
      </w:r>
      <w:r w:rsidRPr="003B11BD">
        <w:rPr>
          <w:noProof/>
          <w:lang w:val="en-IE"/>
        </w:rPr>
        <w:t xml:space="preserve">. The EU may only act as an exporter to the countries with no or limited manufacturing capacity. </w:t>
      </w:r>
      <w:r w:rsidR="00402655" w:rsidRPr="003B11BD">
        <w:rPr>
          <w:noProof/>
          <w:lang w:val="en-IE"/>
        </w:rPr>
        <w:t xml:space="preserve">The mechanism under Article 31bis of the TRIPS Agreement was only used once, in the Canada-Rwanda case (see </w:t>
      </w:r>
      <w:r w:rsidR="00402655" w:rsidRPr="003B11BD">
        <w:rPr>
          <w:bCs/>
          <w:noProof/>
          <w:lang w:val="en-IE"/>
        </w:rPr>
        <w:t>Annex 5</w:t>
      </w:r>
      <w:r w:rsidR="00BB4286" w:rsidRPr="003B11BD">
        <w:rPr>
          <w:bCs/>
          <w:noProof/>
          <w:lang w:val="en-IE"/>
        </w:rPr>
        <w:t>F</w:t>
      </w:r>
      <w:r w:rsidR="00402655" w:rsidRPr="003B11BD">
        <w:rPr>
          <w:noProof/>
          <w:lang w:val="en-IE"/>
        </w:rPr>
        <w:t xml:space="preserve">). </w:t>
      </w:r>
      <w:r w:rsidR="46274891" w:rsidRPr="003B11BD">
        <w:rPr>
          <w:noProof/>
          <w:lang w:val="en-IE"/>
        </w:rPr>
        <w:t xml:space="preserve">In the context of </w:t>
      </w:r>
      <w:r w:rsidR="000C155F" w:rsidRPr="003B11BD">
        <w:rPr>
          <w:noProof/>
          <w:lang w:val="en-IE"/>
        </w:rPr>
        <w:t>Regulation (EC) No</w:t>
      </w:r>
      <w:r w:rsidR="46274891" w:rsidRPr="003B11BD">
        <w:rPr>
          <w:noProof/>
          <w:lang w:val="en-IE"/>
        </w:rPr>
        <w:t xml:space="preserve"> 816/2006, EU countries remain the main points of contacts for </w:t>
      </w:r>
      <w:r w:rsidR="5F64A911" w:rsidRPr="003B11BD">
        <w:rPr>
          <w:noProof/>
          <w:lang w:val="en-IE"/>
        </w:rPr>
        <w:t xml:space="preserve">granting the compulsory licence, checking whether the conditions are respected and </w:t>
      </w:r>
      <w:r w:rsidR="6E7A7670" w:rsidRPr="003B11BD">
        <w:rPr>
          <w:noProof/>
          <w:lang w:val="en-IE"/>
        </w:rPr>
        <w:t>when it is terminated.</w:t>
      </w:r>
      <w:r w:rsidR="46274891" w:rsidRPr="003B11BD">
        <w:rPr>
          <w:noProof/>
          <w:lang w:val="en-IE"/>
        </w:rPr>
        <w:t xml:space="preserve"> </w:t>
      </w:r>
      <w:r w:rsidR="488DA3B8" w:rsidRPr="003B11BD">
        <w:rPr>
          <w:noProof/>
          <w:lang w:val="en-IE"/>
        </w:rPr>
        <w:t>The role of the Commission remains limited</w:t>
      </w:r>
      <w:r w:rsidR="2E70930D" w:rsidRPr="003B11BD">
        <w:rPr>
          <w:noProof/>
          <w:lang w:val="en-IE"/>
        </w:rPr>
        <w:t xml:space="preserve"> to the case where the </w:t>
      </w:r>
      <w:r w:rsidR="00CF71ED" w:rsidRPr="003B11BD">
        <w:rPr>
          <w:noProof/>
          <w:lang w:val="en-IE"/>
        </w:rPr>
        <w:t>export of the product under a compulsory licence would be directed to an importing country which is not a WTO member</w:t>
      </w:r>
      <w:r w:rsidR="488DA3B8" w:rsidRPr="003B11BD">
        <w:rPr>
          <w:noProof/>
          <w:lang w:val="en-IE"/>
        </w:rPr>
        <w:t xml:space="preserve">. </w:t>
      </w:r>
      <w:r w:rsidR="5BAF5711" w:rsidRPr="003B11BD">
        <w:rPr>
          <w:noProof/>
          <w:lang w:val="en-IE"/>
        </w:rPr>
        <w:t xml:space="preserve">In such case, the importing country </w:t>
      </w:r>
      <w:r w:rsidR="7865A478" w:rsidRPr="003B11BD">
        <w:rPr>
          <w:noProof/>
          <w:lang w:val="en-IE"/>
        </w:rPr>
        <w:t xml:space="preserve">must make a notification to the Commission instead of </w:t>
      </w:r>
      <w:r w:rsidR="2E70930D" w:rsidRPr="003B11BD">
        <w:rPr>
          <w:noProof/>
          <w:lang w:val="en-IE"/>
        </w:rPr>
        <w:t xml:space="preserve">the WTO. </w:t>
      </w:r>
      <w:r w:rsidR="00402655" w:rsidRPr="003B11BD">
        <w:rPr>
          <w:noProof/>
          <w:lang w:val="en-IE"/>
        </w:rPr>
        <w:t>Regulation (EC) No 816/2006 was never used nor evaluated.</w:t>
      </w:r>
    </w:p>
    <w:p w14:paraId="0E6E0344" w14:textId="49BB546C" w:rsidR="002C4EB6" w:rsidRPr="003B11BD" w:rsidRDefault="00E11A3A" w:rsidP="00DF7B27">
      <w:pPr>
        <w:spacing w:after="120"/>
        <w:rPr>
          <w:rFonts w:ascii="Arial" w:eastAsia="Times New Roman" w:hAnsi="Arial" w:cs="Arial"/>
          <w:noProof/>
          <w:sz w:val="27"/>
          <w:szCs w:val="27"/>
          <w:lang w:val="en-IE" w:eastAsia="en-IE"/>
        </w:rPr>
      </w:pPr>
      <w:r w:rsidRPr="003B11BD">
        <w:rPr>
          <w:noProof/>
          <w:lang w:val="en-IE"/>
        </w:rPr>
        <w:t xml:space="preserve">Two other </w:t>
      </w:r>
      <w:r w:rsidR="00873E4B" w:rsidRPr="003B11BD">
        <w:rPr>
          <w:noProof/>
          <w:lang w:val="en-IE"/>
        </w:rPr>
        <w:t xml:space="preserve">EU </w:t>
      </w:r>
      <w:r w:rsidR="00884CBA" w:rsidRPr="003B11BD">
        <w:rPr>
          <w:noProof/>
          <w:lang w:val="en-IE"/>
        </w:rPr>
        <w:t>legislations</w:t>
      </w:r>
      <w:r w:rsidR="00873E4B" w:rsidRPr="003B11BD">
        <w:rPr>
          <w:noProof/>
          <w:lang w:val="en-IE"/>
        </w:rPr>
        <w:t xml:space="preserve"> provide for a compulsory licensing scheme. First, the</w:t>
      </w:r>
      <w:r w:rsidR="007F7F72" w:rsidRPr="003B11BD">
        <w:rPr>
          <w:noProof/>
          <w:lang w:val="en-IE"/>
        </w:rPr>
        <w:t xml:space="preserve"> Regulation on Community plant variety right</w:t>
      </w:r>
      <w:r w:rsidR="00BB38FB" w:rsidRPr="003B11BD">
        <w:rPr>
          <w:noProof/>
          <w:lang w:val="en-IE"/>
        </w:rPr>
        <w:t>s</w:t>
      </w:r>
      <w:r w:rsidR="00131864" w:rsidRPr="003B11BD">
        <w:rPr>
          <w:rStyle w:val="FootnoteReference"/>
          <w:noProof/>
          <w:lang w:val="en-IE"/>
        </w:rPr>
        <w:footnoteReference w:id="18"/>
      </w:r>
      <w:r w:rsidR="003D0315" w:rsidRPr="003B11BD">
        <w:rPr>
          <w:noProof/>
          <w:lang w:val="en-IE"/>
        </w:rPr>
        <w:t xml:space="preserve"> provides for the possibility for the </w:t>
      </w:r>
      <w:r w:rsidR="00EA05B3" w:rsidRPr="003B11BD">
        <w:rPr>
          <w:noProof/>
          <w:lang w:val="en-IE"/>
        </w:rPr>
        <w:t xml:space="preserve">Community </w:t>
      </w:r>
      <w:r w:rsidR="003D0315" w:rsidRPr="003B11BD">
        <w:rPr>
          <w:noProof/>
          <w:lang w:val="en-IE"/>
        </w:rPr>
        <w:t>Plant Variety Office</w:t>
      </w:r>
      <w:r w:rsidR="00396883" w:rsidRPr="003B11BD">
        <w:rPr>
          <w:noProof/>
          <w:lang w:val="en-IE"/>
        </w:rPr>
        <w:t xml:space="preserve"> to grant a compulsory licence on a community plant variety right, on application by a Member State, </w:t>
      </w:r>
      <w:r w:rsidR="009946C8" w:rsidRPr="003B11BD">
        <w:rPr>
          <w:noProof/>
          <w:lang w:val="en-IE"/>
        </w:rPr>
        <w:t>by the Commission or by an organisation set up EU level</w:t>
      </w:r>
      <w:r w:rsidR="009946C8" w:rsidRPr="003B11BD">
        <w:rPr>
          <w:rStyle w:val="FootnoteReference"/>
          <w:noProof/>
          <w:lang w:val="en-IE"/>
        </w:rPr>
        <w:footnoteReference w:id="19"/>
      </w:r>
      <w:r w:rsidR="009946C8" w:rsidRPr="003B11BD">
        <w:rPr>
          <w:noProof/>
          <w:lang w:val="en-IE"/>
        </w:rPr>
        <w:t>.</w:t>
      </w:r>
      <w:r w:rsidR="00CB1190" w:rsidRPr="003B11BD">
        <w:rPr>
          <w:noProof/>
          <w:lang w:val="en-IE"/>
        </w:rPr>
        <w:t xml:space="preserve"> Second, </w:t>
      </w:r>
      <w:r w:rsidR="007C5C92" w:rsidRPr="003B11BD">
        <w:rPr>
          <w:noProof/>
          <w:lang w:val="en-IE"/>
        </w:rPr>
        <w:t>the Biotech Directive</w:t>
      </w:r>
      <w:r w:rsidR="00225D3F" w:rsidRPr="003B11BD">
        <w:rPr>
          <w:rStyle w:val="FootnoteReference"/>
          <w:noProof/>
          <w:lang w:val="en-IE"/>
        </w:rPr>
        <w:footnoteReference w:id="20"/>
      </w:r>
      <w:r w:rsidR="007C5C92" w:rsidRPr="003B11BD">
        <w:rPr>
          <w:noProof/>
          <w:lang w:val="en-IE"/>
        </w:rPr>
        <w:t xml:space="preserve"> provides for the possibility, w</w:t>
      </w:r>
      <w:r w:rsidR="002C4EB6" w:rsidRPr="003B11BD">
        <w:rPr>
          <w:rFonts w:eastAsia="Times New Roman"/>
          <w:noProof/>
          <w:lang w:val="en-IE" w:eastAsia="en-IE"/>
        </w:rPr>
        <w:t xml:space="preserve">here a plant breeder cannot use a plant variety without infringing a patent, </w:t>
      </w:r>
      <w:r w:rsidR="00225D3F" w:rsidRPr="003B11BD">
        <w:rPr>
          <w:rFonts w:eastAsia="Times New Roman"/>
          <w:noProof/>
          <w:lang w:val="en-IE" w:eastAsia="en-IE"/>
        </w:rPr>
        <w:t>to</w:t>
      </w:r>
      <w:r w:rsidR="002C4EB6" w:rsidRPr="003B11BD">
        <w:rPr>
          <w:rFonts w:eastAsia="Times New Roman"/>
          <w:noProof/>
          <w:lang w:val="en-IE" w:eastAsia="en-IE"/>
        </w:rPr>
        <w:t xml:space="preserve"> apply for a compulsory licence.</w:t>
      </w:r>
    </w:p>
    <w:p w14:paraId="5924949B" w14:textId="2FE019AA" w:rsidR="0042558E" w:rsidRPr="003B11BD" w:rsidRDefault="0042558E" w:rsidP="00402655">
      <w:pPr>
        <w:pStyle w:val="Heading2"/>
        <w:rPr>
          <w:noProof/>
          <w:lang w:val="en-IE"/>
        </w:rPr>
      </w:pPr>
      <w:bookmarkStart w:id="21" w:name="_Toc121339218"/>
      <w:bookmarkStart w:id="22" w:name="_Toc121339295"/>
      <w:bookmarkStart w:id="23" w:name="_Toc121339449"/>
      <w:bookmarkStart w:id="24" w:name="_Toc121386348"/>
      <w:bookmarkStart w:id="25" w:name="_Toc121387600"/>
      <w:bookmarkStart w:id="26" w:name="_Toc121390067"/>
      <w:bookmarkStart w:id="27" w:name="_Toc121390714"/>
      <w:bookmarkStart w:id="28" w:name="_Toc121390792"/>
      <w:bookmarkStart w:id="29" w:name="_Toc121395006"/>
      <w:bookmarkStart w:id="30" w:name="_Ref120125447"/>
      <w:bookmarkStart w:id="31" w:name="_Toc120731191"/>
      <w:bookmarkStart w:id="32" w:name="_Toc121386349"/>
      <w:bookmarkStart w:id="33" w:name="_Toc121489573"/>
      <w:bookmarkStart w:id="34" w:name="_Toc121496325"/>
      <w:bookmarkStart w:id="35" w:name="_Toc121747991"/>
      <w:bookmarkStart w:id="36" w:name="_Toc133435344"/>
      <w:bookmarkEnd w:id="21"/>
      <w:bookmarkEnd w:id="22"/>
      <w:bookmarkEnd w:id="23"/>
      <w:bookmarkEnd w:id="24"/>
      <w:bookmarkEnd w:id="25"/>
      <w:bookmarkEnd w:id="26"/>
      <w:bookmarkEnd w:id="27"/>
      <w:bookmarkEnd w:id="28"/>
      <w:bookmarkEnd w:id="29"/>
      <w:r w:rsidRPr="003B11BD">
        <w:rPr>
          <w:noProof/>
          <w:lang w:val="en-IE"/>
        </w:rPr>
        <w:t>C</w:t>
      </w:r>
      <w:r w:rsidR="0EFFDF0B" w:rsidRPr="003B11BD">
        <w:rPr>
          <w:noProof/>
          <w:lang w:val="en-IE"/>
        </w:rPr>
        <w:t xml:space="preserve">ompulsory </w:t>
      </w:r>
      <w:r w:rsidR="00A41DD4" w:rsidRPr="003B11BD">
        <w:rPr>
          <w:noProof/>
          <w:lang w:val="en-IE"/>
        </w:rPr>
        <w:t>l</w:t>
      </w:r>
      <w:r w:rsidR="3F85ED0E" w:rsidRPr="003B11BD">
        <w:rPr>
          <w:noProof/>
          <w:lang w:val="en-IE"/>
        </w:rPr>
        <w:t>icence</w:t>
      </w:r>
      <w:r w:rsidRPr="003B11BD">
        <w:rPr>
          <w:noProof/>
          <w:lang w:val="en-IE"/>
        </w:rPr>
        <w:t xml:space="preserve"> as </w:t>
      </w:r>
      <w:bookmarkEnd w:id="30"/>
      <w:bookmarkEnd w:id="31"/>
      <w:r w:rsidR="00EA0267" w:rsidRPr="003B11BD">
        <w:rPr>
          <w:noProof/>
          <w:lang w:val="en-IE"/>
        </w:rPr>
        <w:t>an incentive or replacement of voluntary agreements</w:t>
      </w:r>
      <w:bookmarkEnd w:id="32"/>
      <w:bookmarkEnd w:id="33"/>
      <w:bookmarkEnd w:id="34"/>
      <w:bookmarkEnd w:id="35"/>
      <w:bookmarkEnd w:id="36"/>
    </w:p>
    <w:p w14:paraId="24BEF78F" w14:textId="3E17EC97" w:rsidR="0042558E" w:rsidRPr="003B11BD" w:rsidRDefault="00D10301" w:rsidP="0042558E">
      <w:pPr>
        <w:spacing w:after="120"/>
        <w:rPr>
          <w:noProof/>
          <w:color w:val="000000" w:themeColor="text1"/>
          <w:lang w:val="en-IE"/>
        </w:rPr>
      </w:pPr>
      <w:r w:rsidRPr="003B11BD">
        <w:rPr>
          <w:noProof/>
          <w:lang w:val="en-IE"/>
        </w:rPr>
        <w:t>Compulsory licensing is often presented as a ‘last resort mechanism’</w:t>
      </w:r>
      <w:r w:rsidR="007F07BC" w:rsidRPr="003B11BD">
        <w:rPr>
          <w:rStyle w:val="FootnoteReference"/>
          <w:noProof/>
          <w:lang w:val="en-IE"/>
        </w:rPr>
        <w:footnoteReference w:id="21"/>
      </w:r>
      <w:r w:rsidRPr="003B11BD">
        <w:rPr>
          <w:noProof/>
          <w:lang w:val="en-IE"/>
        </w:rPr>
        <w:t xml:space="preserve">. </w:t>
      </w:r>
      <w:r w:rsidR="00B3716A" w:rsidRPr="003B11BD">
        <w:rPr>
          <w:noProof/>
          <w:lang w:val="en-IE"/>
        </w:rPr>
        <w:t>In the vast majority of cases, voluntary agreements are the most efficient solution to ensure the manufacturing and supply of critical products. Stakeholders generally highlight the importance of voluntary agreements to scale-up the manufacturing of critical products. A large majority of</w:t>
      </w:r>
      <w:r w:rsidR="003D6277" w:rsidRPr="003B11BD">
        <w:rPr>
          <w:noProof/>
          <w:lang w:val="en-IE"/>
        </w:rPr>
        <w:t xml:space="preserve"> </w:t>
      </w:r>
      <w:r w:rsidR="00B3716A" w:rsidRPr="003B11BD">
        <w:rPr>
          <w:noProof/>
          <w:lang w:val="en-IE"/>
        </w:rPr>
        <w:t>respondents to the public consultation (74%, N=55) also considered that compulsory licensing is a last-resort mechanism that should be available only where voluntary arrangements have failed or are unavailable</w:t>
      </w:r>
      <w:r w:rsidR="00B3716A" w:rsidRPr="003B11BD">
        <w:rPr>
          <w:rStyle w:val="FootnoteReference"/>
          <w:noProof/>
          <w:lang w:val="en-IE"/>
        </w:rPr>
        <w:footnoteReference w:id="22"/>
      </w:r>
      <w:r w:rsidR="00B3716A" w:rsidRPr="003B11BD">
        <w:rPr>
          <w:noProof/>
          <w:lang w:val="en-IE"/>
        </w:rPr>
        <w:t>.</w:t>
      </w:r>
      <w:r w:rsidR="00B3716A" w:rsidRPr="003B11BD" w:rsidDel="00B16573">
        <w:rPr>
          <w:noProof/>
          <w:lang w:val="en-IE"/>
        </w:rPr>
        <w:t xml:space="preserve"> </w:t>
      </w:r>
      <w:r w:rsidR="00953EA5" w:rsidRPr="003B11BD">
        <w:rPr>
          <w:noProof/>
          <w:lang w:val="en-IE"/>
        </w:rPr>
        <w:t xml:space="preserve">However, </w:t>
      </w:r>
      <w:r w:rsidR="00953EA5" w:rsidRPr="003B11BD">
        <w:rPr>
          <w:noProof/>
          <w:color w:val="000000" w:themeColor="text1"/>
          <w:lang w:val="en-IE"/>
        </w:rPr>
        <w:t>w</w:t>
      </w:r>
      <w:r w:rsidR="0042558E" w:rsidRPr="003B11BD">
        <w:rPr>
          <w:noProof/>
          <w:color w:val="000000" w:themeColor="text1"/>
          <w:lang w:val="en-IE"/>
        </w:rPr>
        <w:t>hen voluntary agreements are not available, be it because such agreements do not offer a viable solution to address a crisis in a timely</w:t>
      </w:r>
      <w:r w:rsidR="0042558E" w:rsidRPr="003B11BD">
        <w:rPr>
          <w:rStyle w:val="FootnoteReference"/>
          <w:noProof/>
          <w:color w:val="000000" w:themeColor="text1"/>
          <w:lang w:val="en-IE"/>
        </w:rPr>
        <w:footnoteReference w:id="23"/>
      </w:r>
      <w:r w:rsidR="0042558E" w:rsidRPr="003B11BD">
        <w:rPr>
          <w:noProof/>
          <w:color w:val="000000" w:themeColor="text1"/>
          <w:lang w:val="en-IE"/>
        </w:rPr>
        <w:t xml:space="preserve"> or adequate</w:t>
      </w:r>
      <w:r w:rsidR="0042558E" w:rsidRPr="003B11BD">
        <w:rPr>
          <w:rStyle w:val="FootnoteReference"/>
          <w:noProof/>
          <w:color w:val="000000" w:themeColor="text1"/>
          <w:lang w:val="en-IE"/>
        </w:rPr>
        <w:footnoteReference w:id="24"/>
      </w:r>
      <w:r w:rsidR="0042558E" w:rsidRPr="003B11BD">
        <w:rPr>
          <w:noProof/>
          <w:color w:val="000000" w:themeColor="text1"/>
          <w:lang w:val="en-IE"/>
        </w:rPr>
        <w:t xml:space="preserve"> manner or because the IP owner is not willing to voluntar</w:t>
      </w:r>
      <w:r w:rsidR="00F50E89" w:rsidRPr="003B11BD">
        <w:rPr>
          <w:noProof/>
          <w:color w:val="000000" w:themeColor="text1"/>
          <w:lang w:val="en-IE"/>
        </w:rPr>
        <w:t>il</w:t>
      </w:r>
      <w:r w:rsidR="0042558E" w:rsidRPr="003B11BD">
        <w:rPr>
          <w:noProof/>
          <w:color w:val="000000" w:themeColor="text1"/>
          <w:lang w:val="en-IE"/>
        </w:rPr>
        <w:t xml:space="preserve">y license its rights, compulsory licence </w:t>
      </w:r>
      <w:r w:rsidR="00292F79" w:rsidRPr="003B11BD">
        <w:rPr>
          <w:noProof/>
          <w:color w:val="000000" w:themeColor="text1"/>
          <w:lang w:val="en-IE"/>
        </w:rPr>
        <w:t xml:space="preserve">can </w:t>
      </w:r>
      <w:r w:rsidR="0042558E" w:rsidRPr="003B11BD">
        <w:rPr>
          <w:noProof/>
          <w:color w:val="000000" w:themeColor="text1"/>
          <w:lang w:val="en-IE"/>
        </w:rPr>
        <w:t xml:space="preserve">have </w:t>
      </w:r>
      <w:r w:rsidR="00206CDF" w:rsidRPr="003B11BD">
        <w:rPr>
          <w:noProof/>
          <w:color w:val="000000" w:themeColor="text1"/>
          <w:lang w:val="en-IE"/>
        </w:rPr>
        <w:t>an</w:t>
      </w:r>
      <w:r w:rsidR="0042558E" w:rsidRPr="003B11BD">
        <w:rPr>
          <w:noProof/>
          <w:color w:val="000000" w:themeColor="text1"/>
          <w:lang w:val="en-IE"/>
        </w:rPr>
        <w:t>:</w:t>
      </w:r>
    </w:p>
    <w:p w14:paraId="4D2BE1D2" w14:textId="2AF60B55" w:rsidR="0042558E" w:rsidRPr="003B11BD" w:rsidRDefault="00206CDF" w:rsidP="004C618F">
      <w:pPr>
        <w:pStyle w:val="Bullets"/>
        <w:rPr>
          <w:noProof/>
        </w:rPr>
      </w:pPr>
      <w:r w:rsidRPr="003B11BD">
        <w:rPr>
          <w:noProof/>
        </w:rPr>
        <w:t xml:space="preserve">incentive </w:t>
      </w:r>
      <w:r w:rsidR="0042558E" w:rsidRPr="003B11BD">
        <w:rPr>
          <w:noProof/>
        </w:rPr>
        <w:t>role: The threat of a compulsory licence can incentivise the IP owner to grant a voluntary agreement</w:t>
      </w:r>
      <w:r w:rsidR="00535CF1" w:rsidRPr="003B11BD">
        <w:rPr>
          <w:noProof/>
        </w:rPr>
        <w:t>, in particular when the IP owner has refused the licensing or the proposed conditions</w:t>
      </w:r>
      <w:r w:rsidR="0042558E" w:rsidRPr="003B11BD">
        <w:rPr>
          <w:noProof/>
        </w:rPr>
        <w:t>;</w:t>
      </w:r>
    </w:p>
    <w:p w14:paraId="6921DF95" w14:textId="4102968A" w:rsidR="0042558E" w:rsidRPr="003B11BD" w:rsidRDefault="00206CDF" w:rsidP="004C618F">
      <w:pPr>
        <w:pStyle w:val="Bullets"/>
        <w:rPr>
          <w:noProof/>
        </w:rPr>
      </w:pPr>
      <w:r w:rsidRPr="003B11BD">
        <w:rPr>
          <w:noProof/>
        </w:rPr>
        <w:t>e</w:t>
      </w:r>
      <w:r w:rsidR="0042558E" w:rsidRPr="003B11BD">
        <w:rPr>
          <w:noProof/>
        </w:rPr>
        <w:t xml:space="preserve">nabling role: </w:t>
      </w:r>
      <w:r w:rsidR="00EF0A14" w:rsidRPr="003B11BD">
        <w:rPr>
          <w:noProof/>
        </w:rPr>
        <w:t>Should voluntary agreements still not be available or adequate to address the crisis and should another manufacturer be able to produce and deliver the goods to tackle the crisis, the public authority could decide to grant to this manufacturer a compulsory licence allowing/ ramping up production capacity.</w:t>
      </w:r>
    </w:p>
    <w:p w14:paraId="4701B936" w14:textId="41F27DEC" w:rsidR="0042558E" w:rsidRPr="003B11BD" w:rsidRDefault="00953EA5" w:rsidP="00CF7789">
      <w:pPr>
        <w:pStyle w:val="Text2"/>
        <w:ind w:left="0"/>
        <w:rPr>
          <w:noProof/>
          <w:lang w:val="en-IE"/>
        </w:rPr>
      </w:pPr>
      <w:r w:rsidRPr="003B11BD">
        <w:rPr>
          <w:noProof/>
          <w:color w:val="000000" w:themeColor="text1"/>
          <w:lang w:val="en-IE"/>
        </w:rPr>
        <w:t>T</w:t>
      </w:r>
      <w:r w:rsidR="0042558E" w:rsidRPr="003B11BD">
        <w:rPr>
          <w:noProof/>
          <w:color w:val="000000" w:themeColor="text1"/>
          <w:lang w:val="en-IE"/>
        </w:rPr>
        <w:t>hese roles can only be fulfilled where there is an efficient, credible, and flexible compulsory licensing scheme in place.</w:t>
      </w:r>
    </w:p>
    <w:p w14:paraId="564272A6" w14:textId="0DFEB965" w:rsidR="00397128" w:rsidRPr="003B11BD" w:rsidRDefault="00781C3C" w:rsidP="00831941">
      <w:pPr>
        <w:pStyle w:val="Heading1"/>
        <w:rPr>
          <w:noProof/>
          <w:lang w:val="en-IE"/>
        </w:rPr>
      </w:pPr>
      <w:bookmarkStart w:id="37" w:name="_Toc120731192"/>
      <w:bookmarkStart w:id="38" w:name="_Toc121386350"/>
      <w:bookmarkStart w:id="39" w:name="_Toc121489574"/>
      <w:bookmarkStart w:id="40" w:name="_Toc121496326"/>
      <w:bookmarkStart w:id="41" w:name="_Toc121747992"/>
      <w:bookmarkStart w:id="42" w:name="_Toc133435345"/>
      <w:r w:rsidRPr="003B11BD">
        <w:rPr>
          <w:noProof/>
          <w:lang w:val="en-IE"/>
        </w:rPr>
        <w:t>P</w:t>
      </w:r>
      <w:r w:rsidR="006B087E" w:rsidRPr="003B11BD">
        <w:rPr>
          <w:noProof/>
          <w:lang w:val="en-IE"/>
        </w:rPr>
        <w:t>roblem definition</w:t>
      </w:r>
      <w:bookmarkEnd w:id="37"/>
      <w:bookmarkEnd w:id="38"/>
      <w:bookmarkEnd w:id="39"/>
      <w:bookmarkEnd w:id="40"/>
      <w:bookmarkEnd w:id="41"/>
      <w:bookmarkEnd w:id="42"/>
    </w:p>
    <w:p w14:paraId="24FFC210" w14:textId="07F2EFDA" w:rsidR="00F818E5" w:rsidRPr="003B11BD" w:rsidRDefault="006B087E" w:rsidP="00F818E5">
      <w:pPr>
        <w:pStyle w:val="Heading2"/>
        <w:rPr>
          <w:noProof/>
          <w:lang w:val="en-IE"/>
        </w:rPr>
      </w:pPr>
      <w:bookmarkStart w:id="43" w:name="_Toc120731193"/>
      <w:bookmarkStart w:id="44" w:name="_Toc121386351"/>
      <w:bookmarkStart w:id="45" w:name="_Toc121489575"/>
      <w:bookmarkStart w:id="46" w:name="_Toc121496327"/>
      <w:bookmarkStart w:id="47" w:name="_Toc121747993"/>
      <w:bookmarkStart w:id="48" w:name="_Toc133435346"/>
      <w:r w:rsidRPr="003B11BD">
        <w:rPr>
          <w:noProof/>
          <w:lang w:val="en-IE"/>
        </w:rPr>
        <w:t>What is the problem?</w:t>
      </w:r>
      <w:bookmarkEnd w:id="43"/>
      <w:bookmarkEnd w:id="44"/>
      <w:bookmarkEnd w:id="45"/>
      <w:bookmarkEnd w:id="46"/>
      <w:bookmarkEnd w:id="47"/>
      <w:bookmarkEnd w:id="48"/>
    </w:p>
    <w:p w14:paraId="6997E196" w14:textId="1167D3B8" w:rsidR="00763492" w:rsidRPr="003B11BD" w:rsidRDefault="2707DE1D" w:rsidP="00A137B5">
      <w:pPr>
        <w:spacing w:after="120"/>
        <w:rPr>
          <w:noProof/>
          <w:lang w:val="en-IE"/>
        </w:rPr>
      </w:pPr>
      <w:r w:rsidRPr="003B11BD">
        <w:rPr>
          <w:noProof/>
          <w:lang w:val="en-IE"/>
        </w:rPr>
        <w:t xml:space="preserve">When a crisis strikes and </w:t>
      </w:r>
      <w:r w:rsidR="2EB1F7F2" w:rsidRPr="003B11BD">
        <w:rPr>
          <w:noProof/>
          <w:lang w:val="en-IE"/>
        </w:rPr>
        <w:t xml:space="preserve">the solution lies </w:t>
      </w:r>
      <w:r w:rsidR="086EAA12" w:rsidRPr="003B11BD">
        <w:rPr>
          <w:noProof/>
          <w:lang w:val="en-IE"/>
        </w:rPr>
        <w:t>i</w:t>
      </w:r>
      <w:r w:rsidR="2EB1F7F2" w:rsidRPr="003B11BD">
        <w:rPr>
          <w:noProof/>
          <w:lang w:val="en-IE"/>
        </w:rPr>
        <w:t xml:space="preserve">n using a certain product or technology, this product or technology </w:t>
      </w:r>
      <w:r w:rsidR="00E064DF" w:rsidRPr="003B11BD">
        <w:rPr>
          <w:noProof/>
          <w:lang w:val="en-IE"/>
        </w:rPr>
        <w:t>may be</w:t>
      </w:r>
      <w:r w:rsidR="2EB1F7F2" w:rsidRPr="003B11BD">
        <w:rPr>
          <w:noProof/>
          <w:lang w:val="en-IE"/>
        </w:rPr>
        <w:t xml:space="preserve"> protected by IP rights, </w:t>
      </w:r>
      <w:r w:rsidR="00E064DF" w:rsidRPr="003B11BD">
        <w:rPr>
          <w:noProof/>
          <w:lang w:val="en-IE"/>
        </w:rPr>
        <w:t>for example</w:t>
      </w:r>
      <w:r w:rsidR="2EB1F7F2" w:rsidRPr="003B11BD">
        <w:rPr>
          <w:noProof/>
          <w:lang w:val="en-IE"/>
        </w:rPr>
        <w:t xml:space="preserve"> by patents</w:t>
      </w:r>
      <w:r w:rsidR="00763492" w:rsidRPr="003B11BD">
        <w:rPr>
          <w:rStyle w:val="FootnoteReference"/>
          <w:noProof/>
          <w:lang w:val="en-IE"/>
        </w:rPr>
        <w:footnoteReference w:id="25"/>
      </w:r>
      <w:r w:rsidR="2EB1F7F2" w:rsidRPr="003B11BD">
        <w:rPr>
          <w:noProof/>
          <w:lang w:val="en-IE"/>
        </w:rPr>
        <w:t xml:space="preserve">. </w:t>
      </w:r>
      <w:r w:rsidR="00A50753" w:rsidRPr="003B11BD">
        <w:rPr>
          <w:noProof/>
          <w:lang w:val="en-IE"/>
        </w:rPr>
        <w:t xml:space="preserve">As </w:t>
      </w:r>
      <w:r w:rsidR="00740176" w:rsidRPr="003B11BD">
        <w:rPr>
          <w:noProof/>
          <w:lang w:val="en-IE"/>
        </w:rPr>
        <w:t>more than 100</w:t>
      </w:r>
      <w:r w:rsidR="00F84B39" w:rsidRPr="003B11BD">
        <w:rPr>
          <w:noProof/>
          <w:lang w:val="en-IE"/>
        </w:rPr>
        <w:t> </w:t>
      </w:r>
      <w:r w:rsidR="00740176" w:rsidRPr="003B11BD">
        <w:rPr>
          <w:noProof/>
          <w:lang w:val="en-IE"/>
        </w:rPr>
        <w:t xml:space="preserve">000 new patents </w:t>
      </w:r>
      <w:r w:rsidR="0002460C" w:rsidRPr="003B11BD">
        <w:rPr>
          <w:noProof/>
          <w:lang w:val="en-IE"/>
        </w:rPr>
        <w:t xml:space="preserve">are </w:t>
      </w:r>
      <w:r w:rsidR="00740176" w:rsidRPr="003B11BD">
        <w:rPr>
          <w:noProof/>
          <w:lang w:val="en-IE"/>
        </w:rPr>
        <w:t xml:space="preserve">granted by the </w:t>
      </w:r>
      <w:r w:rsidR="00F84B39" w:rsidRPr="003B11BD">
        <w:rPr>
          <w:noProof/>
          <w:lang w:val="en-IE"/>
        </w:rPr>
        <w:t>European Patent Office (‘</w:t>
      </w:r>
      <w:r w:rsidR="00740176" w:rsidRPr="003B11BD">
        <w:rPr>
          <w:noProof/>
          <w:lang w:val="en-IE"/>
        </w:rPr>
        <w:t>EPO</w:t>
      </w:r>
      <w:r w:rsidR="00F84B39" w:rsidRPr="003B11BD">
        <w:rPr>
          <w:noProof/>
          <w:lang w:val="en-IE"/>
        </w:rPr>
        <w:t>’)</w:t>
      </w:r>
      <w:r w:rsidR="00740176" w:rsidRPr="003B11BD">
        <w:rPr>
          <w:noProof/>
          <w:lang w:val="en-IE"/>
        </w:rPr>
        <w:t xml:space="preserve"> alone every year</w:t>
      </w:r>
      <w:r w:rsidR="001979AB" w:rsidRPr="003B11BD">
        <w:rPr>
          <w:rStyle w:val="FootnoteReference"/>
          <w:noProof/>
          <w:lang w:val="en-IE"/>
        </w:rPr>
        <w:footnoteReference w:id="26"/>
      </w:r>
      <w:r w:rsidR="00A50753" w:rsidRPr="003B11BD">
        <w:rPr>
          <w:noProof/>
          <w:lang w:val="en-IE"/>
        </w:rPr>
        <w:t>, there are high chances that an innovative te</w:t>
      </w:r>
      <w:r w:rsidR="00F84B39" w:rsidRPr="003B11BD">
        <w:rPr>
          <w:noProof/>
          <w:lang w:val="en-IE"/>
        </w:rPr>
        <w:t>chnology needed in crisis c</w:t>
      </w:r>
      <w:r w:rsidR="00A50753" w:rsidRPr="003B11BD">
        <w:rPr>
          <w:noProof/>
          <w:lang w:val="en-IE"/>
        </w:rPr>
        <w:t>ould be patent protected</w:t>
      </w:r>
      <w:r w:rsidR="00740176" w:rsidRPr="003B11BD">
        <w:rPr>
          <w:noProof/>
          <w:lang w:val="en-IE"/>
        </w:rPr>
        <w:t>.</w:t>
      </w:r>
      <w:r w:rsidR="001979AB" w:rsidRPr="003B11BD">
        <w:rPr>
          <w:noProof/>
          <w:lang w:val="en-IE"/>
        </w:rPr>
        <w:t xml:space="preserve"> </w:t>
      </w:r>
      <w:r w:rsidR="3BCA518D" w:rsidRPr="003B11BD">
        <w:rPr>
          <w:noProof/>
          <w:lang w:val="en-IE"/>
        </w:rPr>
        <w:t xml:space="preserve">Public authorities willing to rely on </w:t>
      </w:r>
      <w:r w:rsidR="00FE1EA9" w:rsidRPr="003B11BD">
        <w:rPr>
          <w:noProof/>
          <w:lang w:val="en-IE"/>
        </w:rPr>
        <w:t>such</w:t>
      </w:r>
      <w:r w:rsidR="3BCA518D" w:rsidRPr="003B11BD">
        <w:rPr>
          <w:noProof/>
          <w:lang w:val="en-IE"/>
        </w:rPr>
        <w:t xml:space="preserve"> product and/or technology </w:t>
      </w:r>
      <w:r w:rsidR="56ECE3DD" w:rsidRPr="003B11BD">
        <w:rPr>
          <w:noProof/>
          <w:lang w:val="en-IE"/>
        </w:rPr>
        <w:t>need</w:t>
      </w:r>
      <w:r w:rsidR="3BCA518D" w:rsidRPr="003B11BD">
        <w:rPr>
          <w:noProof/>
          <w:lang w:val="en-IE"/>
        </w:rPr>
        <w:t xml:space="preserve"> to secure the IP rights </w:t>
      </w:r>
      <w:r w:rsidR="009E78D2" w:rsidRPr="003B11BD">
        <w:rPr>
          <w:noProof/>
          <w:lang w:val="en-IE"/>
        </w:rPr>
        <w:t xml:space="preserve">by seeking an agreement with </w:t>
      </w:r>
      <w:r w:rsidR="00D87E9F" w:rsidRPr="003B11BD">
        <w:rPr>
          <w:noProof/>
          <w:lang w:val="en-IE"/>
        </w:rPr>
        <w:t>the</w:t>
      </w:r>
      <w:r w:rsidR="009E78D2" w:rsidRPr="003B11BD">
        <w:rPr>
          <w:noProof/>
          <w:lang w:val="en-IE"/>
        </w:rPr>
        <w:t xml:space="preserve"> patent holder</w:t>
      </w:r>
      <w:r w:rsidR="00392DD5" w:rsidRPr="003B11BD">
        <w:rPr>
          <w:rStyle w:val="FootnoteReference"/>
          <w:noProof/>
          <w:lang w:val="en-IE"/>
        </w:rPr>
        <w:footnoteReference w:id="27"/>
      </w:r>
      <w:r w:rsidR="009E78D2" w:rsidRPr="003B11BD">
        <w:rPr>
          <w:noProof/>
          <w:lang w:val="en-IE"/>
        </w:rPr>
        <w:t xml:space="preserve"> (</w:t>
      </w:r>
      <w:r w:rsidR="00FC1639" w:rsidRPr="003B11BD">
        <w:rPr>
          <w:noProof/>
          <w:lang w:val="en-IE"/>
        </w:rPr>
        <w:t xml:space="preserve">e.g. </w:t>
      </w:r>
      <w:r w:rsidR="009E78D2" w:rsidRPr="003B11BD">
        <w:rPr>
          <w:noProof/>
          <w:lang w:val="en-IE"/>
        </w:rPr>
        <w:t xml:space="preserve">in case of </w:t>
      </w:r>
      <w:r w:rsidR="001326D0" w:rsidRPr="003B11BD">
        <w:rPr>
          <w:noProof/>
          <w:lang w:val="en-IE"/>
        </w:rPr>
        <w:t xml:space="preserve">the </w:t>
      </w:r>
      <w:r w:rsidR="00EB280E" w:rsidRPr="003B11BD">
        <w:rPr>
          <w:noProof/>
          <w:lang w:val="en-IE"/>
        </w:rPr>
        <w:t>European Patents (‘</w:t>
      </w:r>
      <w:r w:rsidR="009E78D2" w:rsidRPr="003B11BD">
        <w:rPr>
          <w:noProof/>
          <w:lang w:val="en-IE"/>
        </w:rPr>
        <w:t>EP</w:t>
      </w:r>
      <w:r w:rsidR="00EB280E" w:rsidRPr="003B11BD">
        <w:rPr>
          <w:noProof/>
          <w:lang w:val="en-IE"/>
        </w:rPr>
        <w:t>’</w:t>
      </w:r>
      <w:r w:rsidR="009156B4" w:rsidRPr="003B11BD">
        <w:rPr>
          <w:noProof/>
          <w:lang w:val="en-IE"/>
        </w:rPr>
        <w:t>) among roughly 103 000 companies</w:t>
      </w:r>
      <w:r w:rsidR="0092152A" w:rsidRPr="003B11BD">
        <w:rPr>
          <w:rStyle w:val="FootnoteReference"/>
          <w:noProof/>
          <w:lang w:val="en-IE"/>
        </w:rPr>
        <w:footnoteReference w:id="28"/>
      </w:r>
      <w:r w:rsidR="00D87E9F" w:rsidRPr="003B11BD">
        <w:rPr>
          <w:noProof/>
          <w:lang w:val="en-IE"/>
        </w:rPr>
        <w:t>)</w:t>
      </w:r>
      <w:r w:rsidR="0094053F" w:rsidRPr="003B11BD">
        <w:rPr>
          <w:noProof/>
          <w:lang w:val="en-IE"/>
        </w:rPr>
        <w:t>.</w:t>
      </w:r>
      <w:r w:rsidR="00E064DF" w:rsidRPr="003B11BD">
        <w:rPr>
          <w:noProof/>
          <w:lang w:val="en-IE"/>
        </w:rPr>
        <w:t xml:space="preserve"> </w:t>
      </w:r>
      <w:r w:rsidRPr="003B11BD">
        <w:rPr>
          <w:noProof/>
          <w:lang w:val="en-IE"/>
        </w:rPr>
        <w:t xml:space="preserve">Yet, voluntary solutions may not always be available nor adequate, in particular in the context of a crisis, when patent-protected products </w:t>
      </w:r>
      <w:r w:rsidR="00E41A7F" w:rsidRPr="003B11BD">
        <w:rPr>
          <w:noProof/>
          <w:lang w:val="en-IE"/>
        </w:rPr>
        <w:t>should</w:t>
      </w:r>
      <w:r w:rsidRPr="003B11BD">
        <w:rPr>
          <w:noProof/>
          <w:lang w:val="en-IE"/>
        </w:rPr>
        <w:t xml:space="preserve"> be accessible under tight time constraints</w:t>
      </w:r>
      <w:r w:rsidR="005C3B67" w:rsidRPr="003B11BD">
        <w:rPr>
          <w:noProof/>
          <w:lang w:val="en-IE"/>
        </w:rPr>
        <w:t xml:space="preserve">. </w:t>
      </w:r>
    </w:p>
    <w:p w14:paraId="6B96F9B3" w14:textId="1398CA73" w:rsidR="00D57E17" w:rsidRPr="003B11BD" w:rsidRDefault="00D87F99" w:rsidP="00A137B5">
      <w:pPr>
        <w:spacing w:after="120"/>
        <w:rPr>
          <w:noProof/>
          <w:lang w:val="en-IE"/>
        </w:rPr>
      </w:pPr>
      <w:r w:rsidRPr="003B11BD">
        <w:rPr>
          <w:noProof/>
          <w:lang w:val="en-IE"/>
        </w:rPr>
        <w:t>T</w:t>
      </w:r>
      <w:r w:rsidR="6B7D4ADD" w:rsidRPr="003B11BD">
        <w:rPr>
          <w:noProof/>
          <w:lang w:val="en-IE"/>
        </w:rPr>
        <w:t xml:space="preserve">he need to resort to a </w:t>
      </w:r>
      <w:r w:rsidR="00B8276F" w:rsidRPr="003B11BD">
        <w:rPr>
          <w:noProof/>
          <w:lang w:val="en-IE"/>
        </w:rPr>
        <w:t>compulsory licence</w:t>
      </w:r>
      <w:r w:rsidR="6B7D4ADD" w:rsidRPr="003B11BD">
        <w:rPr>
          <w:noProof/>
          <w:lang w:val="en-IE"/>
        </w:rPr>
        <w:t xml:space="preserve"> in a crisis is supported </w:t>
      </w:r>
      <w:r w:rsidR="00EF121C" w:rsidRPr="003B11BD">
        <w:rPr>
          <w:noProof/>
          <w:lang w:val="en-IE"/>
        </w:rPr>
        <w:t>(82%</w:t>
      </w:r>
      <w:r w:rsidR="001D7436" w:rsidRPr="003B11BD">
        <w:rPr>
          <w:noProof/>
          <w:lang w:val="en-IE"/>
        </w:rPr>
        <w:t>, N=61</w:t>
      </w:r>
      <w:r w:rsidR="00EF121C" w:rsidRPr="003B11BD">
        <w:rPr>
          <w:noProof/>
          <w:lang w:val="en-IE"/>
        </w:rPr>
        <w:t xml:space="preserve">) </w:t>
      </w:r>
      <w:r w:rsidR="6B7D4ADD" w:rsidRPr="003B11BD">
        <w:rPr>
          <w:noProof/>
          <w:lang w:val="en-IE"/>
        </w:rPr>
        <w:t>by stakeholders</w:t>
      </w:r>
      <w:r w:rsidR="299F93B3" w:rsidRPr="003B11BD">
        <w:rPr>
          <w:noProof/>
          <w:lang w:val="en-IE"/>
        </w:rPr>
        <w:t xml:space="preserve"> </w:t>
      </w:r>
      <w:r w:rsidR="006359D7" w:rsidRPr="003B11BD">
        <w:rPr>
          <w:noProof/>
          <w:lang w:val="en-IE"/>
        </w:rPr>
        <w:t>who participated in</w:t>
      </w:r>
      <w:r w:rsidR="005C746B" w:rsidRPr="003B11BD">
        <w:rPr>
          <w:noProof/>
          <w:lang w:val="en-IE"/>
        </w:rPr>
        <w:t xml:space="preserve"> the </w:t>
      </w:r>
      <w:r w:rsidR="006359D7" w:rsidRPr="003B11BD">
        <w:rPr>
          <w:noProof/>
          <w:lang w:val="en-IE"/>
        </w:rPr>
        <w:t>open</w:t>
      </w:r>
      <w:r w:rsidR="005C746B" w:rsidRPr="003B11BD">
        <w:rPr>
          <w:noProof/>
          <w:lang w:val="en-IE"/>
        </w:rPr>
        <w:t xml:space="preserve"> public consultation </w:t>
      </w:r>
      <w:r w:rsidR="006359D7" w:rsidRPr="003B11BD">
        <w:rPr>
          <w:noProof/>
          <w:lang w:val="en-IE"/>
        </w:rPr>
        <w:t xml:space="preserve">(‘OPC’) </w:t>
      </w:r>
      <w:r w:rsidR="005C746B" w:rsidRPr="003B11BD">
        <w:rPr>
          <w:noProof/>
          <w:lang w:val="en-IE"/>
        </w:rPr>
        <w:t>run within the context of this initiative</w:t>
      </w:r>
      <w:r w:rsidR="006359D7" w:rsidRPr="003B11BD">
        <w:rPr>
          <w:noProof/>
          <w:lang w:val="en-IE"/>
        </w:rPr>
        <w:t xml:space="preserve"> </w:t>
      </w:r>
      <w:r w:rsidR="6B7D4ADD" w:rsidRPr="003B11BD">
        <w:rPr>
          <w:noProof/>
          <w:lang w:val="en-IE"/>
        </w:rPr>
        <w:t xml:space="preserve">(see </w:t>
      </w:r>
      <w:r w:rsidR="00FE1EA9" w:rsidRPr="003B11BD">
        <w:rPr>
          <w:noProof/>
          <w:lang w:val="en-IE"/>
        </w:rPr>
        <w:fldChar w:fldCharType="begin"/>
      </w:r>
      <w:r w:rsidR="00FE1EA9" w:rsidRPr="003B11BD">
        <w:rPr>
          <w:noProof/>
          <w:lang w:val="en-IE"/>
        </w:rPr>
        <w:instrText xml:space="preserve"> REF _Ref123489234 \h </w:instrText>
      </w:r>
      <w:r w:rsidR="0010202B" w:rsidRPr="003B11BD">
        <w:rPr>
          <w:noProof/>
          <w:lang w:val="en-IE"/>
        </w:rPr>
        <w:instrText xml:space="preserve"> \* MERGEFORMAT </w:instrText>
      </w:r>
      <w:r w:rsidR="00FE1EA9" w:rsidRPr="003B11BD">
        <w:rPr>
          <w:noProof/>
          <w:lang w:val="en-IE"/>
        </w:rPr>
      </w:r>
      <w:r w:rsidR="00FE1EA9" w:rsidRPr="003B11BD">
        <w:rPr>
          <w:noProof/>
          <w:lang w:val="en-IE"/>
        </w:rPr>
        <w:fldChar w:fldCharType="separate"/>
      </w:r>
      <w:r w:rsidR="00C6592A" w:rsidRPr="003B11BD">
        <w:rPr>
          <w:noProof/>
          <w:lang w:val="en-IE"/>
        </w:rPr>
        <w:t xml:space="preserve">Figure </w:t>
      </w:r>
      <w:r w:rsidR="00C6592A">
        <w:rPr>
          <w:noProof/>
          <w:lang w:val="en-IE"/>
        </w:rPr>
        <w:t>1</w:t>
      </w:r>
      <w:r w:rsidR="00FE1EA9" w:rsidRPr="003B11BD">
        <w:rPr>
          <w:noProof/>
          <w:lang w:val="en-IE"/>
        </w:rPr>
        <w:fldChar w:fldCharType="end"/>
      </w:r>
      <w:r w:rsidR="6B7D4ADD" w:rsidRPr="003B11BD">
        <w:rPr>
          <w:noProof/>
          <w:lang w:val="en-IE"/>
        </w:rPr>
        <w:t>)</w:t>
      </w:r>
      <w:r w:rsidR="00381DD1" w:rsidRPr="003B11BD">
        <w:rPr>
          <w:rStyle w:val="FootnoteReference"/>
          <w:noProof/>
          <w:lang w:val="en-IE"/>
        </w:rPr>
        <w:footnoteReference w:id="29"/>
      </w:r>
      <w:r w:rsidR="6B7D4ADD" w:rsidRPr="003B11BD">
        <w:rPr>
          <w:noProof/>
          <w:lang w:val="en-IE"/>
        </w:rPr>
        <w:t>.</w:t>
      </w:r>
      <w:r w:rsidR="00AA0A48" w:rsidRPr="003B11BD">
        <w:rPr>
          <w:noProof/>
          <w:lang w:val="en-IE"/>
        </w:rPr>
        <w:t xml:space="preserve"> </w:t>
      </w:r>
    </w:p>
    <w:p w14:paraId="11BF223E" w14:textId="2F1640DE" w:rsidR="00D57E17" w:rsidRPr="003B11BD" w:rsidRDefault="00D57E17" w:rsidP="00EF121C">
      <w:pPr>
        <w:pStyle w:val="Caption"/>
        <w:keepNext/>
        <w:rPr>
          <w:noProof/>
          <w:lang w:val="en-IE"/>
        </w:rPr>
      </w:pPr>
      <w:bookmarkStart w:id="49" w:name="_Ref121486101"/>
      <w:bookmarkStart w:id="50" w:name="_Ref123489234"/>
      <w:r w:rsidRPr="003B11BD">
        <w:rPr>
          <w:noProof/>
          <w:lang w:val="en-IE"/>
        </w:rPr>
        <w:t xml:space="preserve">Figure </w:t>
      </w:r>
      <w:bookmarkEnd w:id="49"/>
      <w:r w:rsidR="00C6592A">
        <w:rPr>
          <w:noProof/>
          <w:lang w:val="en-IE"/>
        </w:rPr>
        <w:t>1</w:t>
      </w:r>
      <w:bookmarkEnd w:id="50"/>
      <w:r w:rsidRPr="003B11BD">
        <w:rPr>
          <w:noProof/>
          <w:lang w:val="en-IE"/>
        </w:rPr>
        <w:t>:</w:t>
      </w:r>
      <w:r w:rsidR="003B0478" w:rsidRPr="003B11BD">
        <w:rPr>
          <w:noProof/>
          <w:lang w:val="en-IE"/>
        </w:rPr>
        <w:t xml:space="preserve"> </w:t>
      </w:r>
      <w:r w:rsidRPr="003B11BD">
        <w:rPr>
          <w:noProof/>
          <w:lang w:val="en-IE"/>
        </w:rPr>
        <w:t>Do you consider it important that public authorities are entitled to allow production of certain products and/or use of certain technologies necessary to tackle a crisi</w:t>
      </w:r>
      <w:r w:rsidR="003B0478" w:rsidRPr="003B11BD">
        <w:rPr>
          <w:noProof/>
          <w:lang w:val="en-IE"/>
        </w:rPr>
        <w:t>s through a compulsory licence?</w:t>
      </w:r>
    </w:p>
    <w:p w14:paraId="50759C60" w14:textId="3065721D" w:rsidR="00D57E17" w:rsidRPr="003B11BD" w:rsidRDefault="003B0478" w:rsidP="00D57E17">
      <w:pPr>
        <w:jc w:val="center"/>
        <w:rPr>
          <w:noProof/>
          <w:lang w:val="en-IE"/>
        </w:rPr>
      </w:pPr>
      <w:r w:rsidRPr="003B11BD">
        <w:rPr>
          <w:noProof/>
          <w:lang w:eastAsia="en-GB"/>
        </w:rPr>
        <w:drawing>
          <wp:inline distT="0" distB="0" distL="0" distR="0" wp14:anchorId="4D4E174E" wp14:editId="7A68B881">
            <wp:extent cx="3010194" cy="1738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4747" cy="1775459"/>
                    </a:xfrm>
                    <a:prstGeom prst="rect">
                      <a:avLst/>
                    </a:prstGeom>
                    <a:noFill/>
                  </pic:spPr>
                </pic:pic>
              </a:graphicData>
            </a:graphic>
          </wp:inline>
        </w:drawing>
      </w:r>
    </w:p>
    <w:p w14:paraId="04EB8673" w14:textId="18A55A10" w:rsidR="00D57E17" w:rsidRPr="003B11BD" w:rsidRDefault="00D57E17" w:rsidP="00D57E17">
      <w:pPr>
        <w:pStyle w:val="Caption"/>
        <w:rPr>
          <w:noProof/>
          <w:lang w:val="en-IE"/>
        </w:rPr>
      </w:pPr>
      <w:r w:rsidRPr="003B11BD">
        <w:rPr>
          <w:noProof/>
          <w:lang w:val="en-IE"/>
        </w:rPr>
        <w:t xml:space="preserve">Source: </w:t>
      </w:r>
      <w:r w:rsidR="006B01A5" w:rsidRPr="003B11BD">
        <w:rPr>
          <w:noProof/>
          <w:lang w:val="en-IE"/>
        </w:rPr>
        <w:t>OPC</w:t>
      </w:r>
      <w:r w:rsidRPr="003B11BD">
        <w:rPr>
          <w:noProof/>
          <w:lang w:val="en-IE"/>
        </w:rPr>
        <w:t xml:space="preserve">, </w:t>
      </w:r>
      <w:r w:rsidR="00EF121C" w:rsidRPr="003B11BD">
        <w:rPr>
          <w:noProof/>
          <w:lang w:val="en-IE"/>
        </w:rPr>
        <w:t>N=74</w:t>
      </w:r>
    </w:p>
    <w:p w14:paraId="514B665F" w14:textId="24FBF64C" w:rsidR="00192721" w:rsidRPr="003B11BD" w:rsidRDefault="5E123FD7" w:rsidP="00542AD7">
      <w:pPr>
        <w:spacing w:after="120"/>
        <w:rPr>
          <w:noProof/>
          <w:color w:val="000000" w:themeColor="text1"/>
          <w:lang w:val="en-IE"/>
        </w:rPr>
      </w:pPr>
      <w:r w:rsidRPr="003B11BD">
        <w:rPr>
          <w:noProof/>
          <w:lang w:val="en-IE"/>
        </w:rPr>
        <w:t>However, the current settings of the compulsory licensing system in the EU make this legal instrument unfit to address cross-border crisis</w:t>
      </w:r>
      <w:r w:rsidR="001326D0" w:rsidRPr="003B11BD">
        <w:rPr>
          <w:rStyle w:val="FootnoteReference"/>
          <w:noProof/>
          <w:lang w:val="en-IE"/>
        </w:rPr>
        <w:footnoteReference w:id="30"/>
      </w:r>
      <w:r w:rsidRPr="003B11BD">
        <w:rPr>
          <w:noProof/>
          <w:lang w:val="en-IE"/>
        </w:rPr>
        <w:t xml:space="preserve">, in a timely manner. </w:t>
      </w:r>
      <w:r w:rsidRPr="003B11BD">
        <w:rPr>
          <w:noProof/>
          <w:color w:val="000000" w:themeColor="text1"/>
          <w:lang w:val="en-IE"/>
        </w:rPr>
        <w:t xml:space="preserve">This is because EU </w:t>
      </w:r>
      <w:r w:rsidRPr="003B11BD">
        <w:rPr>
          <w:noProof/>
          <w:lang w:val="en-IE"/>
        </w:rPr>
        <w:t>compulsory licensing</w:t>
      </w:r>
      <w:r w:rsidRPr="003B11BD">
        <w:rPr>
          <w:noProof/>
          <w:color w:val="000000" w:themeColor="text1"/>
          <w:lang w:val="en-IE"/>
        </w:rPr>
        <w:t xml:space="preserve"> schemes have territorial limitations and are based on a patchwork of national laws that makes a coordinated and timely implementation of compulsory licences practically impossible. </w:t>
      </w:r>
    </w:p>
    <w:p w14:paraId="0D610202" w14:textId="3070C99C" w:rsidR="00041C05" w:rsidRPr="003B11BD" w:rsidRDefault="5C11510F" w:rsidP="00542AD7">
      <w:pPr>
        <w:spacing w:after="120"/>
        <w:rPr>
          <w:noProof/>
          <w:lang w:val="en-IE"/>
        </w:rPr>
      </w:pPr>
      <w:r w:rsidRPr="003B11BD">
        <w:rPr>
          <w:noProof/>
          <w:color w:val="000000" w:themeColor="text1"/>
          <w:lang w:val="en-IE"/>
        </w:rPr>
        <w:t>This can be illustrated by</w:t>
      </w:r>
      <w:r w:rsidR="599BC126" w:rsidRPr="003B11BD">
        <w:rPr>
          <w:noProof/>
          <w:color w:val="000000" w:themeColor="text1"/>
          <w:lang w:val="en-IE"/>
        </w:rPr>
        <w:t xml:space="preserve"> </w:t>
      </w:r>
      <w:r w:rsidR="50128BB9" w:rsidRPr="003B11BD">
        <w:rPr>
          <w:noProof/>
          <w:color w:val="000000" w:themeColor="text1"/>
          <w:lang w:val="en-IE"/>
        </w:rPr>
        <w:t>a crisis strik</w:t>
      </w:r>
      <w:r w:rsidRPr="003B11BD">
        <w:rPr>
          <w:noProof/>
          <w:color w:val="000000" w:themeColor="text1"/>
          <w:lang w:val="en-IE"/>
        </w:rPr>
        <w:t>ing</w:t>
      </w:r>
      <w:r w:rsidR="50128BB9" w:rsidRPr="003B11BD">
        <w:rPr>
          <w:noProof/>
          <w:color w:val="000000" w:themeColor="text1"/>
          <w:lang w:val="en-IE"/>
        </w:rPr>
        <w:t xml:space="preserve"> several Member States</w:t>
      </w:r>
      <w:r w:rsidR="209EE26C" w:rsidRPr="003B11BD">
        <w:rPr>
          <w:noProof/>
          <w:color w:val="000000" w:themeColor="text1"/>
          <w:lang w:val="en-IE"/>
        </w:rPr>
        <w:t>,</w:t>
      </w:r>
      <w:r w:rsidR="50128BB9" w:rsidRPr="003B11BD">
        <w:rPr>
          <w:noProof/>
          <w:color w:val="000000" w:themeColor="text1"/>
          <w:lang w:val="en-IE"/>
        </w:rPr>
        <w:t xml:space="preserve"> </w:t>
      </w:r>
      <w:r w:rsidRPr="003B11BD">
        <w:rPr>
          <w:noProof/>
          <w:color w:val="000000" w:themeColor="text1"/>
          <w:lang w:val="en-IE"/>
        </w:rPr>
        <w:t>but where</w:t>
      </w:r>
      <w:r w:rsidR="50128BB9" w:rsidRPr="003B11BD">
        <w:rPr>
          <w:noProof/>
          <w:color w:val="000000" w:themeColor="text1"/>
          <w:lang w:val="en-IE"/>
        </w:rPr>
        <w:t xml:space="preserve"> manufacturing capacities for the critical product are in other Member States</w:t>
      </w:r>
      <w:r w:rsidR="209EE26C" w:rsidRPr="003B11BD">
        <w:rPr>
          <w:noProof/>
          <w:color w:val="000000" w:themeColor="text1"/>
          <w:lang w:val="en-IE"/>
        </w:rPr>
        <w:t xml:space="preserve">. In such case, </w:t>
      </w:r>
      <w:r w:rsidR="6D097486" w:rsidRPr="003B11BD">
        <w:rPr>
          <w:noProof/>
          <w:lang w:val="en-IE"/>
        </w:rPr>
        <w:t xml:space="preserve">each step of the manufacturing process where </w:t>
      </w:r>
      <w:r w:rsidR="06595E28" w:rsidRPr="003B11BD">
        <w:rPr>
          <w:noProof/>
          <w:lang w:val="en-IE"/>
        </w:rPr>
        <w:t>IP</w:t>
      </w:r>
      <w:r w:rsidR="6D097486" w:rsidRPr="003B11BD">
        <w:rPr>
          <w:noProof/>
          <w:lang w:val="en-IE"/>
        </w:rPr>
        <w:t xml:space="preserve"> rights are involved, should be authorised by the patent owner, usually through</w:t>
      </w:r>
      <w:r w:rsidR="209EE26C" w:rsidRPr="003B11BD">
        <w:rPr>
          <w:noProof/>
          <w:lang w:val="en-IE"/>
        </w:rPr>
        <w:t xml:space="preserve"> a licensing agreement, or - i</w:t>
      </w:r>
      <w:r w:rsidR="6D097486" w:rsidRPr="003B11BD">
        <w:rPr>
          <w:noProof/>
          <w:lang w:val="en-IE"/>
        </w:rPr>
        <w:t>n the absence of voluntary agreements</w:t>
      </w:r>
      <w:r w:rsidR="209EE26C" w:rsidRPr="003B11BD">
        <w:rPr>
          <w:noProof/>
          <w:lang w:val="en-IE"/>
        </w:rPr>
        <w:t xml:space="preserve"> –</w:t>
      </w:r>
      <w:r w:rsidR="6D097486" w:rsidRPr="003B11BD">
        <w:rPr>
          <w:noProof/>
          <w:lang w:val="en-IE"/>
        </w:rPr>
        <w:t xml:space="preserve"> </w:t>
      </w:r>
      <w:r w:rsidR="209EE26C" w:rsidRPr="003B11BD">
        <w:rPr>
          <w:noProof/>
          <w:lang w:val="en-IE"/>
        </w:rPr>
        <w:t xml:space="preserve">a </w:t>
      </w:r>
      <w:r w:rsidR="6D097486" w:rsidRPr="003B11BD">
        <w:rPr>
          <w:noProof/>
          <w:lang w:val="en-IE"/>
        </w:rPr>
        <w:t>compulsory licens</w:t>
      </w:r>
      <w:r w:rsidR="209EE26C" w:rsidRPr="003B11BD">
        <w:rPr>
          <w:noProof/>
          <w:lang w:val="en-IE"/>
        </w:rPr>
        <w:t>e</w:t>
      </w:r>
      <w:r w:rsidR="6D097486" w:rsidRPr="003B11BD">
        <w:rPr>
          <w:noProof/>
          <w:lang w:val="en-IE"/>
        </w:rPr>
        <w:t>. How</w:t>
      </w:r>
      <w:r w:rsidR="209EE26C" w:rsidRPr="003B11BD">
        <w:rPr>
          <w:noProof/>
          <w:lang w:val="en-IE"/>
        </w:rPr>
        <w:t>ever, such</w:t>
      </w:r>
      <w:r w:rsidR="6D097486" w:rsidRPr="003B11BD">
        <w:rPr>
          <w:noProof/>
          <w:lang w:val="en-IE"/>
        </w:rPr>
        <w:t xml:space="preserve"> compulsory licence is needed for each </w:t>
      </w:r>
      <w:r w:rsidR="00253C26" w:rsidRPr="003B11BD">
        <w:rPr>
          <w:noProof/>
          <w:lang w:val="en-IE"/>
        </w:rPr>
        <w:t xml:space="preserve">Member State </w:t>
      </w:r>
      <w:r w:rsidR="6D097486" w:rsidRPr="003B11BD">
        <w:rPr>
          <w:noProof/>
          <w:lang w:val="en-IE"/>
        </w:rPr>
        <w:t xml:space="preserve">and for each IP relevant </w:t>
      </w:r>
      <w:r w:rsidR="00504FA9" w:rsidRPr="003B11BD">
        <w:rPr>
          <w:noProof/>
          <w:lang w:val="en-IE"/>
        </w:rPr>
        <w:t>step</w:t>
      </w:r>
      <w:r w:rsidR="6D097486" w:rsidRPr="003B11BD">
        <w:rPr>
          <w:noProof/>
          <w:lang w:val="en-IE"/>
        </w:rPr>
        <w:t xml:space="preserve"> (be it manufacturing, exporting or importing). </w:t>
      </w:r>
      <w:r w:rsidR="209EE26C" w:rsidRPr="003B11BD">
        <w:rPr>
          <w:noProof/>
          <w:lang w:val="en-IE"/>
        </w:rPr>
        <w:t>I</w:t>
      </w:r>
      <w:r w:rsidR="6D097486" w:rsidRPr="003B11BD">
        <w:rPr>
          <w:noProof/>
          <w:lang w:val="en-IE"/>
        </w:rPr>
        <w:t>n case of an EU cross-border crisis</w:t>
      </w:r>
      <w:r w:rsidR="0094053F" w:rsidRPr="003B11BD">
        <w:rPr>
          <w:noProof/>
          <w:lang w:val="en-IE"/>
        </w:rPr>
        <w:t>,</w:t>
      </w:r>
      <w:r w:rsidR="00D64225" w:rsidRPr="003B11BD">
        <w:rPr>
          <w:noProof/>
          <w:lang w:val="en-IE"/>
        </w:rPr>
        <w:t xml:space="preserve"> </w:t>
      </w:r>
      <w:r w:rsidR="2ACB1B0C" w:rsidRPr="003B11BD">
        <w:rPr>
          <w:noProof/>
          <w:lang w:val="en-IE"/>
        </w:rPr>
        <w:t>the issuance of multiple national compulsory licences with e.g. different scope</w:t>
      </w:r>
      <w:r w:rsidR="3BC36C5E" w:rsidRPr="003B11BD">
        <w:rPr>
          <w:noProof/>
          <w:lang w:val="en-IE"/>
        </w:rPr>
        <w:t xml:space="preserve"> (</w:t>
      </w:r>
      <w:r w:rsidR="588C9CF9" w:rsidRPr="003B11BD">
        <w:rPr>
          <w:noProof/>
          <w:lang w:val="en-IE"/>
        </w:rPr>
        <w:t xml:space="preserve">e.g. </w:t>
      </w:r>
      <w:r w:rsidR="013826A8" w:rsidRPr="003B11BD">
        <w:rPr>
          <w:noProof/>
          <w:lang w:val="en-IE"/>
        </w:rPr>
        <w:t>covering different patents and/or different products</w:t>
      </w:r>
      <w:r w:rsidR="3BC36C5E" w:rsidRPr="003B11BD">
        <w:rPr>
          <w:noProof/>
          <w:lang w:val="en-IE"/>
        </w:rPr>
        <w:t>)</w:t>
      </w:r>
      <w:r w:rsidR="2ACB1B0C" w:rsidRPr="003B11BD">
        <w:rPr>
          <w:noProof/>
          <w:lang w:val="en-IE"/>
        </w:rPr>
        <w:t>, procedures and conditions</w:t>
      </w:r>
      <w:r w:rsidR="007E21F6" w:rsidRPr="003B11BD">
        <w:rPr>
          <w:rStyle w:val="FootnoteReference"/>
          <w:noProof/>
          <w:lang w:val="en-IE"/>
        </w:rPr>
        <w:footnoteReference w:id="31"/>
      </w:r>
      <w:r w:rsidR="0094053F" w:rsidRPr="003B11BD">
        <w:rPr>
          <w:noProof/>
          <w:lang w:val="en-IE"/>
        </w:rPr>
        <w:t xml:space="preserve"> would be necessary</w:t>
      </w:r>
      <w:r w:rsidR="0060572C" w:rsidRPr="003B11BD">
        <w:rPr>
          <w:noProof/>
          <w:lang w:val="en-IE"/>
        </w:rPr>
        <w:t xml:space="preserve">. In addition, </w:t>
      </w:r>
      <w:r w:rsidR="7928F7E9" w:rsidRPr="003B11BD">
        <w:rPr>
          <w:noProof/>
          <w:lang w:val="en-IE"/>
        </w:rPr>
        <w:t xml:space="preserve">great uncertainties </w:t>
      </w:r>
      <w:r w:rsidR="0060572C" w:rsidRPr="003B11BD">
        <w:rPr>
          <w:noProof/>
          <w:lang w:val="en-IE"/>
        </w:rPr>
        <w:t xml:space="preserve">would remain </w:t>
      </w:r>
      <w:r w:rsidR="7928F7E9" w:rsidRPr="003B11BD">
        <w:rPr>
          <w:noProof/>
          <w:lang w:val="en-IE"/>
        </w:rPr>
        <w:t xml:space="preserve">as to whether it can be exported </w:t>
      </w:r>
      <w:r w:rsidR="00D57CB1" w:rsidRPr="003B11BD">
        <w:rPr>
          <w:noProof/>
          <w:lang w:val="en-IE"/>
        </w:rPr>
        <w:t>from one Member State to another</w:t>
      </w:r>
      <w:r w:rsidR="7928F7E9" w:rsidRPr="003B11BD">
        <w:rPr>
          <w:noProof/>
          <w:lang w:val="en-IE"/>
        </w:rPr>
        <w:t xml:space="preserve"> Member State and in what quantities.</w:t>
      </w:r>
      <w:r w:rsidR="2ACB1B0C" w:rsidRPr="003B11BD">
        <w:rPr>
          <w:noProof/>
          <w:lang w:val="en-IE"/>
        </w:rPr>
        <w:t xml:space="preserve"> </w:t>
      </w:r>
      <w:r w:rsidR="386F308B" w:rsidRPr="003B11BD">
        <w:rPr>
          <w:noProof/>
          <w:lang w:val="en-IE"/>
        </w:rPr>
        <w:t>Finally, d</w:t>
      </w:r>
      <w:r w:rsidR="2ACB1B0C" w:rsidRPr="003B11BD">
        <w:rPr>
          <w:noProof/>
          <w:lang w:val="en-IE"/>
        </w:rPr>
        <w:t>epending on the national procedures and conditions, these compulsory licences could be granted and implemented at different times</w:t>
      </w:r>
      <w:r w:rsidR="0094053F" w:rsidRPr="003B11BD">
        <w:rPr>
          <w:noProof/>
          <w:lang w:val="en-IE"/>
        </w:rPr>
        <w:t xml:space="preserve"> (see section 2.2.1 below)</w:t>
      </w:r>
      <w:r w:rsidR="2ACB1B0C" w:rsidRPr="003B11BD">
        <w:rPr>
          <w:noProof/>
          <w:lang w:val="en-IE"/>
        </w:rPr>
        <w:t>.</w:t>
      </w:r>
    </w:p>
    <w:p w14:paraId="06B2C305" w14:textId="48712A1E" w:rsidR="00731612" w:rsidRPr="003B11BD" w:rsidRDefault="00542AD7" w:rsidP="00731612">
      <w:pPr>
        <w:rPr>
          <w:noProof/>
          <w:lang w:val="en-IE"/>
        </w:rPr>
      </w:pPr>
      <w:r w:rsidRPr="003B11BD">
        <w:rPr>
          <w:noProof/>
          <w:lang w:val="en-IE"/>
        </w:rPr>
        <w:t xml:space="preserve">In a hypothetical example </w:t>
      </w:r>
      <w:r w:rsidR="00085BE1" w:rsidRPr="003B11BD">
        <w:rPr>
          <w:noProof/>
          <w:lang w:val="en-IE"/>
        </w:rPr>
        <w:t>under</w:t>
      </w:r>
      <w:r w:rsidRPr="003B11BD">
        <w:rPr>
          <w:noProof/>
          <w:lang w:val="en-IE"/>
        </w:rPr>
        <w:t xml:space="preserve"> </w:t>
      </w:r>
      <w:r w:rsidR="00731612" w:rsidRPr="003B11BD">
        <w:rPr>
          <w:noProof/>
          <w:lang w:val="en-IE"/>
        </w:rPr>
        <w:t>the current rules</w:t>
      </w:r>
      <w:r w:rsidRPr="003B11BD">
        <w:rPr>
          <w:noProof/>
          <w:lang w:val="en-IE"/>
        </w:rPr>
        <w:t>, if</w:t>
      </w:r>
      <w:r w:rsidR="00731612" w:rsidRPr="003B11BD">
        <w:rPr>
          <w:noProof/>
          <w:lang w:val="en-IE"/>
        </w:rPr>
        <w:t xml:space="preserve"> two Member States needed a product manufactured in another two Member States, </w:t>
      </w:r>
      <w:r w:rsidR="00586867" w:rsidRPr="003B11BD">
        <w:rPr>
          <w:noProof/>
          <w:lang w:val="en-IE"/>
        </w:rPr>
        <w:t xml:space="preserve">four </w:t>
      </w:r>
      <w:r w:rsidR="00CA4C42" w:rsidRPr="003B11BD">
        <w:rPr>
          <w:noProof/>
          <w:lang w:val="en-IE"/>
        </w:rPr>
        <w:t>compulsory licences</w:t>
      </w:r>
      <w:r w:rsidR="00731612" w:rsidRPr="003B11BD">
        <w:rPr>
          <w:noProof/>
          <w:lang w:val="en-IE"/>
        </w:rPr>
        <w:t xml:space="preserve"> </w:t>
      </w:r>
      <w:r w:rsidRPr="003B11BD">
        <w:rPr>
          <w:noProof/>
          <w:lang w:val="en-IE"/>
        </w:rPr>
        <w:t>might</w:t>
      </w:r>
      <w:r w:rsidR="00731612" w:rsidRPr="003B11BD">
        <w:rPr>
          <w:noProof/>
          <w:lang w:val="en-IE"/>
        </w:rPr>
        <w:t xml:space="preserve"> </w:t>
      </w:r>
      <w:r w:rsidR="00793E12" w:rsidRPr="003B11BD">
        <w:rPr>
          <w:noProof/>
          <w:lang w:val="en-IE"/>
        </w:rPr>
        <w:t xml:space="preserve">be </w:t>
      </w:r>
      <w:r w:rsidR="00731612" w:rsidRPr="003B11BD">
        <w:rPr>
          <w:noProof/>
          <w:lang w:val="en-IE"/>
        </w:rPr>
        <w:t>need to secure access to such product</w:t>
      </w:r>
      <w:r w:rsidR="001A3768" w:rsidRPr="003B11BD">
        <w:rPr>
          <w:noProof/>
          <w:lang w:val="en-IE"/>
        </w:rPr>
        <w:t xml:space="preserve"> (i.e. two compulsory licences to export and two compulsory licences to import)</w:t>
      </w:r>
      <w:r w:rsidR="00731612" w:rsidRPr="003B11BD">
        <w:rPr>
          <w:noProof/>
          <w:lang w:val="en-IE"/>
        </w:rPr>
        <w:t xml:space="preserve">. As shown in </w:t>
      </w:r>
      <w:r w:rsidR="00D87E9F" w:rsidRPr="003B11BD">
        <w:rPr>
          <w:noProof/>
          <w:lang w:val="en-IE"/>
        </w:rPr>
        <w:fldChar w:fldCharType="begin"/>
      </w:r>
      <w:r w:rsidR="00D87E9F" w:rsidRPr="003B11BD">
        <w:rPr>
          <w:noProof/>
          <w:lang w:val="en-IE"/>
        </w:rPr>
        <w:instrText xml:space="preserve"> REF _Ref121734959 \h </w:instrText>
      </w:r>
      <w:r w:rsidR="0010202B" w:rsidRPr="003B11BD">
        <w:rPr>
          <w:noProof/>
          <w:lang w:val="en-IE"/>
        </w:rPr>
        <w:instrText xml:space="preserve"> \* MERGEFORMAT </w:instrText>
      </w:r>
      <w:r w:rsidR="00D87E9F" w:rsidRPr="003B11BD">
        <w:rPr>
          <w:noProof/>
          <w:lang w:val="en-IE"/>
        </w:rPr>
      </w:r>
      <w:r w:rsidR="00D87E9F" w:rsidRPr="003B11BD">
        <w:rPr>
          <w:noProof/>
          <w:lang w:val="en-IE"/>
        </w:rPr>
        <w:fldChar w:fldCharType="separate"/>
      </w:r>
      <w:r w:rsidR="00C6592A" w:rsidRPr="003B11BD">
        <w:rPr>
          <w:noProof/>
          <w:lang w:val="en-IE"/>
        </w:rPr>
        <w:t xml:space="preserve">Figure </w:t>
      </w:r>
      <w:r w:rsidR="00C6592A">
        <w:rPr>
          <w:noProof/>
          <w:lang w:val="en-IE"/>
        </w:rPr>
        <w:t>2</w:t>
      </w:r>
      <w:r w:rsidR="00D87E9F" w:rsidRPr="003B11BD">
        <w:rPr>
          <w:noProof/>
          <w:lang w:val="en-IE"/>
        </w:rPr>
        <w:fldChar w:fldCharType="end"/>
      </w:r>
      <w:r w:rsidR="00731612" w:rsidRPr="003B11BD">
        <w:rPr>
          <w:noProof/>
          <w:lang w:val="en-IE"/>
        </w:rPr>
        <w:t xml:space="preserve">, the number of </w:t>
      </w:r>
      <w:r w:rsidR="00CA4C42" w:rsidRPr="003B11BD">
        <w:rPr>
          <w:noProof/>
          <w:lang w:val="en-IE"/>
        </w:rPr>
        <w:t>compulsory licences</w:t>
      </w:r>
      <w:r w:rsidR="00731612" w:rsidRPr="003B11BD">
        <w:rPr>
          <w:noProof/>
          <w:lang w:val="en-IE"/>
        </w:rPr>
        <w:t xml:space="preserve"> needed for </w:t>
      </w:r>
      <w:r w:rsidR="006844E5" w:rsidRPr="003B11BD">
        <w:rPr>
          <w:noProof/>
          <w:lang w:val="en-IE"/>
        </w:rPr>
        <w:t>five</w:t>
      </w:r>
      <w:r w:rsidR="00731612" w:rsidRPr="003B11BD">
        <w:rPr>
          <w:noProof/>
          <w:lang w:val="en-IE"/>
        </w:rPr>
        <w:t xml:space="preserve"> countries in crisis with manufacturing capacities spread over </w:t>
      </w:r>
      <w:r w:rsidR="006844E5" w:rsidRPr="003B11BD">
        <w:rPr>
          <w:noProof/>
          <w:lang w:val="en-IE"/>
        </w:rPr>
        <w:t>five other</w:t>
      </w:r>
      <w:r w:rsidR="00731612" w:rsidRPr="003B11BD">
        <w:rPr>
          <w:noProof/>
          <w:lang w:val="en-IE"/>
        </w:rPr>
        <w:t xml:space="preserve"> countries,</w:t>
      </w:r>
      <w:r w:rsidRPr="003B11BD">
        <w:rPr>
          <w:noProof/>
          <w:lang w:val="en-IE"/>
        </w:rPr>
        <w:t xml:space="preserve"> c</w:t>
      </w:r>
      <w:r w:rsidR="00623CA6" w:rsidRPr="003B11BD">
        <w:rPr>
          <w:noProof/>
          <w:lang w:val="en-IE"/>
        </w:rPr>
        <w:t xml:space="preserve">ould reach </w:t>
      </w:r>
      <w:r w:rsidR="00EB280E" w:rsidRPr="003B11BD">
        <w:rPr>
          <w:noProof/>
          <w:lang w:val="en-IE"/>
        </w:rPr>
        <w:t>ten</w:t>
      </w:r>
      <w:r w:rsidR="00623CA6" w:rsidRPr="003B11BD">
        <w:rPr>
          <w:rStyle w:val="FootnoteReference"/>
          <w:noProof/>
          <w:lang w:val="en-IE"/>
        </w:rPr>
        <w:footnoteReference w:id="32"/>
      </w:r>
      <w:r w:rsidR="00504FA9" w:rsidRPr="003B11BD">
        <w:rPr>
          <w:noProof/>
          <w:lang w:val="en-IE"/>
        </w:rPr>
        <w:t>.</w:t>
      </w:r>
      <w:r w:rsidR="00623CA6" w:rsidRPr="003B11BD">
        <w:rPr>
          <w:noProof/>
          <w:lang w:val="en-IE"/>
        </w:rPr>
        <w:t xml:space="preserve"> </w:t>
      </w:r>
    </w:p>
    <w:p w14:paraId="431430E4" w14:textId="758BDB6E" w:rsidR="00731612" w:rsidRPr="003B11BD" w:rsidRDefault="00025A16" w:rsidP="00E81906">
      <w:pPr>
        <w:pStyle w:val="Caption"/>
        <w:keepNext/>
        <w:rPr>
          <w:noProof/>
          <w:lang w:val="en-IE"/>
        </w:rPr>
      </w:pPr>
      <w:bookmarkStart w:id="51" w:name="_Ref120182966"/>
      <w:bookmarkStart w:id="52" w:name="_Ref121734959"/>
      <w:r w:rsidRPr="003B11BD">
        <w:rPr>
          <w:noProof/>
          <w:lang w:val="en-IE"/>
        </w:rPr>
        <w:t xml:space="preserve">Figure </w:t>
      </w:r>
      <w:bookmarkEnd w:id="51"/>
      <w:r w:rsidR="00C6592A">
        <w:rPr>
          <w:noProof/>
          <w:lang w:val="en-IE"/>
        </w:rPr>
        <w:t>2</w:t>
      </w:r>
      <w:bookmarkEnd w:id="52"/>
      <w:r w:rsidR="00D70B87" w:rsidRPr="003B11BD">
        <w:rPr>
          <w:noProof/>
          <w:lang w:val="en-IE"/>
        </w:rPr>
        <w:t xml:space="preserve">: </w:t>
      </w:r>
      <w:r w:rsidR="00731612" w:rsidRPr="003B11BD">
        <w:rPr>
          <w:noProof/>
          <w:lang w:val="en-IE"/>
        </w:rPr>
        <w:t xml:space="preserve">Hypothetical number of </w:t>
      </w:r>
      <w:r w:rsidR="000B5D2D" w:rsidRPr="003B11BD">
        <w:rPr>
          <w:noProof/>
          <w:lang w:val="en-IE"/>
        </w:rPr>
        <w:t>compulsory licences</w:t>
      </w:r>
      <w:r w:rsidR="00731612" w:rsidRPr="003B11BD">
        <w:rPr>
          <w:noProof/>
          <w:lang w:val="en-IE"/>
        </w:rPr>
        <w:t xml:space="preserve"> needed </w:t>
      </w:r>
      <w:r w:rsidR="007E21F6" w:rsidRPr="003B11BD">
        <w:rPr>
          <w:noProof/>
          <w:lang w:val="en-IE"/>
        </w:rPr>
        <w:t xml:space="preserve">for a patented product, </w:t>
      </w:r>
      <w:r w:rsidR="00731612" w:rsidRPr="003B11BD">
        <w:rPr>
          <w:noProof/>
          <w:lang w:val="en-IE"/>
        </w:rPr>
        <w:t xml:space="preserve">depending on the number of manufacturing and importing Member States (up to 5 and </w:t>
      </w:r>
      <w:r w:rsidR="00D54ACD" w:rsidRPr="003B11BD">
        <w:rPr>
          <w:noProof/>
          <w:lang w:val="en-IE"/>
        </w:rPr>
        <w:t>5</w:t>
      </w:r>
      <w:r w:rsidR="00731612" w:rsidRPr="003B11BD">
        <w:rPr>
          <w:noProof/>
          <w:lang w:val="en-IE"/>
        </w:rPr>
        <w:t xml:space="preserve"> Member States only, respectively)</w:t>
      </w:r>
    </w:p>
    <w:p w14:paraId="40A65E4C" w14:textId="0C5C0C57" w:rsidR="00731612" w:rsidRPr="003B11BD" w:rsidRDefault="006844E5" w:rsidP="00882586">
      <w:pPr>
        <w:jc w:val="center"/>
        <w:rPr>
          <w:noProof/>
          <w:lang w:val="en-IE"/>
        </w:rPr>
      </w:pPr>
      <w:r w:rsidRPr="003B11BD">
        <w:rPr>
          <w:noProof/>
          <w:lang w:eastAsia="en-GB"/>
        </w:rPr>
        <w:drawing>
          <wp:inline distT="0" distB="0" distL="0" distR="0" wp14:anchorId="029B90C6" wp14:editId="4FC67DF5">
            <wp:extent cx="3575685" cy="148689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431" b="4166"/>
                    <a:stretch/>
                  </pic:blipFill>
                  <pic:spPr bwMode="auto">
                    <a:xfrm>
                      <a:off x="0" y="0"/>
                      <a:ext cx="3648979" cy="1517372"/>
                    </a:xfrm>
                    <a:prstGeom prst="rect">
                      <a:avLst/>
                    </a:prstGeom>
                    <a:noFill/>
                    <a:ln>
                      <a:noFill/>
                    </a:ln>
                    <a:extLst>
                      <a:ext uri="{53640926-AAD7-44D8-BBD7-CCE9431645EC}">
                        <a14:shadowObscured xmlns:a14="http://schemas.microsoft.com/office/drawing/2010/main"/>
                      </a:ext>
                    </a:extLst>
                  </pic:spPr>
                </pic:pic>
              </a:graphicData>
            </a:graphic>
          </wp:inline>
        </w:drawing>
      </w:r>
    </w:p>
    <w:p w14:paraId="23933B8A" w14:textId="1D59F058" w:rsidR="000B223A" w:rsidRPr="003B11BD" w:rsidRDefault="00731612" w:rsidP="00731612">
      <w:pPr>
        <w:pStyle w:val="Caption"/>
        <w:rPr>
          <w:noProof/>
          <w:lang w:val="en-IE"/>
        </w:rPr>
      </w:pPr>
      <w:r w:rsidRPr="003B11BD">
        <w:rPr>
          <w:noProof/>
          <w:lang w:val="en-IE"/>
        </w:rPr>
        <w:t>Source: own elaborations</w:t>
      </w:r>
    </w:p>
    <w:p w14:paraId="41ED76B5" w14:textId="7E6C2D45" w:rsidR="00D56435" w:rsidRPr="003B11BD" w:rsidRDefault="00504FA9" w:rsidP="00967177">
      <w:pPr>
        <w:rPr>
          <w:noProof/>
          <w:lang w:val="en-IE"/>
        </w:rPr>
      </w:pPr>
      <w:r w:rsidRPr="003B11BD">
        <w:rPr>
          <w:noProof/>
          <w:lang w:val="en-IE"/>
        </w:rPr>
        <w:t>T</w:t>
      </w:r>
      <w:r w:rsidR="00542AD7" w:rsidRPr="003B11BD">
        <w:rPr>
          <w:noProof/>
          <w:lang w:val="en-IE"/>
        </w:rPr>
        <w:t>he above example might seem excessive</w:t>
      </w:r>
      <w:r w:rsidR="00EB280E" w:rsidRPr="003B11BD">
        <w:rPr>
          <w:noProof/>
          <w:lang w:val="en-IE"/>
        </w:rPr>
        <w:t xml:space="preserve"> (up to ten</w:t>
      </w:r>
      <w:r w:rsidR="007E21F6" w:rsidRPr="003B11BD">
        <w:rPr>
          <w:noProof/>
          <w:lang w:val="en-IE"/>
        </w:rPr>
        <w:t xml:space="preserve"> </w:t>
      </w:r>
      <w:r w:rsidR="00DD3135" w:rsidRPr="003B11BD">
        <w:rPr>
          <w:noProof/>
          <w:lang w:val="en-IE"/>
        </w:rPr>
        <w:t>compulsory licences</w:t>
      </w:r>
      <w:r w:rsidR="007E21F6" w:rsidRPr="003B11BD">
        <w:rPr>
          <w:noProof/>
          <w:lang w:val="en-IE"/>
        </w:rPr>
        <w:t xml:space="preserve"> needed for a single product)</w:t>
      </w:r>
      <w:r w:rsidR="00542AD7" w:rsidRPr="003B11BD">
        <w:rPr>
          <w:noProof/>
          <w:lang w:val="en-IE"/>
        </w:rPr>
        <w:t xml:space="preserve">, </w:t>
      </w:r>
      <w:r w:rsidR="00BF6FC1" w:rsidRPr="003B11BD">
        <w:rPr>
          <w:noProof/>
          <w:lang w:val="en-IE"/>
        </w:rPr>
        <w:t xml:space="preserve">yet </w:t>
      </w:r>
      <w:r w:rsidR="00542AD7" w:rsidRPr="003B11BD">
        <w:rPr>
          <w:noProof/>
          <w:lang w:val="en-IE"/>
        </w:rPr>
        <w:t xml:space="preserve">it </w:t>
      </w:r>
      <w:r w:rsidR="007E21F6" w:rsidRPr="003B11BD">
        <w:rPr>
          <w:noProof/>
          <w:lang w:val="en-IE"/>
        </w:rPr>
        <w:t xml:space="preserve">is </w:t>
      </w:r>
      <w:r w:rsidRPr="003B11BD">
        <w:rPr>
          <w:noProof/>
          <w:lang w:val="en-IE"/>
        </w:rPr>
        <w:t>likely to</w:t>
      </w:r>
      <w:r w:rsidR="007E21F6" w:rsidRPr="003B11BD">
        <w:rPr>
          <w:noProof/>
          <w:lang w:val="en-IE"/>
        </w:rPr>
        <w:t xml:space="preserve"> occur in practice. </w:t>
      </w:r>
      <w:r w:rsidR="0071439A" w:rsidRPr="003B11BD">
        <w:rPr>
          <w:noProof/>
          <w:lang w:val="en-IE"/>
        </w:rPr>
        <w:t>The average number of</w:t>
      </w:r>
      <w:r w:rsidR="00AB6C03" w:rsidRPr="003B11BD">
        <w:rPr>
          <w:noProof/>
          <w:lang w:val="en-IE"/>
        </w:rPr>
        <w:t xml:space="preserve"> </w:t>
      </w:r>
      <w:r w:rsidR="00967177" w:rsidRPr="003B11BD">
        <w:rPr>
          <w:noProof/>
          <w:lang w:val="en-IE"/>
        </w:rPr>
        <w:t>Member States in which European P</w:t>
      </w:r>
      <w:r w:rsidR="00D56435" w:rsidRPr="003B11BD">
        <w:rPr>
          <w:noProof/>
          <w:lang w:val="en-IE"/>
        </w:rPr>
        <w:t>atent</w:t>
      </w:r>
      <w:r w:rsidR="005D6324" w:rsidRPr="003B11BD">
        <w:rPr>
          <w:noProof/>
          <w:lang w:val="en-IE"/>
        </w:rPr>
        <w:t>s</w:t>
      </w:r>
      <w:r w:rsidR="00D56435" w:rsidRPr="003B11BD">
        <w:rPr>
          <w:noProof/>
          <w:lang w:val="en-IE"/>
        </w:rPr>
        <w:t xml:space="preserve"> for COVID-related products</w:t>
      </w:r>
      <w:r w:rsidR="00EB280E" w:rsidRPr="003B11BD">
        <w:rPr>
          <w:rStyle w:val="FootnoteReference"/>
          <w:noProof/>
          <w:lang w:val="en-IE"/>
        </w:rPr>
        <w:footnoteReference w:id="33"/>
      </w:r>
      <w:r w:rsidR="00D56435" w:rsidRPr="003B11BD">
        <w:rPr>
          <w:noProof/>
          <w:lang w:val="en-IE"/>
        </w:rPr>
        <w:t xml:space="preserve"> </w:t>
      </w:r>
      <w:r w:rsidR="005D6324" w:rsidRPr="003B11BD">
        <w:rPr>
          <w:noProof/>
          <w:lang w:val="en-IE"/>
        </w:rPr>
        <w:t>were</w:t>
      </w:r>
      <w:r w:rsidR="00D56435" w:rsidRPr="003B11BD">
        <w:rPr>
          <w:noProof/>
          <w:lang w:val="en-IE"/>
        </w:rPr>
        <w:t xml:space="preserve"> </w:t>
      </w:r>
      <w:r w:rsidR="0071439A" w:rsidRPr="003B11BD">
        <w:rPr>
          <w:noProof/>
          <w:lang w:val="en-IE"/>
        </w:rPr>
        <w:t>active</w:t>
      </w:r>
      <w:r w:rsidR="00D56435" w:rsidRPr="003B11BD">
        <w:rPr>
          <w:noProof/>
          <w:lang w:val="en-IE"/>
        </w:rPr>
        <w:t xml:space="preserve"> equals </w:t>
      </w:r>
      <w:r w:rsidR="00967177" w:rsidRPr="003B11BD">
        <w:rPr>
          <w:noProof/>
          <w:lang w:val="en-IE"/>
        </w:rPr>
        <w:t>5.18</w:t>
      </w:r>
      <w:r w:rsidR="0071439A" w:rsidRPr="003B11BD">
        <w:rPr>
          <w:noProof/>
          <w:lang w:val="en-IE"/>
        </w:rPr>
        <w:t>, wher</w:t>
      </w:r>
      <w:r w:rsidR="00967177" w:rsidRPr="003B11BD">
        <w:rPr>
          <w:noProof/>
          <w:lang w:val="en-IE"/>
        </w:rPr>
        <w:t xml:space="preserve">eas for all patents </w:t>
      </w:r>
      <w:r w:rsidR="000D1620" w:rsidRPr="003B11BD">
        <w:rPr>
          <w:noProof/>
          <w:lang w:val="en-IE"/>
        </w:rPr>
        <w:t xml:space="preserve">the intra-EU </w:t>
      </w:r>
      <w:r w:rsidR="00967177" w:rsidRPr="003B11BD">
        <w:rPr>
          <w:noProof/>
          <w:lang w:val="en-IE"/>
        </w:rPr>
        <w:t>geographic spread was 4.35 (Member States)</w:t>
      </w:r>
      <w:r w:rsidR="00117AB0" w:rsidRPr="003B11BD">
        <w:rPr>
          <w:rStyle w:val="FootnoteReference"/>
          <w:noProof/>
          <w:lang w:val="en-IE"/>
        </w:rPr>
        <w:footnoteReference w:id="34"/>
      </w:r>
      <w:r w:rsidR="00101E0F" w:rsidRPr="003B11BD">
        <w:rPr>
          <w:noProof/>
          <w:lang w:val="en-IE"/>
        </w:rPr>
        <w:t xml:space="preserve">. This </w:t>
      </w:r>
      <w:r w:rsidR="00D56435" w:rsidRPr="003B11BD">
        <w:rPr>
          <w:noProof/>
          <w:lang w:val="en-IE"/>
        </w:rPr>
        <w:t xml:space="preserve">means that </w:t>
      </w:r>
      <w:r w:rsidR="00101E0F" w:rsidRPr="003B11BD">
        <w:rPr>
          <w:b/>
          <w:noProof/>
          <w:lang w:val="en-IE"/>
        </w:rPr>
        <w:t>l</w:t>
      </w:r>
      <w:r w:rsidR="00E30EB8" w:rsidRPr="003B11BD">
        <w:rPr>
          <w:b/>
          <w:noProof/>
          <w:lang w:val="en-IE"/>
        </w:rPr>
        <w:t>icens</w:t>
      </w:r>
      <w:r w:rsidR="00117AB0" w:rsidRPr="003B11BD">
        <w:rPr>
          <w:b/>
          <w:noProof/>
          <w:lang w:val="en-IE"/>
        </w:rPr>
        <w:t>ing of</w:t>
      </w:r>
      <w:r w:rsidR="00101E0F" w:rsidRPr="003B11BD">
        <w:rPr>
          <w:b/>
          <w:noProof/>
          <w:lang w:val="en-IE"/>
        </w:rPr>
        <w:t xml:space="preserve"> </w:t>
      </w:r>
      <w:r w:rsidR="00D56435" w:rsidRPr="003B11BD">
        <w:rPr>
          <w:b/>
          <w:noProof/>
          <w:lang w:val="en-IE"/>
        </w:rPr>
        <w:t>patent</w:t>
      </w:r>
      <w:r w:rsidR="00117AB0" w:rsidRPr="003B11BD">
        <w:rPr>
          <w:b/>
          <w:noProof/>
          <w:lang w:val="en-IE"/>
        </w:rPr>
        <w:t xml:space="preserve"> rights</w:t>
      </w:r>
      <w:r w:rsidR="000D1620" w:rsidRPr="003B11BD">
        <w:rPr>
          <w:b/>
          <w:noProof/>
          <w:lang w:val="en-IE"/>
        </w:rPr>
        <w:t xml:space="preserve"> for a given product </w:t>
      </w:r>
      <w:r w:rsidR="00117AB0" w:rsidRPr="003B11BD">
        <w:rPr>
          <w:b/>
          <w:noProof/>
          <w:lang w:val="en-IE"/>
        </w:rPr>
        <w:t xml:space="preserve">in the EU </w:t>
      </w:r>
      <w:r w:rsidR="000D1620" w:rsidRPr="003B11BD">
        <w:rPr>
          <w:b/>
          <w:noProof/>
          <w:lang w:val="en-IE"/>
        </w:rPr>
        <w:t>might</w:t>
      </w:r>
      <w:r w:rsidR="00967177" w:rsidRPr="003B11BD">
        <w:rPr>
          <w:b/>
          <w:noProof/>
          <w:lang w:val="en-IE"/>
        </w:rPr>
        <w:t xml:space="preserve"> requ</w:t>
      </w:r>
      <w:r w:rsidR="00EB280E" w:rsidRPr="003B11BD">
        <w:rPr>
          <w:b/>
          <w:noProof/>
          <w:lang w:val="en-IE"/>
        </w:rPr>
        <w:t>ire a coordinated action among four</w:t>
      </w:r>
      <w:r w:rsidR="00967177" w:rsidRPr="003B11BD">
        <w:rPr>
          <w:b/>
          <w:noProof/>
          <w:lang w:val="en-IE"/>
        </w:rPr>
        <w:t xml:space="preserve"> to </w:t>
      </w:r>
      <w:r w:rsidR="00EB280E" w:rsidRPr="003B11BD">
        <w:rPr>
          <w:b/>
          <w:noProof/>
          <w:lang w:val="en-IE"/>
        </w:rPr>
        <w:t>five</w:t>
      </w:r>
      <w:r w:rsidR="00967177" w:rsidRPr="003B11BD">
        <w:rPr>
          <w:b/>
          <w:noProof/>
          <w:lang w:val="en-IE"/>
        </w:rPr>
        <w:t xml:space="preserve"> Member States</w:t>
      </w:r>
      <w:r w:rsidR="00117AB0" w:rsidRPr="003B11BD">
        <w:rPr>
          <w:noProof/>
          <w:lang w:val="en-IE"/>
        </w:rPr>
        <w:t>.</w:t>
      </w:r>
      <w:r w:rsidR="00D56435" w:rsidRPr="003B11BD">
        <w:rPr>
          <w:noProof/>
          <w:lang w:val="en-IE"/>
        </w:rPr>
        <w:t xml:space="preserve"> </w:t>
      </w:r>
    </w:p>
    <w:p w14:paraId="260D1554" w14:textId="4DD27DBC" w:rsidR="00D314FB" w:rsidRPr="003B11BD" w:rsidRDefault="00967177" w:rsidP="000610F2">
      <w:pPr>
        <w:rPr>
          <w:noProof/>
          <w:lang w:val="en-IE"/>
        </w:rPr>
      </w:pPr>
      <w:r w:rsidRPr="003B11BD">
        <w:rPr>
          <w:noProof/>
          <w:lang w:val="en-IE"/>
        </w:rPr>
        <w:t xml:space="preserve">The number of patents </w:t>
      </w:r>
      <w:r w:rsidR="00FA439E" w:rsidRPr="003B11BD">
        <w:rPr>
          <w:noProof/>
          <w:lang w:val="en-IE"/>
        </w:rPr>
        <w:t xml:space="preserve">active in several countries </w:t>
      </w:r>
      <w:r w:rsidRPr="003B11BD">
        <w:rPr>
          <w:noProof/>
          <w:lang w:val="en-IE"/>
        </w:rPr>
        <w:t xml:space="preserve">are not the only </w:t>
      </w:r>
      <w:r w:rsidR="00FA439E" w:rsidRPr="003B11BD">
        <w:rPr>
          <w:noProof/>
          <w:lang w:val="en-IE"/>
        </w:rPr>
        <w:t xml:space="preserve">element to be considered. </w:t>
      </w:r>
      <w:r w:rsidR="00D56435" w:rsidRPr="003B11BD">
        <w:rPr>
          <w:noProof/>
          <w:lang w:val="en-IE"/>
        </w:rPr>
        <w:t>Additionally, m</w:t>
      </w:r>
      <w:r w:rsidR="006844E5" w:rsidRPr="003B11BD">
        <w:rPr>
          <w:noProof/>
          <w:lang w:val="en-IE"/>
        </w:rPr>
        <w:t>ulti-step</w:t>
      </w:r>
      <w:r w:rsidR="007E21F6" w:rsidRPr="003B11BD">
        <w:rPr>
          <w:noProof/>
          <w:lang w:val="en-IE"/>
        </w:rPr>
        <w:t xml:space="preserve"> value chains are predominant nowadays</w:t>
      </w:r>
      <w:r w:rsidR="005259A4" w:rsidRPr="003B11BD">
        <w:rPr>
          <w:noProof/>
          <w:lang w:val="en-IE"/>
        </w:rPr>
        <w:t xml:space="preserve"> across nearly all industries</w:t>
      </w:r>
      <w:r w:rsidR="00BB65C2" w:rsidRPr="003B11BD">
        <w:rPr>
          <w:noProof/>
          <w:lang w:val="en-IE"/>
        </w:rPr>
        <w:t xml:space="preserve">. </w:t>
      </w:r>
      <w:r w:rsidR="00B973DE" w:rsidRPr="003B11BD">
        <w:rPr>
          <w:noProof/>
          <w:color w:val="000000" w:themeColor="text1"/>
          <w:lang w:val="en-IE"/>
        </w:rPr>
        <w:t>The</w:t>
      </w:r>
      <w:r w:rsidR="00D87E9F" w:rsidRPr="003B11BD">
        <w:rPr>
          <w:noProof/>
          <w:color w:val="000000" w:themeColor="text1"/>
          <w:lang w:val="en-IE"/>
        </w:rPr>
        <w:t xml:space="preserve"> </w:t>
      </w:r>
      <w:r w:rsidR="00D43F3F" w:rsidRPr="003B11BD">
        <w:rPr>
          <w:noProof/>
          <w:color w:val="000000" w:themeColor="text1"/>
          <w:lang w:val="en-IE"/>
        </w:rPr>
        <w:t>Single Market</w:t>
      </w:r>
      <w:r w:rsidR="00474067" w:rsidRPr="003B11BD">
        <w:rPr>
          <w:noProof/>
          <w:color w:val="000000" w:themeColor="text1"/>
          <w:lang w:val="en-IE"/>
        </w:rPr>
        <w:t xml:space="preserve"> </w:t>
      </w:r>
      <w:r w:rsidR="00D87E9F" w:rsidRPr="003B11BD">
        <w:rPr>
          <w:noProof/>
          <w:color w:val="000000" w:themeColor="text1"/>
          <w:lang w:val="en-IE"/>
        </w:rPr>
        <w:t>in particular</w:t>
      </w:r>
      <w:r w:rsidR="00474067" w:rsidRPr="003B11BD">
        <w:rPr>
          <w:noProof/>
          <w:color w:val="000000" w:themeColor="text1"/>
          <w:lang w:val="en-IE"/>
        </w:rPr>
        <w:t xml:space="preserve"> </w:t>
      </w:r>
      <w:r w:rsidR="003C1A64" w:rsidRPr="003B11BD">
        <w:rPr>
          <w:noProof/>
          <w:color w:val="000000" w:themeColor="text1"/>
          <w:lang w:val="en-IE"/>
        </w:rPr>
        <w:t xml:space="preserve">is </w:t>
      </w:r>
      <w:r w:rsidR="003C1A64" w:rsidRPr="003B11BD">
        <w:rPr>
          <w:b/>
          <w:noProof/>
          <w:color w:val="000000" w:themeColor="text1"/>
          <w:lang w:val="en-IE"/>
        </w:rPr>
        <w:t xml:space="preserve">based on </w:t>
      </w:r>
      <w:r w:rsidR="006844E5" w:rsidRPr="003B11BD">
        <w:rPr>
          <w:b/>
          <w:noProof/>
          <w:color w:val="000000" w:themeColor="text1"/>
          <w:lang w:val="en-IE"/>
        </w:rPr>
        <w:t>complex</w:t>
      </w:r>
      <w:r w:rsidR="006844E5" w:rsidRPr="003B11BD">
        <w:rPr>
          <w:noProof/>
          <w:color w:val="000000" w:themeColor="text1"/>
          <w:lang w:val="en-IE"/>
        </w:rPr>
        <w:t xml:space="preserve"> </w:t>
      </w:r>
      <w:r w:rsidR="00D4539E" w:rsidRPr="003B11BD">
        <w:rPr>
          <w:b/>
          <w:noProof/>
          <w:color w:val="000000" w:themeColor="text1"/>
          <w:lang w:val="en-IE"/>
        </w:rPr>
        <w:t xml:space="preserve">cross-border </w:t>
      </w:r>
      <w:r w:rsidR="00C4345F" w:rsidRPr="003B11BD">
        <w:rPr>
          <w:b/>
          <w:noProof/>
          <w:color w:val="000000" w:themeColor="text1"/>
          <w:lang w:val="en-IE"/>
        </w:rPr>
        <w:t>supply chains</w:t>
      </w:r>
      <w:r w:rsidR="00CA28F6" w:rsidRPr="003B11BD">
        <w:rPr>
          <w:noProof/>
          <w:color w:val="000000" w:themeColor="text1"/>
          <w:lang w:val="en-IE"/>
        </w:rPr>
        <w:t>, as</w:t>
      </w:r>
      <w:r w:rsidR="00AC4BF3" w:rsidRPr="003B11BD">
        <w:rPr>
          <w:noProof/>
          <w:color w:val="000000" w:themeColor="text1"/>
          <w:lang w:val="en-IE"/>
        </w:rPr>
        <w:t xml:space="preserve"> </w:t>
      </w:r>
      <w:r w:rsidR="0066145B" w:rsidRPr="003B11BD">
        <w:rPr>
          <w:noProof/>
          <w:color w:val="000000" w:themeColor="text1"/>
          <w:lang w:val="en-IE"/>
        </w:rPr>
        <w:t xml:space="preserve">products </w:t>
      </w:r>
      <w:r w:rsidR="00F3112B" w:rsidRPr="003B11BD">
        <w:rPr>
          <w:noProof/>
          <w:color w:val="000000" w:themeColor="text1"/>
          <w:lang w:val="en-IE"/>
        </w:rPr>
        <w:t xml:space="preserve">are </w:t>
      </w:r>
      <w:r w:rsidR="00D87E9F" w:rsidRPr="003B11BD">
        <w:rPr>
          <w:noProof/>
          <w:color w:val="000000" w:themeColor="text1"/>
          <w:lang w:val="en-IE"/>
        </w:rPr>
        <w:t>increasingly</w:t>
      </w:r>
      <w:r w:rsidR="00F3112B" w:rsidRPr="003B11BD">
        <w:rPr>
          <w:noProof/>
          <w:color w:val="000000" w:themeColor="text1"/>
          <w:lang w:val="en-IE"/>
        </w:rPr>
        <w:t xml:space="preserve"> manufactured </w:t>
      </w:r>
      <w:r w:rsidR="00B1752C" w:rsidRPr="003B11BD">
        <w:rPr>
          <w:noProof/>
          <w:color w:val="000000" w:themeColor="text1"/>
          <w:lang w:val="en-IE"/>
        </w:rPr>
        <w:t>across several Member States</w:t>
      </w:r>
      <w:r w:rsidR="00CA28F6" w:rsidRPr="003B11BD">
        <w:rPr>
          <w:rStyle w:val="FootnoteReference"/>
          <w:noProof/>
          <w:color w:val="000000" w:themeColor="text1"/>
          <w:lang w:val="en-IE"/>
        </w:rPr>
        <w:footnoteReference w:id="35"/>
      </w:r>
      <w:r w:rsidR="00CA28F6" w:rsidRPr="003B11BD">
        <w:rPr>
          <w:noProof/>
          <w:color w:val="000000" w:themeColor="text1"/>
          <w:lang w:val="en-IE"/>
        </w:rPr>
        <w:t xml:space="preserve">. </w:t>
      </w:r>
      <w:r w:rsidR="00475209" w:rsidRPr="003B11BD">
        <w:rPr>
          <w:noProof/>
          <w:color w:val="000000" w:themeColor="text1"/>
          <w:lang w:val="en-IE"/>
        </w:rPr>
        <w:t xml:space="preserve">For example, </w:t>
      </w:r>
      <w:r w:rsidR="00FA4563" w:rsidRPr="003B11BD">
        <w:rPr>
          <w:noProof/>
          <w:color w:val="000000" w:themeColor="text1"/>
          <w:lang w:val="en-IE"/>
        </w:rPr>
        <w:t xml:space="preserve">in 2021, </w:t>
      </w:r>
      <w:r w:rsidR="009F565D" w:rsidRPr="003B11BD">
        <w:rPr>
          <w:noProof/>
          <w:color w:val="000000" w:themeColor="text1"/>
          <w:lang w:val="en-IE"/>
        </w:rPr>
        <w:t>the</w:t>
      </w:r>
      <w:r w:rsidR="00475209" w:rsidRPr="003B11BD">
        <w:rPr>
          <w:noProof/>
          <w:color w:val="000000" w:themeColor="text1"/>
          <w:lang w:val="en-IE"/>
        </w:rPr>
        <w:t xml:space="preserve"> share of </w:t>
      </w:r>
      <w:r w:rsidR="00FA4563" w:rsidRPr="003B11BD">
        <w:rPr>
          <w:noProof/>
          <w:color w:val="000000" w:themeColor="text1"/>
          <w:lang w:val="en-IE"/>
        </w:rPr>
        <w:t>intra-EU exports</w:t>
      </w:r>
      <w:r w:rsidR="009F565D" w:rsidRPr="003B11BD">
        <w:rPr>
          <w:noProof/>
          <w:color w:val="000000" w:themeColor="text1"/>
          <w:lang w:val="en-IE"/>
        </w:rPr>
        <w:t xml:space="preserve"> for </w:t>
      </w:r>
      <w:r w:rsidR="00FA4563" w:rsidRPr="003B11BD">
        <w:rPr>
          <w:noProof/>
          <w:color w:val="000000" w:themeColor="text1"/>
          <w:lang w:val="en-IE"/>
        </w:rPr>
        <w:t xml:space="preserve">most Member States </w:t>
      </w:r>
      <w:r w:rsidR="009F565D" w:rsidRPr="003B11BD">
        <w:rPr>
          <w:noProof/>
          <w:color w:val="000000" w:themeColor="text1"/>
          <w:lang w:val="en-IE"/>
        </w:rPr>
        <w:t xml:space="preserve">was </w:t>
      </w:r>
      <w:r w:rsidR="00FA4563" w:rsidRPr="003B11BD">
        <w:rPr>
          <w:noProof/>
          <w:color w:val="000000" w:themeColor="text1"/>
          <w:lang w:val="en-IE"/>
        </w:rPr>
        <w:t xml:space="preserve">between 50 % and 75 % - it </w:t>
      </w:r>
      <w:r w:rsidR="009F565D" w:rsidRPr="003B11BD">
        <w:rPr>
          <w:noProof/>
          <w:color w:val="000000" w:themeColor="text1"/>
          <w:lang w:val="en-IE"/>
        </w:rPr>
        <w:t>exceeded</w:t>
      </w:r>
      <w:r w:rsidR="00FA4563" w:rsidRPr="003B11BD">
        <w:rPr>
          <w:noProof/>
          <w:color w:val="000000" w:themeColor="text1"/>
          <w:lang w:val="en-IE"/>
        </w:rPr>
        <w:t xml:space="preserve"> 75 % in H</w:t>
      </w:r>
      <w:r w:rsidR="00D82A6B" w:rsidRPr="003B11BD">
        <w:rPr>
          <w:noProof/>
          <w:color w:val="000000" w:themeColor="text1"/>
          <w:lang w:val="en-IE"/>
        </w:rPr>
        <w:t>U</w:t>
      </w:r>
      <w:r w:rsidR="00FA4563" w:rsidRPr="003B11BD">
        <w:rPr>
          <w:noProof/>
          <w:color w:val="000000" w:themeColor="text1"/>
          <w:lang w:val="en-IE"/>
        </w:rPr>
        <w:t xml:space="preserve"> (78 %), S</w:t>
      </w:r>
      <w:r w:rsidR="00D82A6B" w:rsidRPr="003B11BD">
        <w:rPr>
          <w:noProof/>
          <w:color w:val="000000" w:themeColor="text1"/>
          <w:lang w:val="en-IE"/>
        </w:rPr>
        <w:t>K</w:t>
      </w:r>
      <w:r w:rsidR="00FA4563" w:rsidRPr="003B11BD">
        <w:rPr>
          <w:noProof/>
          <w:color w:val="000000" w:themeColor="text1"/>
          <w:lang w:val="en-IE"/>
        </w:rPr>
        <w:t>, C</w:t>
      </w:r>
      <w:r w:rsidR="00D82A6B" w:rsidRPr="003B11BD">
        <w:rPr>
          <w:noProof/>
          <w:color w:val="000000" w:themeColor="text1"/>
          <w:lang w:val="en-IE"/>
        </w:rPr>
        <w:t>Z</w:t>
      </w:r>
      <w:r w:rsidR="00FA4563" w:rsidRPr="003B11BD">
        <w:rPr>
          <w:noProof/>
          <w:color w:val="000000" w:themeColor="text1"/>
          <w:lang w:val="en-IE"/>
        </w:rPr>
        <w:t xml:space="preserve"> (both 80 %) and</w:t>
      </w:r>
      <w:r w:rsidR="00475209" w:rsidRPr="003B11BD">
        <w:rPr>
          <w:noProof/>
          <w:color w:val="000000" w:themeColor="text1"/>
          <w:lang w:val="en-IE"/>
        </w:rPr>
        <w:t xml:space="preserve"> </w:t>
      </w:r>
      <w:r w:rsidR="00232875" w:rsidRPr="003B11BD">
        <w:rPr>
          <w:noProof/>
          <w:color w:val="000000" w:themeColor="text1"/>
          <w:lang w:val="en-IE"/>
        </w:rPr>
        <w:t>LU</w:t>
      </w:r>
      <w:r w:rsidR="00475209" w:rsidRPr="003B11BD">
        <w:rPr>
          <w:noProof/>
          <w:color w:val="000000" w:themeColor="text1"/>
          <w:lang w:val="en-IE"/>
        </w:rPr>
        <w:t xml:space="preserve"> </w:t>
      </w:r>
      <w:r w:rsidR="00FA4563" w:rsidRPr="003B11BD">
        <w:rPr>
          <w:noProof/>
          <w:color w:val="000000" w:themeColor="text1"/>
          <w:lang w:val="en-IE"/>
        </w:rPr>
        <w:t>(81 %). Only in C</w:t>
      </w:r>
      <w:r w:rsidR="00D82A6B" w:rsidRPr="003B11BD">
        <w:rPr>
          <w:noProof/>
          <w:color w:val="000000" w:themeColor="text1"/>
          <w:lang w:val="en-IE"/>
        </w:rPr>
        <w:t>Y</w:t>
      </w:r>
      <w:r w:rsidR="00FA4563" w:rsidRPr="003B11BD">
        <w:rPr>
          <w:noProof/>
          <w:color w:val="000000" w:themeColor="text1"/>
          <w:lang w:val="en-IE"/>
        </w:rPr>
        <w:t xml:space="preserve"> (27 %), </w:t>
      </w:r>
      <w:r w:rsidR="002A4049" w:rsidRPr="003B11BD">
        <w:rPr>
          <w:noProof/>
          <w:color w:val="000000" w:themeColor="text1"/>
          <w:lang w:val="en-IE"/>
        </w:rPr>
        <w:t>IE</w:t>
      </w:r>
      <w:r w:rsidR="00FA4563" w:rsidRPr="003B11BD">
        <w:rPr>
          <w:noProof/>
          <w:color w:val="000000" w:themeColor="text1"/>
          <w:lang w:val="en-IE"/>
        </w:rPr>
        <w:t xml:space="preserve"> (38 %) and </w:t>
      </w:r>
      <w:r w:rsidR="00232875" w:rsidRPr="003B11BD">
        <w:rPr>
          <w:noProof/>
          <w:color w:val="000000" w:themeColor="text1"/>
          <w:lang w:val="en-IE"/>
        </w:rPr>
        <w:t>MT</w:t>
      </w:r>
      <w:r w:rsidR="00FA4563" w:rsidRPr="003B11BD">
        <w:rPr>
          <w:noProof/>
          <w:color w:val="000000" w:themeColor="text1"/>
          <w:lang w:val="en-IE"/>
        </w:rPr>
        <w:t xml:space="preserve"> (49 %) was the share of intra-EU exports lower than 50 %</w:t>
      </w:r>
      <w:r w:rsidR="007D421C" w:rsidRPr="003B11BD">
        <w:rPr>
          <w:rStyle w:val="FootnoteReference"/>
          <w:noProof/>
          <w:color w:val="000000" w:themeColor="text1"/>
          <w:lang w:val="en-IE"/>
        </w:rPr>
        <w:footnoteReference w:id="36"/>
      </w:r>
      <w:r w:rsidR="00FA4563" w:rsidRPr="003B11BD">
        <w:rPr>
          <w:noProof/>
          <w:color w:val="000000" w:themeColor="text1"/>
          <w:lang w:val="en-IE"/>
        </w:rPr>
        <w:t>.</w:t>
      </w:r>
      <w:r w:rsidR="00475209" w:rsidRPr="003B11BD">
        <w:rPr>
          <w:noProof/>
          <w:color w:val="000000" w:themeColor="text1"/>
          <w:lang w:val="en-IE"/>
        </w:rPr>
        <w:t xml:space="preserve"> In absolute terms, the value of exported goods by Member State to partners within the EU in 2021 ranged from EUR 751 billion for </w:t>
      </w:r>
      <w:r w:rsidR="00D82A6B" w:rsidRPr="003B11BD">
        <w:rPr>
          <w:noProof/>
          <w:color w:val="000000" w:themeColor="text1"/>
          <w:lang w:val="en-IE"/>
        </w:rPr>
        <w:t>DE</w:t>
      </w:r>
      <w:r w:rsidR="00475209" w:rsidRPr="003B11BD">
        <w:rPr>
          <w:noProof/>
          <w:color w:val="000000" w:themeColor="text1"/>
          <w:lang w:val="en-IE"/>
        </w:rPr>
        <w:t xml:space="preserve"> to EUR 0.9 billion for C</w:t>
      </w:r>
      <w:r w:rsidR="00D82A6B" w:rsidRPr="003B11BD">
        <w:rPr>
          <w:noProof/>
          <w:color w:val="000000" w:themeColor="text1"/>
          <w:lang w:val="en-IE"/>
        </w:rPr>
        <w:t>Y</w:t>
      </w:r>
      <w:r w:rsidR="007D421C" w:rsidRPr="003B11BD">
        <w:rPr>
          <w:noProof/>
          <w:color w:val="000000" w:themeColor="text1"/>
          <w:lang w:val="en-IE"/>
        </w:rPr>
        <w:t xml:space="preserve"> (</w:t>
      </w:r>
      <w:r w:rsidR="00D87E9F" w:rsidRPr="003B11BD">
        <w:rPr>
          <w:noProof/>
          <w:color w:val="000000" w:themeColor="text1"/>
          <w:lang w:val="en-IE"/>
        </w:rPr>
        <w:fldChar w:fldCharType="begin"/>
      </w:r>
      <w:r w:rsidR="00D87E9F" w:rsidRPr="003B11BD">
        <w:rPr>
          <w:noProof/>
          <w:color w:val="000000" w:themeColor="text1"/>
          <w:lang w:val="en-IE"/>
        </w:rPr>
        <w:instrText xml:space="preserve"> REF _Ref121735053 \h </w:instrText>
      </w:r>
      <w:r w:rsidR="0010202B" w:rsidRPr="003B11BD">
        <w:rPr>
          <w:noProof/>
          <w:color w:val="000000" w:themeColor="text1"/>
          <w:lang w:val="en-IE"/>
        </w:rPr>
        <w:instrText xml:space="preserve"> \* MERGEFORMAT </w:instrText>
      </w:r>
      <w:r w:rsidR="00D87E9F" w:rsidRPr="003B11BD">
        <w:rPr>
          <w:noProof/>
          <w:color w:val="000000" w:themeColor="text1"/>
          <w:lang w:val="en-IE"/>
        </w:rPr>
      </w:r>
      <w:r w:rsidR="00D87E9F" w:rsidRPr="003B11BD">
        <w:rPr>
          <w:noProof/>
          <w:color w:val="000000" w:themeColor="text1"/>
          <w:lang w:val="en-IE"/>
        </w:rPr>
        <w:fldChar w:fldCharType="separate"/>
      </w:r>
      <w:r w:rsidR="00C6592A" w:rsidRPr="003B11BD">
        <w:rPr>
          <w:noProof/>
          <w:lang w:val="en-IE"/>
        </w:rPr>
        <w:t xml:space="preserve">Figure </w:t>
      </w:r>
      <w:r w:rsidR="00C6592A">
        <w:rPr>
          <w:noProof/>
          <w:lang w:val="en-IE"/>
        </w:rPr>
        <w:t>17</w:t>
      </w:r>
      <w:r w:rsidR="00D87E9F" w:rsidRPr="003B11BD">
        <w:rPr>
          <w:noProof/>
          <w:color w:val="000000" w:themeColor="text1"/>
          <w:lang w:val="en-IE"/>
        </w:rPr>
        <w:fldChar w:fldCharType="end"/>
      </w:r>
      <w:r w:rsidR="008922A7" w:rsidRPr="003B11BD">
        <w:rPr>
          <w:noProof/>
          <w:color w:val="000000" w:themeColor="text1"/>
          <w:lang w:val="en-IE"/>
        </w:rPr>
        <w:t>, Annex 6</w:t>
      </w:r>
      <w:r w:rsidR="007D421C" w:rsidRPr="003B11BD">
        <w:rPr>
          <w:noProof/>
          <w:color w:val="000000" w:themeColor="text1"/>
          <w:lang w:val="en-IE"/>
        </w:rPr>
        <w:t>)</w:t>
      </w:r>
      <w:r w:rsidR="00F3770B" w:rsidRPr="003B11BD">
        <w:rPr>
          <w:rStyle w:val="FootnoteReference"/>
          <w:noProof/>
          <w:color w:val="000000" w:themeColor="text1"/>
          <w:lang w:val="en-IE"/>
        </w:rPr>
        <w:footnoteReference w:id="37"/>
      </w:r>
      <w:r w:rsidR="00475209" w:rsidRPr="003B11BD">
        <w:rPr>
          <w:noProof/>
          <w:color w:val="000000" w:themeColor="text1"/>
          <w:lang w:val="en-IE"/>
        </w:rPr>
        <w:t>.</w:t>
      </w:r>
      <w:r w:rsidR="00335CF4" w:rsidRPr="003B11BD">
        <w:rPr>
          <w:noProof/>
          <w:color w:val="000000" w:themeColor="text1"/>
          <w:lang w:val="en-IE"/>
        </w:rPr>
        <w:t xml:space="preserve"> </w:t>
      </w:r>
      <w:r w:rsidR="00575711" w:rsidRPr="003B11BD">
        <w:rPr>
          <w:noProof/>
          <w:lang w:val="en-IE"/>
        </w:rPr>
        <w:t>I</w:t>
      </w:r>
      <w:r w:rsidR="005259A4" w:rsidRPr="003B11BD">
        <w:rPr>
          <w:noProof/>
          <w:lang w:val="en-IE"/>
        </w:rPr>
        <w:t xml:space="preserve">n view of </w:t>
      </w:r>
      <w:r w:rsidR="009F565D" w:rsidRPr="003B11BD">
        <w:rPr>
          <w:noProof/>
          <w:lang w:val="en-IE"/>
        </w:rPr>
        <w:t xml:space="preserve">the </w:t>
      </w:r>
      <w:r w:rsidR="00335CF4" w:rsidRPr="003B11BD">
        <w:rPr>
          <w:noProof/>
          <w:lang w:val="en-IE"/>
        </w:rPr>
        <w:t>multi-dimensional links governing the existing value chains</w:t>
      </w:r>
      <w:r w:rsidR="005259A4" w:rsidRPr="003B11BD">
        <w:rPr>
          <w:noProof/>
          <w:lang w:val="en-IE"/>
        </w:rPr>
        <w:t xml:space="preserve">, </w:t>
      </w:r>
      <w:r w:rsidR="00575711" w:rsidRPr="003B11BD">
        <w:rPr>
          <w:noProof/>
          <w:lang w:val="en-IE"/>
        </w:rPr>
        <w:t>it is highly probable that</w:t>
      </w:r>
      <w:r w:rsidR="005259A4" w:rsidRPr="003B11BD">
        <w:rPr>
          <w:noProof/>
          <w:lang w:val="en-IE"/>
        </w:rPr>
        <w:t xml:space="preserve"> national compulsory licences would be needed not only for the final patented product, but also for any patented component</w:t>
      </w:r>
      <w:r w:rsidR="00561457" w:rsidRPr="003B11BD">
        <w:rPr>
          <w:rStyle w:val="FootnoteReference"/>
          <w:noProof/>
          <w:lang w:val="en-IE"/>
        </w:rPr>
        <w:footnoteReference w:id="38"/>
      </w:r>
      <w:r w:rsidR="005259A4" w:rsidRPr="003B11BD">
        <w:rPr>
          <w:noProof/>
          <w:lang w:val="en-IE"/>
        </w:rPr>
        <w:t xml:space="preserve"> of the final product</w:t>
      </w:r>
      <w:r w:rsidR="009F565D" w:rsidRPr="003B11BD">
        <w:rPr>
          <w:noProof/>
          <w:lang w:val="en-IE"/>
        </w:rPr>
        <w:t xml:space="preserve"> that may need to be sourced from other country</w:t>
      </w:r>
      <w:r w:rsidR="00792DFE" w:rsidRPr="003B11BD">
        <w:rPr>
          <w:noProof/>
          <w:lang w:val="en-IE"/>
        </w:rPr>
        <w:t>.</w:t>
      </w:r>
      <w:r w:rsidR="00F60437" w:rsidRPr="003B11BD">
        <w:rPr>
          <w:noProof/>
          <w:lang w:val="en-IE"/>
        </w:rPr>
        <w:t xml:space="preserve"> </w:t>
      </w:r>
      <w:r w:rsidR="00792DFE" w:rsidRPr="003B11BD">
        <w:rPr>
          <w:noProof/>
          <w:lang w:val="en-IE"/>
        </w:rPr>
        <w:t>F</w:t>
      </w:r>
      <w:r w:rsidR="00F60437" w:rsidRPr="003B11BD">
        <w:rPr>
          <w:noProof/>
          <w:lang w:val="en-IE"/>
        </w:rPr>
        <w:t>or example, the share of parts and components account</w:t>
      </w:r>
      <w:r w:rsidR="00D92C65" w:rsidRPr="003B11BD">
        <w:rPr>
          <w:noProof/>
          <w:lang w:val="en-IE"/>
        </w:rPr>
        <w:t>s</w:t>
      </w:r>
      <w:r w:rsidR="00F60437" w:rsidRPr="003B11BD">
        <w:rPr>
          <w:noProof/>
          <w:lang w:val="en-IE"/>
        </w:rPr>
        <w:t xml:space="preserve"> for </w:t>
      </w:r>
      <w:r w:rsidR="00D92C65" w:rsidRPr="003B11BD">
        <w:rPr>
          <w:noProof/>
          <w:lang w:val="en-IE"/>
        </w:rPr>
        <w:t>50%</w:t>
      </w:r>
      <w:r w:rsidR="00F60437" w:rsidRPr="003B11BD">
        <w:rPr>
          <w:noProof/>
          <w:lang w:val="en-IE"/>
        </w:rPr>
        <w:t xml:space="preserve"> of global trade in electrical machinery and transport equipment </w:t>
      </w:r>
      <w:r w:rsidR="00424C8B" w:rsidRPr="003B11BD">
        <w:rPr>
          <w:noProof/>
          <w:lang w:val="en-IE"/>
        </w:rPr>
        <w:t>and</w:t>
      </w:r>
      <w:r w:rsidR="00F60437" w:rsidRPr="003B11BD">
        <w:rPr>
          <w:noProof/>
          <w:lang w:val="en-IE"/>
        </w:rPr>
        <w:t xml:space="preserve"> 46% of trade in machinery and electronics</w:t>
      </w:r>
      <w:r w:rsidR="005259A4" w:rsidRPr="003B11BD">
        <w:rPr>
          <w:noProof/>
          <w:lang w:val="en-IE"/>
        </w:rPr>
        <w:t>.</w:t>
      </w:r>
      <w:r w:rsidR="00AD1561" w:rsidRPr="003B11BD">
        <w:rPr>
          <w:noProof/>
          <w:lang w:val="en-IE"/>
        </w:rPr>
        <w:t xml:space="preserve"> </w:t>
      </w:r>
      <w:r w:rsidR="00504FA9" w:rsidRPr="003B11BD">
        <w:rPr>
          <w:noProof/>
          <w:lang w:val="en-IE"/>
        </w:rPr>
        <w:t>Over time</w:t>
      </w:r>
      <w:r w:rsidR="00D314FB" w:rsidRPr="003B11BD">
        <w:rPr>
          <w:noProof/>
          <w:lang w:val="en-IE"/>
        </w:rPr>
        <w:t xml:space="preserve">, it is </w:t>
      </w:r>
      <w:r w:rsidR="00335CF4" w:rsidRPr="003B11BD">
        <w:rPr>
          <w:noProof/>
          <w:lang w:val="en-IE"/>
        </w:rPr>
        <w:t xml:space="preserve">also </w:t>
      </w:r>
      <w:r w:rsidR="00D314FB" w:rsidRPr="003B11BD">
        <w:rPr>
          <w:noProof/>
          <w:lang w:val="en-IE"/>
        </w:rPr>
        <w:t xml:space="preserve">worth noting that the importance of the </w:t>
      </w:r>
      <w:r w:rsidR="00D43F3F" w:rsidRPr="003B11BD">
        <w:rPr>
          <w:noProof/>
          <w:lang w:val="en-IE"/>
        </w:rPr>
        <w:t>Single Market</w:t>
      </w:r>
      <w:r w:rsidR="00D314FB" w:rsidRPr="003B11BD">
        <w:rPr>
          <w:noProof/>
          <w:lang w:val="en-IE"/>
        </w:rPr>
        <w:t xml:space="preserve"> has increased as a source of value added (supply and demand) in the area of goods. On the supply side (</w:t>
      </w:r>
      <w:r w:rsidR="00335CF4" w:rsidRPr="003B11BD">
        <w:rPr>
          <w:noProof/>
          <w:lang w:val="en-IE"/>
        </w:rPr>
        <w:fldChar w:fldCharType="begin"/>
      </w:r>
      <w:r w:rsidR="00335CF4" w:rsidRPr="003B11BD">
        <w:rPr>
          <w:noProof/>
          <w:lang w:val="en-IE"/>
        </w:rPr>
        <w:instrText xml:space="preserve"> REF _Ref122507789 \h </w:instrText>
      </w:r>
      <w:r w:rsidR="0010202B" w:rsidRPr="003B11BD">
        <w:rPr>
          <w:noProof/>
          <w:lang w:val="en-IE"/>
        </w:rPr>
        <w:instrText xml:space="preserve"> \* MERGEFORMAT </w:instrText>
      </w:r>
      <w:r w:rsidR="00335CF4" w:rsidRPr="003B11BD">
        <w:rPr>
          <w:noProof/>
          <w:lang w:val="en-IE"/>
        </w:rPr>
      </w:r>
      <w:r w:rsidR="00335CF4" w:rsidRPr="003B11BD">
        <w:rPr>
          <w:noProof/>
          <w:lang w:val="en-IE"/>
        </w:rPr>
        <w:fldChar w:fldCharType="separate"/>
      </w:r>
      <w:r w:rsidR="00C6592A" w:rsidRPr="003B11BD">
        <w:rPr>
          <w:noProof/>
          <w:lang w:val="en-IE"/>
        </w:rPr>
        <w:t xml:space="preserve">Figure </w:t>
      </w:r>
      <w:r w:rsidR="00C6592A">
        <w:rPr>
          <w:noProof/>
          <w:lang w:val="en-IE"/>
        </w:rPr>
        <w:t>3</w:t>
      </w:r>
      <w:r w:rsidR="00335CF4" w:rsidRPr="003B11BD">
        <w:rPr>
          <w:noProof/>
          <w:lang w:val="en-IE"/>
        </w:rPr>
        <w:fldChar w:fldCharType="end"/>
      </w:r>
      <w:r w:rsidR="00D314FB" w:rsidRPr="003B11BD">
        <w:rPr>
          <w:noProof/>
          <w:lang w:val="en-IE"/>
        </w:rPr>
        <w:t xml:space="preserve">, left), the contribution of domestic flows (i.e. within a single Member State) as source of value added in EU production has been constantly decreasing, whereas the relative importance of cross-border trade flows of industrial goods within the </w:t>
      </w:r>
      <w:r w:rsidR="00D43F3F" w:rsidRPr="003B11BD">
        <w:rPr>
          <w:noProof/>
          <w:lang w:val="en-IE"/>
        </w:rPr>
        <w:t>Single Market</w:t>
      </w:r>
      <w:r w:rsidR="00D314FB" w:rsidRPr="003B11BD">
        <w:rPr>
          <w:noProof/>
          <w:lang w:val="en-IE"/>
        </w:rPr>
        <w:t xml:space="preserve"> has slightly increased. Today, </w:t>
      </w:r>
      <w:r w:rsidR="00D43F3F" w:rsidRPr="003B11BD">
        <w:rPr>
          <w:noProof/>
          <w:lang w:val="en-IE"/>
        </w:rPr>
        <w:t>Single Market</w:t>
      </w:r>
      <w:r w:rsidR="00D314FB" w:rsidRPr="003B11BD">
        <w:rPr>
          <w:noProof/>
          <w:lang w:val="en-IE"/>
        </w:rPr>
        <w:t xml:space="preserve"> flows account for more than 25% of the total value added of EU production. A similar picture can be seen on the demand side (</w:t>
      </w:r>
      <w:r w:rsidR="00E928BF" w:rsidRPr="003B11BD">
        <w:rPr>
          <w:noProof/>
          <w:lang w:val="en-IE"/>
        </w:rPr>
        <w:fldChar w:fldCharType="begin"/>
      </w:r>
      <w:r w:rsidR="00E928BF" w:rsidRPr="003B11BD">
        <w:rPr>
          <w:noProof/>
          <w:lang w:val="en-IE"/>
        </w:rPr>
        <w:instrText xml:space="preserve"> REF _Ref122507789 \h </w:instrText>
      </w:r>
      <w:r w:rsidR="0010202B" w:rsidRPr="003B11BD">
        <w:rPr>
          <w:noProof/>
          <w:lang w:val="en-IE"/>
        </w:rPr>
        <w:instrText xml:space="preserve"> \* MERGEFORMAT </w:instrText>
      </w:r>
      <w:r w:rsidR="00E928BF" w:rsidRPr="003B11BD">
        <w:rPr>
          <w:noProof/>
          <w:lang w:val="en-IE"/>
        </w:rPr>
      </w:r>
      <w:r w:rsidR="00E928BF" w:rsidRPr="003B11BD">
        <w:rPr>
          <w:noProof/>
          <w:lang w:val="en-IE"/>
        </w:rPr>
        <w:fldChar w:fldCharType="separate"/>
      </w:r>
      <w:r w:rsidR="00C6592A" w:rsidRPr="003B11BD">
        <w:rPr>
          <w:noProof/>
          <w:lang w:val="en-IE"/>
        </w:rPr>
        <w:t xml:space="preserve">Figure </w:t>
      </w:r>
      <w:r w:rsidR="00C6592A">
        <w:rPr>
          <w:noProof/>
          <w:lang w:val="en-IE"/>
        </w:rPr>
        <w:t>3</w:t>
      </w:r>
      <w:r w:rsidR="00E928BF" w:rsidRPr="003B11BD">
        <w:rPr>
          <w:noProof/>
          <w:lang w:val="en-IE"/>
        </w:rPr>
        <w:fldChar w:fldCharType="end"/>
      </w:r>
      <w:r w:rsidR="00D314FB" w:rsidRPr="003B11BD">
        <w:rPr>
          <w:noProof/>
          <w:lang w:val="en-IE"/>
        </w:rPr>
        <w:t xml:space="preserve">, right). The relative contribution of domestic flows in terms of final demand to absorb and pay for the total value added produced in the EU has been decreasing, while the importance of the </w:t>
      </w:r>
      <w:r w:rsidR="00D43F3F" w:rsidRPr="003B11BD">
        <w:rPr>
          <w:noProof/>
          <w:lang w:val="en-IE"/>
        </w:rPr>
        <w:t>Single Market</w:t>
      </w:r>
      <w:r w:rsidR="00D314FB" w:rsidRPr="003B11BD">
        <w:rPr>
          <w:noProof/>
          <w:lang w:val="en-IE"/>
        </w:rPr>
        <w:t xml:space="preserve"> has increased.</w:t>
      </w:r>
    </w:p>
    <w:p w14:paraId="1EA89E66" w14:textId="42D4FCDA" w:rsidR="00291387" w:rsidRPr="003B11BD" w:rsidRDefault="00291387" w:rsidP="00CD0EC7">
      <w:pPr>
        <w:pStyle w:val="Caption"/>
        <w:keepNext/>
        <w:rPr>
          <w:noProof/>
          <w:lang w:val="en-IE"/>
        </w:rPr>
      </w:pPr>
      <w:bookmarkStart w:id="53" w:name="_Ref122507789"/>
      <w:r w:rsidRPr="003B11BD">
        <w:rPr>
          <w:noProof/>
          <w:lang w:val="en-IE"/>
        </w:rPr>
        <w:t xml:space="preserve">Figure </w:t>
      </w:r>
      <w:r w:rsidR="00C6592A">
        <w:rPr>
          <w:noProof/>
          <w:lang w:val="en-IE"/>
        </w:rPr>
        <w:t>3</w:t>
      </w:r>
      <w:bookmarkEnd w:id="53"/>
      <w:r w:rsidRPr="003B11BD">
        <w:rPr>
          <w:noProof/>
          <w:lang w:val="en-IE"/>
        </w:rPr>
        <w:t xml:space="preserve">: Relative shares of the </w:t>
      </w:r>
      <w:r w:rsidR="00D43F3F" w:rsidRPr="003B11BD">
        <w:rPr>
          <w:noProof/>
          <w:lang w:val="en-IE"/>
        </w:rPr>
        <w:t>Single Market</w:t>
      </w:r>
      <w:r w:rsidRPr="003B11BD">
        <w:rPr>
          <w:noProof/>
          <w:lang w:val="en-IE"/>
        </w:rPr>
        <w:t xml:space="preserve"> as a Source of Value Added (left) and of Final Demand (right) (goods, 1995-2018)</w:t>
      </w:r>
    </w:p>
    <w:p w14:paraId="336CE467" w14:textId="09F8BC87" w:rsidR="00291387" w:rsidRPr="003B11BD" w:rsidRDefault="00291387" w:rsidP="00291387">
      <w:pPr>
        <w:spacing w:before="160" w:line="252" w:lineRule="auto"/>
        <w:jc w:val="center"/>
        <w:rPr>
          <w:b/>
          <w:bCs/>
          <w:noProof/>
          <w:lang w:val="en-IE"/>
        </w:rPr>
      </w:pPr>
      <w:r w:rsidRPr="003B11BD">
        <w:rPr>
          <w:noProof/>
          <w:lang w:eastAsia="en-GB"/>
        </w:rPr>
        <w:drawing>
          <wp:inline distT="0" distB="0" distL="0" distR="0" wp14:anchorId="713DFD3F" wp14:editId="0568304E">
            <wp:extent cx="2500372" cy="1521439"/>
            <wp:effectExtent l="0" t="0" r="0" b="3175"/>
            <wp:docPr id="343297057" name="Picture 343297057" descr="cid:image001.png@01D90E10.1CB80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97057"/>
                    <pic:cNvPicPr/>
                  </pic:nvPicPr>
                  <pic:blipFill>
                    <a:blip r:embed="rId39">
                      <a:extLst>
                        <a:ext uri="{28A0092B-C50C-407E-A947-70E740481C1C}">
                          <a14:useLocalDpi xmlns:a14="http://schemas.microsoft.com/office/drawing/2010/main" val="0"/>
                        </a:ext>
                      </a:extLst>
                    </a:blip>
                    <a:stretch>
                      <a:fillRect/>
                    </a:stretch>
                  </pic:blipFill>
                  <pic:spPr>
                    <a:xfrm>
                      <a:off x="0" y="0"/>
                      <a:ext cx="2512962" cy="1529100"/>
                    </a:xfrm>
                    <a:prstGeom prst="rect">
                      <a:avLst/>
                    </a:prstGeom>
                  </pic:spPr>
                </pic:pic>
              </a:graphicData>
            </a:graphic>
          </wp:inline>
        </w:drawing>
      </w:r>
      <w:r w:rsidRPr="003B11BD">
        <w:rPr>
          <w:noProof/>
          <w:lang w:eastAsia="en-GB"/>
        </w:rPr>
        <w:drawing>
          <wp:inline distT="0" distB="0" distL="0" distR="0" wp14:anchorId="72293F43" wp14:editId="007E649B">
            <wp:extent cx="2588853" cy="1475335"/>
            <wp:effectExtent l="0" t="0" r="2540" b="0"/>
            <wp:docPr id="343297056" name="Picture 343297056" descr="cid:image002.png@01D90E10.1CB80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97056"/>
                    <pic:cNvPicPr/>
                  </pic:nvPicPr>
                  <pic:blipFill>
                    <a:blip r:embed="rId40">
                      <a:extLst>
                        <a:ext uri="{28A0092B-C50C-407E-A947-70E740481C1C}">
                          <a14:useLocalDpi xmlns:a14="http://schemas.microsoft.com/office/drawing/2010/main" val="0"/>
                        </a:ext>
                      </a:extLst>
                    </a:blip>
                    <a:stretch>
                      <a:fillRect/>
                    </a:stretch>
                  </pic:blipFill>
                  <pic:spPr>
                    <a:xfrm>
                      <a:off x="0" y="0"/>
                      <a:ext cx="2607721" cy="1486088"/>
                    </a:xfrm>
                    <a:prstGeom prst="rect">
                      <a:avLst/>
                    </a:prstGeom>
                  </pic:spPr>
                </pic:pic>
              </a:graphicData>
            </a:graphic>
          </wp:inline>
        </w:drawing>
      </w:r>
    </w:p>
    <w:p w14:paraId="67222D27" w14:textId="46C511BA" w:rsidR="00D314FB" w:rsidRPr="003B11BD" w:rsidRDefault="00291387" w:rsidP="00291387">
      <w:pPr>
        <w:pStyle w:val="Caption"/>
        <w:rPr>
          <w:noProof/>
          <w:lang w:val="en-IE"/>
        </w:rPr>
      </w:pPr>
      <w:r w:rsidRPr="003B11BD">
        <w:rPr>
          <w:noProof/>
          <w:lang w:val="en-IE"/>
        </w:rPr>
        <w:t>Source: Chief Economist Team (DG Internal Market, Industry, Entrepreneurship and SMEs) based on OECD TiVA data. Note: data available only until 2018</w:t>
      </w:r>
    </w:p>
    <w:p w14:paraId="10BE1FAD" w14:textId="07B884D4" w:rsidR="00FE7DE3" w:rsidRPr="003B11BD" w:rsidRDefault="17C427DC" w:rsidP="00FE7DE3">
      <w:pPr>
        <w:spacing w:after="120"/>
        <w:rPr>
          <w:noProof/>
          <w:lang w:val="en-IE"/>
        </w:rPr>
      </w:pPr>
      <w:r w:rsidRPr="003B11BD">
        <w:rPr>
          <w:noProof/>
          <w:lang w:val="en-IE"/>
        </w:rPr>
        <w:t>Consequently</w:t>
      </w:r>
      <w:r w:rsidR="7303A923" w:rsidRPr="003B11BD">
        <w:rPr>
          <w:noProof/>
          <w:lang w:val="en-IE"/>
        </w:rPr>
        <w:t>,</w:t>
      </w:r>
      <w:r w:rsidR="6BC51341" w:rsidRPr="003B11BD">
        <w:rPr>
          <w:noProof/>
          <w:lang w:val="en-IE"/>
        </w:rPr>
        <w:t xml:space="preserve"> </w:t>
      </w:r>
      <w:r w:rsidR="17CC444A" w:rsidRPr="003B11BD">
        <w:rPr>
          <w:noProof/>
          <w:color w:val="000000" w:themeColor="text1"/>
          <w:lang w:val="en-IE"/>
        </w:rPr>
        <w:t>t</w:t>
      </w:r>
      <w:r w:rsidR="6BC51341" w:rsidRPr="003B11BD">
        <w:rPr>
          <w:noProof/>
          <w:color w:val="000000" w:themeColor="text1"/>
          <w:lang w:val="en-IE"/>
        </w:rPr>
        <w:t xml:space="preserve">he </w:t>
      </w:r>
      <w:r w:rsidR="7D14DC9D" w:rsidRPr="003B11BD">
        <w:rPr>
          <w:noProof/>
          <w:color w:val="000000" w:themeColor="text1"/>
          <w:lang w:val="en-IE"/>
        </w:rPr>
        <w:t xml:space="preserve">already </w:t>
      </w:r>
      <w:r w:rsidR="053E8E96" w:rsidRPr="003B11BD">
        <w:rPr>
          <w:noProof/>
          <w:color w:val="000000" w:themeColor="text1"/>
          <w:lang w:val="en-IE"/>
        </w:rPr>
        <w:t xml:space="preserve">significant </w:t>
      </w:r>
      <w:r w:rsidR="6BC51341" w:rsidRPr="003B11BD">
        <w:rPr>
          <w:noProof/>
          <w:color w:val="000000" w:themeColor="text1"/>
          <w:lang w:val="en-IE"/>
        </w:rPr>
        <w:t xml:space="preserve">level of complexity </w:t>
      </w:r>
      <w:r w:rsidR="7D14DC9D" w:rsidRPr="003B11BD">
        <w:rPr>
          <w:noProof/>
          <w:color w:val="000000" w:themeColor="text1"/>
          <w:lang w:val="en-IE"/>
        </w:rPr>
        <w:t xml:space="preserve">in </w:t>
      </w:r>
      <w:r w:rsidR="6BC51341" w:rsidRPr="003B11BD">
        <w:rPr>
          <w:noProof/>
          <w:lang w:val="en-IE"/>
        </w:rPr>
        <w:t>the</w:t>
      </w:r>
      <w:r w:rsidR="6BC51341" w:rsidRPr="003B11BD">
        <w:rPr>
          <w:noProof/>
          <w:color w:val="000000" w:themeColor="text1"/>
          <w:lang w:val="en-IE"/>
        </w:rPr>
        <w:t xml:space="preserve"> </w:t>
      </w:r>
      <w:r w:rsidR="1DAE5C28" w:rsidRPr="003B11BD">
        <w:rPr>
          <w:noProof/>
          <w:lang w:val="en-IE"/>
        </w:rPr>
        <w:t>compulsory licensing</w:t>
      </w:r>
      <w:r w:rsidR="6BC51341" w:rsidRPr="003B11BD">
        <w:rPr>
          <w:noProof/>
          <w:color w:val="000000" w:themeColor="text1"/>
          <w:lang w:val="en-IE"/>
        </w:rPr>
        <w:t xml:space="preserve"> system </w:t>
      </w:r>
      <w:r w:rsidR="7D14DC9D" w:rsidRPr="003B11BD">
        <w:rPr>
          <w:noProof/>
          <w:color w:val="000000" w:themeColor="text1"/>
          <w:lang w:val="en-IE"/>
        </w:rPr>
        <w:t xml:space="preserve">due to its fragmentation </w:t>
      </w:r>
      <w:r w:rsidR="6BC51341" w:rsidRPr="003B11BD">
        <w:rPr>
          <w:noProof/>
          <w:color w:val="000000" w:themeColor="text1"/>
          <w:lang w:val="en-IE"/>
        </w:rPr>
        <w:t>increases</w:t>
      </w:r>
      <w:r w:rsidR="7D14DC9D" w:rsidRPr="003B11BD">
        <w:rPr>
          <w:noProof/>
          <w:color w:val="000000" w:themeColor="text1"/>
          <w:lang w:val="en-IE"/>
        </w:rPr>
        <w:t xml:space="preserve"> even further</w:t>
      </w:r>
      <w:r w:rsidR="6BC51341" w:rsidRPr="003B11BD">
        <w:rPr>
          <w:noProof/>
          <w:color w:val="000000" w:themeColor="text1"/>
          <w:lang w:val="en-IE"/>
        </w:rPr>
        <w:t xml:space="preserve"> </w:t>
      </w:r>
      <w:r w:rsidR="70E8A1FD" w:rsidRPr="003B11BD">
        <w:rPr>
          <w:noProof/>
          <w:color w:val="000000" w:themeColor="text1"/>
          <w:lang w:val="en-IE"/>
        </w:rPr>
        <w:t xml:space="preserve">in view of cross-border value chains </w:t>
      </w:r>
      <w:r w:rsidR="6BC51341" w:rsidRPr="003B11BD">
        <w:rPr>
          <w:noProof/>
          <w:color w:val="000000" w:themeColor="text1"/>
          <w:lang w:val="en-IE"/>
        </w:rPr>
        <w:t xml:space="preserve">should manufacturing capacities </w:t>
      </w:r>
      <w:r w:rsidR="70E8A1FD" w:rsidRPr="003B11BD">
        <w:rPr>
          <w:noProof/>
          <w:color w:val="000000" w:themeColor="text1"/>
          <w:lang w:val="en-IE"/>
        </w:rPr>
        <w:t>of patented components</w:t>
      </w:r>
      <w:r w:rsidR="6BC51341" w:rsidRPr="003B11BD">
        <w:rPr>
          <w:noProof/>
          <w:color w:val="000000" w:themeColor="text1"/>
          <w:lang w:val="en-IE"/>
        </w:rPr>
        <w:t xml:space="preserve"> be </w:t>
      </w:r>
      <w:r w:rsidR="70E8A1FD" w:rsidRPr="003B11BD">
        <w:rPr>
          <w:noProof/>
          <w:color w:val="000000" w:themeColor="text1"/>
          <w:lang w:val="en-IE"/>
        </w:rPr>
        <w:t>also</w:t>
      </w:r>
      <w:r w:rsidR="6BC51341" w:rsidRPr="003B11BD">
        <w:rPr>
          <w:noProof/>
          <w:color w:val="000000" w:themeColor="text1"/>
          <w:lang w:val="en-IE"/>
        </w:rPr>
        <w:t xml:space="preserve"> located across different Member States.</w:t>
      </w:r>
      <w:r w:rsidR="70E8A1FD" w:rsidRPr="003B11BD">
        <w:rPr>
          <w:noProof/>
          <w:lang w:val="en-IE"/>
        </w:rPr>
        <w:t xml:space="preserve"> </w:t>
      </w:r>
      <w:r w:rsidR="053E8E96" w:rsidRPr="003B11BD">
        <w:rPr>
          <w:noProof/>
          <w:lang w:val="en-IE"/>
        </w:rPr>
        <w:t>The above problem</w:t>
      </w:r>
      <w:r w:rsidR="3FFBCD0B" w:rsidRPr="003B11BD">
        <w:rPr>
          <w:noProof/>
          <w:lang w:val="en-IE"/>
        </w:rPr>
        <w:t xml:space="preserve"> </w:t>
      </w:r>
      <w:r w:rsidR="142D77DA" w:rsidRPr="003B11BD">
        <w:rPr>
          <w:noProof/>
          <w:lang w:val="en-IE"/>
        </w:rPr>
        <w:t>concern</w:t>
      </w:r>
      <w:r w:rsidR="798C2D9E" w:rsidRPr="003B11BD">
        <w:rPr>
          <w:noProof/>
          <w:lang w:val="en-IE"/>
        </w:rPr>
        <w:t>s</w:t>
      </w:r>
      <w:r w:rsidR="142D77DA" w:rsidRPr="003B11BD">
        <w:rPr>
          <w:noProof/>
          <w:lang w:val="en-IE"/>
        </w:rPr>
        <w:t xml:space="preserve"> </w:t>
      </w:r>
      <w:r w:rsidR="25827063" w:rsidRPr="003B11BD">
        <w:rPr>
          <w:noProof/>
          <w:lang w:val="en-IE"/>
        </w:rPr>
        <w:t>compulsory licensing</w:t>
      </w:r>
      <w:r w:rsidR="142D77DA" w:rsidRPr="003B11BD">
        <w:rPr>
          <w:noProof/>
          <w:lang w:val="en-IE"/>
        </w:rPr>
        <w:t xml:space="preserve"> that would be issued </w:t>
      </w:r>
      <w:r w:rsidR="142D77DA" w:rsidRPr="003B11BD">
        <w:rPr>
          <w:b/>
          <w:bCs/>
          <w:noProof/>
          <w:lang w:val="en-IE"/>
        </w:rPr>
        <w:t>for domestic</w:t>
      </w:r>
      <w:r w:rsidR="142D77DA" w:rsidRPr="003B11BD">
        <w:rPr>
          <w:noProof/>
          <w:lang w:val="en-IE"/>
        </w:rPr>
        <w:t xml:space="preserve"> (the EU market or several Member States)</w:t>
      </w:r>
      <w:r w:rsidR="3FFBCD0B" w:rsidRPr="003B11BD">
        <w:rPr>
          <w:noProof/>
          <w:lang w:val="en-IE"/>
        </w:rPr>
        <w:t>, as well as for export</w:t>
      </w:r>
      <w:r w:rsidR="221E6C0F" w:rsidRPr="003B11BD">
        <w:rPr>
          <w:noProof/>
          <w:lang w:val="en-IE"/>
        </w:rPr>
        <w:t xml:space="preserve">; although </w:t>
      </w:r>
      <w:r w:rsidR="64D3D8D0" w:rsidRPr="003B11BD">
        <w:rPr>
          <w:noProof/>
          <w:lang w:val="en-IE"/>
        </w:rPr>
        <w:t xml:space="preserve">the latter </w:t>
      </w:r>
      <w:r w:rsidR="221E6C0F" w:rsidRPr="003B11BD">
        <w:rPr>
          <w:noProof/>
          <w:lang w:val="en-IE"/>
        </w:rPr>
        <w:t>to a more limited extent</w:t>
      </w:r>
      <w:r w:rsidR="3FFBCD0B" w:rsidRPr="003B11BD">
        <w:rPr>
          <w:noProof/>
          <w:lang w:val="en-IE"/>
        </w:rPr>
        <w:t xml:space="preserve">. </w:t>
      </w:r>
      <w:r w:rsidR="7858C672" w:rsidRPr="003B11BD">
        <w:rPr>
          <w:noProof/>
          <w:lang w:val="en-IE"/>
        </w:rPr>
        <w:t>A</w:t>
      </w:r>
      <w:r w:rsidR="142D77DA" w:rsidRPr="003B11BD">
        <w:rPr>
          <w:noProof/>
          <w:lang w:val="en-IE"/>
        </w:rPr>
        <w:t xml:space="preserve">s </w:t>
      </w:r>
      <w:r w:rsidR="7858C672" w:rsidRPr="003B11BD">
        <w:rPr>
          <w:noProof/>
          <w:lang w:val="en-IE"/>
        </w:rPr>
        <w:t xml:space="preserve">regards </w:t>
      </w:r>
      <w:r w:rsidR="7858C672" w:rsidRPr="003B11BD">
        <w:rPr>
          <w:b/>
          <w:bCs/>
          <w:noProof/>
          <w:lang w:val="en-IE"/>
        </w:rPr>
        <w:t>compulsory licensing</w:t>
      </w:r>
      <w:r w:rsidR="142D77DA" w:rsidRPr="003B11BD">
        <w:rPr>
          <w:noProof/>
          <w:lang w:val="en-IE"/>
        </w:rPr>
        <w:t xml:space="preserve"> </w:t>
      </w:r>
      <w:r w:rsidR="142D77DA" w:rsidRPr="003B11BD">
        <w:rPr>
          <w:b/>
          <w:bCs/>
          <w:noProof/>
          <w:lang w:val="en-IE"/>
        </w:rPr>
        <w:t xml:space="preserve">for export </w:t>
      </w:r>
      <w:r w:rsidR="0D507362" w:rsidRPr="003B11BD">
        <w:rPr>
          <w:noProof/>
          <w:lang w:val="en-IE"/>
        </w:rPr>
        <w:t>of</w:t>
      </w:r>
      <w:r w:rsidR="142D77DA" w:rsidRPr="003B11BD">
        <w:rPr>
          <w:noProof/>
          <w:lang w:val="en-IE"/>
        </w:rPr>
        <w:t xml:space="preserve"> pharmaceutical products to </w:t>
      </w:r>
      <w:r w:rsidR="002D606C" w:rsidRPr="003B11BD">
        <w:rPr>
          <w:noProof/>
          <w:lang w:val="en-IE"/>
        </w:rPr>
        <w:t xml:space="preserve">non-EU </w:t>
      </w:r>
      <w:r w:rsidR="142D77DA" w:rsidRPr="003B11BD">
        <w:rPr>
          <w:noProof/>
          <w:lang w:val="en-IE"/>
        </w:rPr>
        <w:t>countries</w:t>
      </w:r>
      <w:r w:rsidR="0D507362" w:rsidRPr="003B11BD">
        <w:rPr>
          <w:noProof/>
          <w:lang w:val="en-IE"/>
        </w:rPr>
        <w:t xml:space="preserve"> facing a health crisis</w:t>
      </w:r>
      <w:r w:rsidR="08E6B433" w:rsidRPr="003B11BD">
        <w:rPr>
          <w:noProof/>
          <w:lang w:val="en-IE"/>
        </w:rPr>
        <w:t>, t</w:t>
      </w:r>
      <w:r w:rsidR="142D77DA" w:rsidRPr="003B11BD">
        <w:rPr>
          <w:noProof/>
          <w:lang w:val="en-IE"/>
        </w:rPr>
        <w:t xml:space="preserve">he system put in place by </w:t>
      </w:r>
      <w:r w:rsidR="2D263C7B" w:rsidRPr="003B11BD">
        <w:rPr>
          <w:noProof/>
          <w:lang w:val="en-IE"/>
        </w:rPr>
        <w:t>Regulation (EC) No 816/2006</w:t>
      </w:r>
      <w:r w:rsidR="142D77DA" w:rsidRPr="003B11BD">
        <w:rPr>
          <w:noProof/>
          <w:lang w:val="en-IE"/>
        </w:rPr>
        <w:t xml:space="preserve"> was never used and stakeholders’ views diverge on the reason therefor</w:t>
      </w:r>
      <w:r w:rsidR="75867CEE" w:rsidRPr="003B11BD">
        <w:rPr>
          <w:noProof/>
          <w:lang w:val="en-IE"/>
        </w:rPr>
        <w:t>e</w:t>
      </w:r>
      <w:r w:rsidR="009833CF" w:rsidRPr="003B11BD">
        <w:rPr>
          <w:rStyle w:val="FootnoteReference"/>
          <w:noProof/>
          <w:lang w:val="en-IE"/>
        </w:rPr>
        <w:footnoteReference w:id="39"/>
      </w:r>
      <w:r w:rsidR="142D77DA" w:rsidRPr="003B11BD">
        <w:rPr>
          <w:noProof/>
          <w:lang w:val="en-IE"/>
        </w:rPr>
        <w:t>.</w:t>
      </w:r>
      <w:r w:rsidR="3FFBCD0B" w:rsidRPr="003B11BD">
        <w:rPr>
          <w:noProof/>
          <w:lang w:val="en-IE"/>
        </w:rPr>
        <w:t xml:space="preserve"> </w:t>
      </w:r>
      <w:r w:rsidR="142D77DA" w:rsidRPr="003B11BD">
        <w:rPr>
          <w:noProof/>
          <w:lang w:val="en-IE"/>
        </w:rPr>
        <w:t xml:space="preserve">Since no report was made on its application, it is difficult to draw </w:t>
      </w:r>
      <w:r w:rsidR="39EE35D3" w:rsidRPr="003B11BD">
        <w:rPr>
          <w:noProof/>
          <w:lang w:val="en-IE"/>
        </w:rPr>
        <w:t xml:space="preserve">definitive </w:t>
      </w:r>
      <w:r w:rsidR="142D77DA" w:rsidRPr="003B11BD">
        <w:rPr>
          <w:noProof/>
          <w:lang w:val="en-IE"/>
        </w:rPr>
        <w:t xml:space="preserve">conclusions on its effectiveness. </w:t>
      </w:r>
      <w:r w:rsidR="23D1B7FA" w:rsidRPr="003B11BD">
        <w:rPr>
          <w:noProof/>
          <w:lang w:val="en-IE"/>
        </w:rPr>
        <w:t>Similarly</w:t>
      </w:r>
      <w:r w:rsidR="1F17E9BA" w:rsidRPr="003B11BD">
        <w:rPr>
          <w:noProof/>
          <w:lang w:val="en-IE"/>
        </w:rPr>
        <w:t>,</w:t>
      </w:r>
      <w:r w:rsidR="23D1B7FA" w:rsidRPr="003B11BD">
        <w:rPr>
          <w:noProof/>
          <w:lang w:val="en-IE"/>
        </w:rPr>
        <w:t xml:space="preserve"> to what exists for the domestic market, the</w:t>
      </w:r>
      <w:r w:rsidR="21867995" w:rsidRPr="003B11BD">
        <w:rPr>
          <w:noProof/>
          <w:lang w:val="en-IE"/>
        </w:rPr>
        <w:t xml:space="preserve"> </w:t>
      </w:r>
      <w:r w:rsidR="090FB7A9" w:rsidRPr="003B11BD">
        <w:rPr>
          <w:noProof/>
          <w:lang w:val="en-IE"/>
        </w:rPr>
        <w:t>cross-border value chains of manufacturing capacities could affect compulsory licensing for export purposes</w:t>
      </w:r>
      <w:r w:rsidR="3EB8E2AA" w:rsidRPr="003B11BD">
        <w:rPr>
          <w:noProof/>
          <w:lang w:val="en-IE"/>
        </w:rPr>
        <w:t xml:space="preserve"> to </w:t>
      </w:r>
      <w:r w:rsidR="002D606C" w:rsidRPr="003B11BD">
        <w:rPr>
          <w:noProof/>
          <w:lang w:val="en-IE"/>
        </w:rPr>
        <w:t xml:space="preserve">non-EU </w:t>
      </w:r>
      <w:r w:rsidR="3EB8E2AA" w:rsidRPr="003B11BD">
        <w:rPr>
          <w:noProof/>
          <w:lang w:val="en-IE"/>
        </w:rPr>
        <w:t>countries</w:t>
      </w:r>
      <w:r w:rsidR="090FB7A9" w:rsidRPr="003B11BD">
        <w:rPr>
          <w:noProof/>
          <w:lang w:val="en-IE"/>
        </w:rPr>
        <w:t>.</w:t>
      </w:r>
    </w:p>
    <w:p w14:paraId="7BEDE1EC" w14:textId="6C403FC9" w:rsidR="00504FA9" w:rsidRPr="003B11BD" w:rsidRDefault="00504FA9" w:rsidP="00CD7023">
      <w:pPr>
        <w:spacing w:after="120"/>
        <w:rPr>
          <w:noProof/>
          <w:lang w:val="en-IE"/>
        </w:rPr>
      </w:pPr>
      <w:r w:rsidRPr="003B11BD">
        <w:rPr>
          <w:noProof/>
          <w:lang w:val="en-IE"/>
        </w:rPr>
        <w:t xml:space="preserve">To conclude, </w:t>
      </w:r>
      <w:r w:rsidRPr="003B11BD">
        <w:rPr>
          <w:b/>
          <w:noProof/>
          <w:lang w:val="en-IE"/>
        </w:rPr>
        <w:t>EU compulsory licences rules are</w:t>
      </w:r>
      <w:r w:rsidRPr="003B11BD">
        <w:rPr>
          <w:noProof/>
          <w:lang w:val="en-IE"/>
        </w:rPr>
        <w:t xml:space="preserve"> characterised by </w:t>
      </w:r>
      <w:r w:rsidRPr="003B11BD">
        <w:rPr>
          <w:b/>
          <w:noProof/>
          <w:lang w:val="en-IE"/>
        </w:rPr>
        <w:t>inadequate territorial architecture, uncoordinated national procedures and decision-making</w:t>
      </w:r>
      <w:r w:rsidRPr="003B11BD">
        <w:rPr>
          <w:noProof/>
          <w:lang w:val="en-IE"/>
        </w:rPr>
        <w:t xml:space="preserve">, which is especially problematic </w:t>
      </w:r>
      <w:r w:rsidR="007E7CDC" w:rsidRPr="003B11BD">
        <w:rPr>
          <w:noProof/>
          <w:lang w:val="en-IE"/>
        </w:rPr>
        <w:t>in view of</w:t>
      </w:r>
      <w:r w:rsidRPr="003B11BD">
        <w:rPr>
          <w:noProof/>
          <w:lang w:val="en-IE"/>
        </w:rPr>
        <w:t xml:space="preserve"> cross-border value chains increasingly predominant in the EU. This altogether results in a system which</w:t>
      </w:r>
      <w:r w:rsidRPr="003B11BD">
        <w:rPr>
          <w:b/>
          <w:noProof/>
          <w:lang w:val="en-IE"/>
        </w:rPr>
        <w:t xml:space="preserve"> </w:t>
      </w:r>
      <w:r w:rsidRPr="003B11BD">
        <w:rPr>
          <w:noProof/>
          <w:lang w:val="en-IE"/>
        </w:rPr>
        <w:t xml:space="preserve">is </w:t>
      </w:r>
      <w:r w:rsidRPr="003B11BD">
        <w:rPr>
          <w:b/>
          <w:noProof/>
          <w:lang w:val="en-IE"/>
        </w:rPr>
        <w:t>ill-suited to address a cross-border crisis in a timely manner</w:t>
      </w:r>
      <w:r w:rsidR="006C467D" w:rsidRPr="003B11BD">
        <w:rPr>
          <w:b/>
          <w:noProof/>
          <w:lang w:val="en-IE"/>
        </w:rPr>
        <w:t>.</w:t>
      </w:r>
    </w:p>
    <w:p w14:paraId="16AA4A2C" w14:textId="00BBA01B" w:rsidR="00E2457D" w:rsidRPr="003B11BD" w:rsidRDefault="00E2457D">
      <w:pPr>
        <w:pStyle w:val="Heading2"/>
        <w:rPr>
          <w:noProof/>
          <w:lang w:val="en-IE"/>
        </w:rPr>
      </w:pPr>
      <w:bookmarkStart w:id="54" w:name="_Toc120045175"/>
      <w:bookmarkStart w:id="55" w:name="_Toc120045262"/>
      <w:bookmarkStart w:id="56" w:name="_Toc120128779"/>
      <w:bookmarkStart w:id="57" w:name="_Toc120129233"/>
      <w:bookmarkStart w:id="58" w:name="_Toc120129290"/>
      <w:bookmarkStart w:id="59" w:name="_Toc120130399"/>
      <w:bookmarkStart w:id="60" w:name="_Toc120130467"/>
      <w:bookmarkStart w:id="61" w:name="_Toc120130737"/>
      <w:bookmarkStart w:id="62" w:name="_Toc120132794"/>
      <w:bookmarkStart w:id="63" w:name="_Toc120477775"/>
      <w:bookmarkStart w:id="64" w:name="_Toc120477845"/>
      <w:bookmarkStart w:id="65" w:name="_Toc120652787"/>
      <w:bookmarkStart w:id="66" w:name="_Toc120652857"/>
      <w:bookmarkStart w:id="67" w:name="_Toc120652927"/>
      <w:bookmarkStart w:id="68" w:name="_Toc120731124"/>
      <w:bookmarkStart w:id="69" w:name="_Toc120731195"/>
      <w:bookmarkStart w:id="70" w:name="_Toc120736863"/>
      <w:bookmarkStart w:id="71" w:name="_Toc120895471"/>
      <w:bookmarkStart w:id="72" w:name="_Toc120895633"/>
      <w:bookmarkStart w:id="73" w:name="_Toc120731196"/>
      <w:bookmarkStart w:id="74" w:name="_Toc121386355"/>
      <w:bookmarkStart w:id="75" w:name="_Toc121489576"/>
      <w:bookmarkStart w:id="76" w:name="_Toc121496328"/>
      <w:bookmarkStart w:id="77" w:name="_Toc121747994"/>
      <w:bookmarkStart w:id="78" w:name="_Toc133435347"/>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3B11BD">
        <w:rPr>
          <w:noProof/>
          <w:lang w:val="en-IE"/>
        </w:rPr>
        <w:t>Drivers of the problem</w:t>
      </w:r>
      <w:bookmarkEnd w:id="73"/>
      <w:bookmarkEnd w:id="74"/>
      <w:bookmarkEnd w:id="75"/>
      <w:bookmarkEnd w:id="76"/>
      <w:bookmarkEnd w:id="77"/>
      <w:bookmarkEnd w:id="78"/>
    </w:p>
    <w:p w14:paraId="1D913D2B" w14:textId="2AA7D0B4" w:rsidR="00E22B6B" w:rsidRPr="003B11BD" w:rsidRDefault="00E22B6B" w:rsidP="00E22B6B">
      <w:pPr>
        <w:spacing w:after="120"/>
        <w:rPr>
          <w:noProof/>
          <w:color w:val="000000" w:themeColor="text1"/>
          <w:lang w:val="en-IE"/>
        </w:rPr>
      </w:pPr>
      <w:r w:rsidRPr="003B11BD">
        <w:rPr>
          <w:noProof/>
          <w:color w:val="000000" w:themeColor="text1"/>
          <w:lang w:val="en-IE"/>
        </w:rPr>
        <w:t>The identified problem</w:t>
      </w:r>
      <w:r w:rsidR="009A0F2F" w:rsidRPr="003B11BD">
        <w:rPr>
          <w:noProof/>
          <w:color w:val="000000" w:themeColor="text1"/>
          <w:lang w:val="en-IE"/>
        </w:rPr>
        <w:t xml:space="preserve">, its drivers, as well as </w:t>
      </w:r>
      <w:r w:rsidRPr="003B11BD">
        <w:rPr>
          <w:noProof/>
          <w:color w:val="000000" w:themeColor="text1"/>
          <w:lang w:val="en-IE"/>
        </w:rPr>
        <w:t xml:space="preserve">consequences are presented </w:t>
      </w:r>
      <w:r w:rsidR="005F1C14" w:rsidRPr="003B11BD">
        <w:rPr>
          <w:noProof/>
          <w:color w:val="000000" w:themeColor="text1"/>
          <w:lang w:val="en-IE"/>
        </w:rPr>
        <w:t>i</w:t>
      </w:r>
      <w:r w:rsidRPr="003B11BD">
        <w:rPr>
          <w:noProof/>
          <w:color w:val="000000" w:themeColor="text1"/>
          <w:lang w:val="en-IE"/>
        </w:rPr>
        <w:t>n</w:t>
      </w:r>
      <w:r w:rsidR="005F1C14" w:rsidRPr="003B11BD">
        <w:rPr>
          <w:noProof/>
          <w:color w:val="000000" w:themeColor="text1"/>
          <w:lang w:val="en-IE"/>
        </w:rPr>
        <w:t xml:space="preserve"> </w:t>
      </w:r>
      <w:r w:rsidR="005F1C14" w:rsidRPr="003B11BD">
        <w:rPr>
          <w:noProof/>
          <w:color w:val="000000" w:themeColor="text1"/>
          <w:lang w:val="en-IE"/>
        </w:rPr>
        <w:fldChar w:fldCharType="begin"/>
      </w:r>
      <w:r w:rsidR="005F1C14" w:rsidRPr="003B11BD">
        <w:rPr>
          <w:noProof/>
          <w:color w:val="000000" w:themeColor="text1"/>
          <w:lang w:val="en-IE"/>
        </w:rPr>
        <w:instrText xml:space="preserve"> REF _Ref121486133 \h </w:instrText>
      </w:r>
      <w:r w:rsidR="0010202B" w:rsidRPr="003B11BD">
        <w:rPr>
          <w:noProof/>
          <w:color w:val="000000" w:themeColor="text1"/>
          <w:lang w:val="en-IE"/>
        </w:rPr>
        <w:instrText xml:space="preserve"> \* MERGEFORMAT </w:instrText>
      </w:r>
      <w:r w:rsidR="005F1C14" w:rsidRPr="003B11BD">
        <w:rPr>
          <w:noProof/>
          <w:color w:val="000000" w:themeColor="text1"/>
          <w:lang w:val="en-IE"/>
        </w:rPr>
      </w:r>
      <w:r w:rsidR="005F1C14" w:rsidRPr="003B11BD">
        <w:rPr>
          <w:noProof/>
          <w:color w:val="000000" w:themeColor="text1"/>
          <w:lang w:val="en-IE"/>
        </w:rPr>
        <w:fldChar w:fldCharType="separate"/>
      </w:r>
      <w:r w:rsidR="00C6592A" w:rsidRPr="003B11BD">
        <w:rPr>
          <w:noProof/>
          <w:lang w:val="en-IE"/>
        </w:rPr>
        <w:t xml:space="preserve">Figure </w:t>
      </w:r>
      <w:r w:rsidR="005F1C14" w:rsidRPr="003B11BD">
        <w:rPr>
          <w:noProof/>
          <w:color w:val="000000" w:themeColor="text1"/>
          <w:lang w:val="en-IE"/>
        </w:rPr>
        <w:fldChar w:fldCharType="end"/>
      </w:r>
      <w:r w:rsidR="00C92245" w:rsidRPr="003B11BD">
        <w:rPr>
          <w:noProof/>
          <w:color w:val="000000" w:themeColor="text1"/>
          <w:lang w:val="en-IE"/>
        </w:rPr>
        <w:fldChar w:fldCharType="begin"/>
      </w:r>
      <w:r w:rsidR="00C92245" w:rsidRPr="003B11BD">
        <w:rPr>
          <w:noProof/>
          <w:color w:val="000000" w:themeColor="text1"/>
          <w:lang w:val="en-IE"/>
        </w:rPr>
        <w:instrText xml:space="preserve"> REF _Ref122292542 \h </w:instrText>
      </w:r>
      <w:r w:rsidR="0010202B" w:rsidRPr="003B11BD">
        <w:rPr>
          <w:noProof/>
          <w:color w:val="000000" w:themeColor="text1"/>
          <w:lang w:val="en-IE"/>
        </w:rPr>
        <w:instrText xml:space="preserve"> \* MERGEFORMAT </w:instrText>
      </w:r>
      <w:r w:rsidR="00C92245" w:rsidRPr="003B11BD">
        <w:rPr>
          <w:noProof/>
          <w:color w:val="000000" w:themeColor="text1"/>
          <w:lang w:val="en-IE"/>
        </w:rPr>
      </w:r>
      <w:r w:rsidR="00C92245" w:rsidRPr="003B11BD">
        <w:rPr>
          <w:noProof/>
          <w:color w:val="000000" w:themeColor="text1"/>
          <w:lang w:val="en-IE"/>
        </w:rPr>
        <w:fldChar w:fldCharType="separate"/>
      </w:r>
      <w:r w:rsidR="00C6592A" w:rsidRPr="003B11BD">
        <w:rPr>
          <w:noProof/>
          <w:lang w:val="en-IE"/>
        </w:rPr>
        <w:t xml:space="preserve">Figure </w:t>
      </w:r>
      <w:r w:rsidR="00C6592A">
        <w:rPr>
          <w:noProof/>
          <w:lang w:val="en-IE"/>
        </w:rPr>
        <w:t>4</w:t>
      </w:r>
      <w:r w:rsidR="00C92245" w:rsidRPr="003B11BD">
        <w:rPr>
          <w:noProof/>
          <w:color w:val="000000" w:themeColor="text1"/>
          <w:lang w:val="en-IE"/>
        </w:rPr>
        <w:fldChar w:fldCharType="end"/>
      </w:r>
      <w:r w:rsidR="003B6B78" w:rsidRPr="003B11BD">
        <w:rPr>
          <w:noProof/>
          <w:color w:val="000000" w:themeColor="text1"/>
          <w:lang w:val="en-IE"/>
        </w:rPr>
        <w:t>.</w:t>
      </w:r>
    </w:p>
    <w:p w14:paraId="67E467F2" w14:textId="7A3919CE" w:rsidR="00E22B6B" w:rsidRPr="003B11BD" w:rsidRDefault="00E22B6B" w:rsidP="00E22B6B">
      <w:pPr>
        <w:pStyle w:val="Caption"/>
        <w:keepNext/>
        <w:rPr>
          <w:noProof/>
          <w:lang w:val="en-IE"/>
        </w:rPr>
      </w:pPr>
      <w:bookmarkStart w:id="79" w:name="_Ref120006028"/>
      <w:bookmarkStart w:id="80" w:name="_Ref121486133"/>
      <w:bookmarkStart w:id="81" w:name="_Ref122292542"/>
      <w:r w:rsidRPr="003B11BD">
        <w:rPr>
          <w:noProof/>
          <w:lang w:val="en-IE"/>
        </w:rPr>
        <w:t xml:space="preserve">Figure </w:t>
      </w:r>
      <w:bookmarkEnd w:id="79"/>
      <w:bookmarkEnd w:id="80"/>
      <w:r w:rsidR="00C6592A">
        <w:rPr>
          <w:noProof/>
          <w:lang w:val="en-IE"/>
        </w:rPr>
        <w:t>4</w:t>
      </w:r>
      <w:bookmarkEnd w:id="81"/>
      <w:r w:rsidRPr="003B11BD">
        <w:rPr>
          <w:noProof/>
          <w:lang w:val="en-IE"/>
        </w:rPr>
        <w:t>: Problem tree</w:t>
      </w:r>
    </w:p>
    <w:p w14:paraId="3A1F05D1" w14:textId="34D70755" w:rsidR="00D830E1" w:rsidRPr="003B11BD" w:rsidRDefault="00D830E1" w:rsidP="009E37E8">
      <w:pPr>
        <w:rPr>
          <w:noProof/>
          <w:lang w:val="en-IE"/>
        </w:rPr>
      </w:pPr>
      <w:r w:rsidRPr="003B11BD">
        <w:rPr>
          <w:noProof/>
          <w:lang w:eastAsia="en-GB"/>
        </w:rPr>
        <w:drawing>
          <wp:inline distT="0" distB="0" distL="0" distR="0" wp14:anchorId="0D933AAD" wp14:editId="1D770C42">
            <wp:extent cx="5468109" cy="26937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8283" cy="2703712"/>
                    </a:xfrm>
                    <a:prstGeom prst="rect">
                      <a:avLst/>
                    </a:prstGeom>
                    <a:noFill/>
                  </pic:spPr>
                </pic:pic>
              </a:graphicData>
            </a:graphic>
          </wp:inline>
        </w:drawing>
      </w:r>
    </w:p>
    <w:p w14:paraId="4E285079" w14:textId="26585D56" w:rsidR="00E2457D" w:rsidRPr="003B11BD" w:rsidRDefault="00B77107" w:rsidP="00ED49E6">
      <w:pPr>
        <w:pStyle w:val="Heading3"/>
        <w:rPr>
          <w:noProof/>
        </w:rPr>
      </w:pPr>
      <w:bookmarkStart w:id="82" w:name="_Ref120002338"/>
      <w:bookmarkStart w:id="83" w:name="_Toc120731197"/>
      <w:bookmarkStart w:id="84" w:name="_Toc121386356"/>
      <w:bookmarkStart w:id="85" w:name="_Toc121489577"/>
      <w:bookmarkStart w:id="86" w:name="_Toc121496329"/>
      <w:bookmarkStart w:id="87" w:name="_Toc121747995"/>
      <w:bookmarkStart w:id="88" w:name="_Toc133435348"/>
      <w:r w:rsidRPr="003B11BD">
        <w:rPr>
          <w:noProof/>
        </w:rPr>
        <w:t>Divergent national schemes on compulsory licensing</w:t>
      </w:r>
      <w:bookmarkEnd w:id="82"/>
      <w:bookmarkEnd w:id="83"/>
      <w:bookmarkEnd w:id="84"/>
      <w:bookmarkEnd w:id="85"/>
      <w:bookmarkEnd w:id="86"/>
      <w:bookmarkEnd w:id="87"/>
      <w:bookmarkEnd w:id="88"/>
    </w:p>
    <w:p w14:paraId="6A0A0547" w14:textId="34825A21" w:rsidR="00D655DC" w:rsidRPr="003B11BD" w:rsidRDefault="00E52234" w:rsidP="00D655DC">
      <w:pPr>
        <w:rPr>
          <w:noProof/>
          <w:lang w:val="en-IE"/>
        </w:rPr>
      </w:pPr>
      <w:r w:rsidRPr="003B11BD">
        <w:rPr>
          <w:noProof/>
          <w:lang w:val="en-IE"/>
        </w:rPr>
        <w:t>T</w:t>
      </w:r>
      <w:r w:rsidR="009833CF" w:rsidRPr="003B11BD">
        <w:rPr>
          <w:noProof/>
          <w:lang w:val="en-IE"/>
        </w:rPr>
        <w:t>here is no</w:t>
      </w:r>
      <w:r w:rsidR="00421F7E" w:rsidRPr="003B11BD">
        <w:rPr>
          <w:noProof/>
          <w:lang w:val="en-IE"/>
        </w:rPr>
        <w:t xml:space="preserve"> harmonisation </w:t>
      </w:r>
      <w:r w:rsidRPr="003B11BD">
        <w:rPr>
          <w:noProof/>
          <w:lang w:val="en-IE"/>
        </w:rPr>
        <w:t xml:space="preserve">of </w:t>
      </w:r>
      <w:r w:rsidR="2E75049F" w:rsidRPr="003B11BD">
        <w:rPr>
          <w:noProof/>
          <w:lang w:val="en-IE"/>
        </w:rPr>
        <w:t>compulsory licen</w:t>
      </w:r>
      <w:r w:rsidR="4DEC0CEF" w:rsidRPr="003B11BD">
        <w:rPr>
          <w:noProof/>
          <w:lang w:val="en-IE"/>
        </w:rPr>
        <w:t>sing</w:t>
      </w:r>
      <w:r w:rsidR="2E75049F" w:rsidRPr="003B11BD">
        <w:rPr>
          <w:noProof/>
          <w:lang w:val="en-IE"/>
        </w:rPr>
        <w:t xml:space="preserve"> for the </w:t>
      </w:r>
      <w:r w:rsidR="594BBB60" w:rsidRPr="003B11BD">
        <w:rPr>
          <w:noProof/>
          <w:lang w:val="en-IE"/>
        </w:rPr>
        <w:t xml:space="preserve">EU </w:t>
      </w:r>
      <w:r w:rsidR="2E75049F" w:rsidRPr="003B11BD">
        <w:rPr>
          <w:noProof/>
          <w:lang w:val="en-IE"/>
        </w:rPr>
        <w:t xml:space="preserve">domestic market. The international framework includes some requirements that are mainly procedural. Outside these requirements, WTO members (including EU countries) retain a large margin of manoeuvre when deciding on their national compulsory licensing scheme. In the EU this results in a fragmented landscape when it comes to compulsory licensing </w:t>
      </w:r>
      <w:r w:rsidR="7DE39D45" w:rsidRPr="003B11BD">
        <w:rPr>
          <w:noProof/>
          <w:lang w:val="en-IE"/>
        </w:rPr>
        <w:t>for</w:t>
      </w:r>
      <w:r w:rsidR="2E75049F" w:rsidRPr="003B11BD">
        <w:rPr>
          <w:noProof/>
          <w:lang w:val="en-IE"/>
        </w:rPr>
        <w:t xml:space="preserve"> crisis</w:t>
      </w:r>
      <w:r w:rsidR="5995FD34" w:rsidRPr="003B11BD">
        <w:rPr>
          <w:noProof/>
          <w:lang w:val="en-IE"/>
        </w:rPr>
        <w:t xml:space="preserve"> management</w:t>
      </w:r>
      <w:r w:rsidR="009833CF" w:rsidRPr="003B11BD">
        <w:rPr>
          <w:noProof/>
          <w:lang w:val="en-IE"/>
        </w:rPr>
        <w:t>, especially concerning</w:t>
      </w:r>
      <w:r w:rsidR="2E75049F" w:rsidRPr="003B11BD">
        <w:rPr>
          <w:noProof/>
          <w:lang w:val="en-IE"/>
        </w:rPr>
        <w:t xml:space="preserve"> the trigger, </w:t>
      </w:r>
      <w:r w:rsidR="2F98B25C" w:rsidRPr="003B11BD">
        <w:rPr>
          <w:noProof/>
          <w:lang w:val="en-IE"/>
        </w:rPr>
        <w:t xml:space="preserve">the </w:t>
      </w:r>
      <w:r w:rsidR="2E75049F" w:rsidRPr="003B11BD">
        <w:rPr>
          <w:noProof/>
          <w:lang w:val="en-IE"/>
        </w:rPr>
        <w:t>scope,</w:t>
      </w:r>
      <w:r w:rsidR="2F98B25C" w:rsidRPr="003B11BD">
        <w:rPr>
          <w:noProof/>
          <w:lang w:val="en-IE"/>
        </w:rPr>
        <w:t xml:space="preserve"> the</w:t>
      </w:r>
      <w:r w:rsidR="2E75049F" w:rsidRPr="003B11BD">
        <w:rPr>
          <w:noProof/>
          <w:lang w:val="en-IE"/>
        </w:rPr>
        <w:t xml:space="preserve"> procedure</w:t>
      </w:r>
      <w:r w:rsidR="68AC3D1B" w:rsidRPr="003B11BD">
        <w:rPr>
          <w:noProof/>
          <w:lang w:val="en-IE"/>
        </w:rPr>
        <w:t xml:space="preserve"> and conditions</w:t>
      </w:r>
      <w:r w:rsidR="2E75049F" w:rsidRPr="003B11BD">
        <w:rPr>
          <w:noProof/>
          <w:lang w:val="en-IE"/>
        </w:rPr>
        <w:t xml:space="preserve"> of</w:t>
      </w:r>
      <w:r w:rsidR="1AD754A5" w:rsidRPr="003B11BD">
        <w:rPr>
          <w:noProof/>
          <w:lang w:val="en-IE"/>
        </w:rPr>
        <w:t xml:space="preserve"> national</w:t>
      </w:r>
      <w:r w:rsidR="2E75049F" w:rsidRPr="003B11BD">
        <w:rPr>
          <w:noProof/>
          <w:lang w:val="en-IE"/>
        </w:rPr>
        <w:t xml:space="preserve"> </w:t>
      </w:r>
      <w:r w:rsidR="00EB280E" w:rsidRPr="003B11BD">
        <w:rPr>
          <w:noProof/>
          <w:lang w:val="en-IE"/>
        </w:rPr>
        <w:t>rules</w:t>
      </w:r>
      <w:r w:rsidR="2E75049F" w:rsidRPr="003B11BD">
        <w:rPr>
          <w:noProof/>
          <w:lang w:val="en-IE"/>
        </w:rPr>
        <w:t xml:space="preserve"> </w:t>
      </w:r>
      <w:r w:rsidR="0093368F" w:rsidRPr="003B11BD">
        <w:rPr>
          <w:noProof/>
          <w:lang w:val="en-IE"/>
        </w:rPr>
        <w:t>(see</w:t>
      </w:r>
      <w:r w:rsidR="00407D2A" w:rsidRPr="003B11BD">
        <w:rPr>
          <w:noProof/>
          <w:lang w:val="en-IE"/>
        </w:rPr>
        <w:t xml:space="preserve"> Table 21</w:t>
      </w:r>
      <w:r w:rsidR="009833CF" w:rsidRPr="003B11BD">
        <w:rPr>
          <w:noProof/>
          <w:lang w:val="en-IE"/>
        </w:rPr>
        <w:t xml:space="preserve">, </w:t>
      </w:r>
      <w:r w:rsidR="0093368F" w:rsidRPr="003B11BD">
        <w:rPr>
          <w:noProof/>
          <w:lang w:val="en-IE"/>
        </w:rPr>
        <w:t>Annex</w:t>
      </w:r>
      <w:r w:rsidR="00003616" w:rsidRPr="003B11BD">
        <w:rPr>
          <w:noProof/>
          <w:lang w:val="en-IE"/>
        </w:rPr>
        <w:t xml:space="preserve"> </w:t>
      </w:r>
      <w:r w:rsidR="0003569A" w:rsidRPr="003B11BD">
        <w:rPr>
          <w:noProof/>
          <w:lang w:val="en-IE"/>
        </w:rPr>
        <w:t>6</w:t>
      </w:r>
      <w:r w:rsidR="0093368F" w:rsidRPr="003B11BD">
        <w:rPr>
          <w:noProof/>
          <w:lang w:val="en-IE"/>
        </w:rPr>
        <w:t>)</w:t>
      </w:r>
      <w:r w:rsidR="2E75049F" w:rsidRPr="003B11BD">
        <w:rPr>
          <w:noProof/>
          <w:lang w:val="en-IE"/>
        </w:rPr>
        <w:t>.</w:t>
      </w:r>
      <w:r w:rsidR="53394FF6" w:rsidRPr="003B11BD">
        <w:rPr>
          <w:noProof/>
          <w:lang w:val="en-IE"/>
        </w:rPr>
        <w:t xml:space="preserve"> </w:t>
      </w:r>
      <w:r w:rsidR="009C13D2" w:rsidRPr="003B11BD">
        <w:rPr>
          <w:noProof/>
          <w:lang w:val="en-IE"/>
        </w:rPr>
        <w:t xml:space="preserve">On compulsory licensing for export purposes, Article 31bis of the TRIPS Agreement has a more limited scope </w:t>
      </w:r>
      <w:r w:rsidR="3755286C" w:rsidRPr="003B11BD">
        <w:rPr>
          <w:noProof/>
          <w:lang w:val="en-IE"/>
        </w:rPr>
        <w:t xml:space="preserve">covering only pharmaceutical products </w:t>
      </w:r>
      <w:r w:rsidR="009C13D2" w:rsidRPr="003B11BD">
        <w:rPr>
          <w:noProof/>
          <w:lang w:val="en-IE"/>
        </w:rPr>
        <w:t xml:space="preserve">and provides for more stringent requirements. </w:t>
      </w:r>
      <w:r w:rsidR="2E47B7BE" w:rsidRPr="003B11BD">
        <w:rPr>
          <w:noProof/>
          <w:lang w:val="en-IE"/>
        </w:rPr>
        <w:t xml:space="preserve">EU </w:t>
      </w:r>
      <w:r w:rsidR="000C155F" w:rsidRPr="003B11BD">
        <w:rPr>
          <w:noProof/>
          <w:lang w:val="en-IE"/>
        </w:rPr>
        <w:t>Regulation (EC) No 816/2006</w:t>
      </w:r>
      <w:r w:rsidR="009C13D2" w:rsidRPr="003B11BD">
        <w:rPr>
          <w:noProof/>
          <w:lang w:val="en-IE"/>
        </w:rPr>
        <w:t xml:space="preserve"> harmonises national laws in the field and the margin of manoeuvre left to Member States is limited. However, </w:t>
      </w:r>
      <w:r w:rsidR="009833CF" w:rsidRPr="003B11BD">
        <w:rPr>
          <w:noProof/>
          <w:lang w:val="en-IE"/>
        </w:rPr>
        <w:t xml:space="preserve">its </w:t>
      </w:r>
      <w:r w:rsidR="009C13D2" w:rsidRPr="003B11BD">
        <w:rPr>
          <w:noProof/>
          <w:lang w:val="en-IE"/>
        </w:rPr>
        <w:t xml:space="preserve">application </w:t>
      </w:r>
      <w:r w:rsidR="00B75B49" w:rsidRPr="003B11BD">
        <w:rPr>
          <w:noProof/>
          <w:lang w:val="en-IE"/>
        </w:rPr>
        <w:t>can</w:t>
      </w:r>
      <w:r w:rsidR="009C13D2" w:rsidRPr="003B11BD">
        <w:rPr>
          <w:noProof/>
          <w:lang w:val="en-IE"/>
        </w:rPr>
        <w:t xml:space="preserve"> still </w:t>
      </w:r>
      <w:r w:rsidR="00B75B49" w:rsidRPr="003B11BD">
        <w:rPr>
          <w:noProof/>
          <w:lang w:val="en-IE"/>
        </w:rPr>
        <w:t>slightly</w:t>
      </w:r>
      <w:r w:rsidR="009C13D2" w:rsidRPr="003B11BD">
        <w:rPr>
          <w:noProof/>
          <w:lang w:val="en-IE"/>
        </w:rPr>
        <w:t xml:space="preserve"> differ across Member States</w:t>
      </w:r>
      <w:r w:rsidR="00E24BB3" w:rsidRPr="003B11BD">
        <w:rPr>
          <w:noProof/>
          <w:lang w:val="en-IE"/>
        </w:rPr>
        <w:t>, and in particular when it comes to national pr</w:t>
      </w:r>
      <w:r w:rsidR="00AA6621" w:rsidRPr="003B11BD">
        <w:rPr>
          <w:noProof/>
          <w:lang w:val="en-IE"/>
        </w:rPr>
        <w:t>actices and conditions</w:t>
      </w:r>
      <w:r w:rsidR="00E24BB3" w:rsidRPr="003B11BD">
        <w:rPr>
          <w:noProof/>
          <w:lang w:val="en-IE"/>
        </w:rPr>
        <w:t>.</w:t>
      </w:r>
    </w:p>
    <w:p w14:paraId="300760E8" w14:textId="4519EC9E" w:rsidR="004F6277" w:rsidRPr="003B11BD" w:rsidRDefault="005020D9" w:rsidP="005E35C7">
      <w:pPr>
        <w:pStyle w:val="annexsubsection"/>
      </w:pPr>
      <w:r w:rsidRPr="003B11BD">
        <w:t>Trigger</w:t>
      </w:r>
    </w:p>
    <w:p w14:paraId="7B3420F6" w14:textId="734F2382" w:rsidR="00466091" w:rsidRPr="003B11BD" w:rsidRDefault="22F9F815" w:rsidP="00466091">
      <w:pPr>
        <w:rPr>
          <w:noProof/>
          <w:lang w:val="en-IE"/>
        </w:rPr>
      </w:pPr>
      <w:r w:rsidRPr="003B11BD">
        <w:rPr>
          <w:noProof/>
          <w:lang w:val="en-IE"/>
        </w:rPr>
        <w:t>The international framework on compulsory licensing does not prescribe the reasons for which a compulsory licence can be granted for the domestic market</w:t>
      </w:r>
      <w:r w:rsidR="00466091" w:rsidRPr="003B11BD">
        <w:rPr>
          <w:rStyle w:val="FootnoteReference"/>
          <w:noProof/>
          <w:lang w:val="en-IE"/>
        </w:rPr>
        <w:footnoteReference w:id="40"/>
      </w:r>
      <w:r w:rsidRPr="003B11BD">
        <w:rPr>
          <w:noProof/>
          <w:lang w:val="en-IE"/>
        </w:rPr>
        <w:t xml:space="preserve">. </w:t>
      </w:r>
      <w:r w:rsidR="5E73E8E1" w:rsidRPr="003B11BD">
        <w:rPr>
          <w:noProof/>
          <w:lang w:val="en-IE"/>
        </w:rPr>
        <w:t xml:space="preserve">Member States </w:t>
      </w:r>
      <w:r w:rsidRPr="003B11BD">
        <w:rPr>
          <w:noProof/>
          <w:lang w:val="en-IE"/>
        </w:rPr>
        <w:t>usually allow compulsory licence when the patent</w:t>
      </w:r>
      <w:r w:rsidR="005B7463" w:rsidRPr="003B11BD">
        <w:rPr>
          <w:noProof/>
          <w:lang w:val="en-IE"/>
        </w:rPr>
        <w:t xml:space="preserve"> is not used on their territory</w:t>
      </w:r>
      <w:r w:rsidRPr="003B11BD">
        <w:rPr>
          <w:noProof/>
          <w:lang w:val="en-IE"/>
        </w:rPr>
        <w:t>, in case of dependency of patents</w:t>
      </w:r>
      <w:r w:rsidR="00466091" w:rsidRPr="003B11BD">
        <w:rPr>
          <w:rStyle w:val="FootnoteReference"/>
          <w:noProof/>
          <w:lang w:val="en-IE"/>
        </w:rPr>
        <w:footnoteReference w:id="41"/>
      </w:r>
      <w:r w:rsidRPr="003B11BD">
        <w:rPr>
          <w:noProof/>
          <w:lang w:val="en-IE"/>
        </w:rPr>
        <w:t xml:space="preserve"> or for public interest reasons</w:t>
      </w:r>
      <w:r w:rsidR="003C205F" w:rsidRPr="003B11BD">
        <w:rPr>
          <w:rStyle w:val="FootnoteReference"/>
          <w:noProof/>
          <w:lang w:val="en-IE"/>
        </w:rPr>
        <w:footnoteReference w:id="42"/>
      </w:r>
      <w:r w:rsidRPr="003B11BD">
        <w:rPr>
          <w:noProof/>
          <w:lang w:val="en-IE"/>
        </w:rPr>
        <w:t xml:space="preserve">. This latter category is relevant as regards compulsory licensing for crisis management. </w:t>
      </w:r>
      <w:r w:rsidR="17C0CF08" w:rsidRPr="003B11BD">
        <w:rPr>
          <w:noProof/>
          <w:lang w:val="en-IE"/>
        </w:rPr>
        <w:t xml:space="preserve">Most Member States </w:t>
      </w:r>
      <w:r w:rsidR="1DE8CAF1" w:rsidRPr="003B11BD">
        <w:rPr>
          <w:noProof/>
          <w:lang w:val="en-IE"/>
        </w:rPr>
        <w:t xml:space="preserve">have </w:t>
      </w:r>
      <w:r w:rsidRPr="003B11BD">
        <w:rPr>
          <w:noProof/>
          <w:lang w:val="en-IE"/>
        </w:rPr>
        <w:t>general provisions allowing compulsory licensing for “public interest” or “national emergency”</w:t>
      </w:r>
      <w:r w:rsidR="00466091" w:rsidRPr="003B11BD">
        <w:rPr>
          <w:rStyle w:val="FootnoteReference"/>
          <w:noProof/>
          <w:lang w:val="en-IE"/>
        </w:rPr>
        <w:footnoteReference w:id="43"/>
      </w:r>
      <w:r w:rsidR="698B48C4" w:rsidRPr="003B11BD">
        <w:rPr>
          <w:noProof/>
          <w:lang w:val="en-IE"/>
        </w:rPr>
        <w:t xml:space="preserve">. </w:t>
      </w:r>
      <w:r w:rsidR="1B16704C" w:rsidRPr="003B11BD">
        <w:rPr>
          <w:noProof/>
          <w:lang w:val="en-IE"/>
        </w:rPr>
        <w:t>W</w:t>
      </w:r>
      <w:r w:rsidR="698B48C4" w:rsidRPr="003B11BD">
        <w:rPr>
          <w:noProof/>
          <w:lang w:val="en-IE"/>
        </w:rPr>
        <w:t>ith few examples of use across Member States</w:t>
      </w:r>
      <w:r w:rsidR="1B16704C" w:rsidRPr="003B11BD">
        <w:rPr>
          <w:noProof/>
          <w:lang w:val="en-IE"/>
        </w:rPr>
        <w:t>,</w:t>
      </w:r>
      <w:r w:rsidR="2205BDAA" w:rsidRPr="003B11BD">
        <w:rPr>
          <w:noProof/>
          <w:lang w:val="en-IE"/>
        </w:rPr>
        <w:t xml:space="preserve"> i</w:t>
      </w:r>
      <w:r w:rsidR="698B48C4" w:rsidRPr="003B11BD">
        <w:rPr>
          <w:noProof/>
          <w:lang w:val="en-IE"/>
        </w:rPr>
        <w:t xml:space="preserve">t is </w:t>
      </w:r>
      <w:r w:rsidR="4B0CEFD2" w:rsidRPr="003B11BD">
        <w:rPr>
          <w:noProof/>
          <w:lang w:val="en-IE"/>
        </w:rPr>
        <w:t xml:space="preserve">however </w:t>
      </w:r>
      <w:r w:rsidR="698B48C4" w:rsidRPr="003B11BD">
        <w:rPr>
          <w:noProof/>
          <w:lang w:val="en-IE"/>
        </w:rPr>
        <w:t>difficult to assess how the</w:t>
      </w:r>
      <w:r w:rsidR="2205BDAA" w:rsidRPr="003B11BD">
        <w:rPr>
          <w:noProof/>
          <w:lang w:val="en-IE"/>
        </w:rPr>
        <w:t>se</w:t>
      </w:r>
      <w:r w:rsidR="698B48C4" w:rsidRPr="003B11BD">
        <w:rPr>
          <w:noProof/>
          <w:lang w:val="en-IE"/>
        </w:rPr>
        <w:t xml:space="preserve"> national provisions </w:t>
      </w:r>
      <w:r w:rsidR="53534EE7" w:rsidRPr="003B11BD">
        <w:rPr>
          <w:noProof/>
          <w:lang w:val="en-IE"/>
        </w:rPr>
        <w:t>are used in practice and how they apply to crises</w:t>
      </w:r>
      <w:r w:rsidR="432CE0FA" w:rsidRPr="003B11BD">
        <w:rPr>
          <w:noProof/>
          <w:lang w:val="en-IE"/>
        </w:rPr>
        <w:t>.</w:t>
      </w:r>
      <w:r w:rsidR="19139D70" w:rsidRPr="003B11BD">
        <w:rPr>
          <w:noProof/>
          <w:lang w:val="en-IE"/>
        </w:rPr>
        <w:t xml:space="preserve"> </w:t>
      </w:r>
      <w:r w:rsidR="6BB9F1F3" w:rsidRPr="003B11BD">
        <w:rPr>
          <w:noProof/>
          <w:lang w:val="en-IE"/>
        </w:rPr>
        <w:t>In contrast to these general clauses, s</w:t>
      </w:r>
      <w:r w:rsidRPr="003B11BD">
        <w:rPr>
          <w:noProof/>
          <w:lang w:val="en-IE"/>
        </w:rPr>
        <w:t xml:space="preserve">ome </w:t>
      </w:r>
      <w:r w:rsidR="6BB9F1F3" w:rsidRPr="003B11BD">
        <w:rPr>
          <w:noProof/>
          <w:lang w:val="en-IE"/>
        </w:rPr>
        <w:t>Member States</w:t>
      </w:r>
      <w:r w:rsidRPr="003B11BD">
        <w:rPr>
          <w:noProof/>
          <w:lang w:val="en-IE"/>
        </w:rPr>
        <w:t xml:space="preserve"> only allow compulsory licensing for specific crises, typically health crises (i.e. B</w:t>
      </w:r>
      <w:r w:rsidR="00A37E88" w:rsidRPr="003B11BD">
        <w:rPr>
          <w:noProof/>
          <w:lang w:val="en-IE"/>
        </w:rPr>
        <w:t>E</w:t>
      </w:r>
      <w:r w:rsidRPr="003B11BD">
        <w:rPr>
          <w:noProof/>
          <w:lang w:val="en-IE"/>
        </w:rPr>
        <w:t>, H</w:t>
      </w:r>
      <w:r w:rsidR="00A37E88" w:rsidRPr="003B11BD">
        <w:rPr>
          <w:noProof/>
          <w:lang w:val="en-IE"/>
        </w:rPr>
        <w:t>U</w:t>
      </w:r>
      <w:r w:rsidRPr="003B11BD">
        <w:rPr>
          <w:noProof/>
          <w:lang w:val="en-IE"/>
        </w:rPr>
        <w:t xml:space="preserve"> and </w:t>
      </w:r>
      <w:r w:rsidR="002A4049" w:rsidRPr="003B11BD">
        <w:rPr>
          <w:noProof/>
          <w:lang w:val="en-IE"/>
        </w:rPr>
        <w:t>IT</w:t>
      </w:r>
      <w:r w:rsidRPr="003B11BD">
        <w:rPr>
          <w:noProof/>
          <w:lang w:val="en-IE"/>
        </w:rPr>
        <w:t>)</w:t>
      </w:r>
      <w:r w:rsidR="00466091" w:rsidRPr="003B11BD">
        <w:rPr>
          <w:rStyle w:val="FootnoteReference"/>
          <w:noProof/>
          <w:lang w:val="en-IE"/>
        </w:rPr>
        <w:footnoteReference w:id="44"/>
      </w:r>
      <w:r w:rsidRPr="003B11BD">
        <w:rPr>
          <w:noProof/>
          <w:lang w:val="en-IE"/>
        </w:rPr>
        <w:t xml:space="preserve">. </w:t>
      </w:r>
      <w:r w:rsidR="002A4049" w:rsidRPr="003B11BD">
        <w:rPr>
          <w:noProof/>
          <w:lang w:val="en-IE"/>
        </w:rPr>
        <w:t>IE</w:t>
      </w:r>
      <w:r w:rsidRPr="003B11BD">
        <w:rPr>
          <w:noProof/>
          <w:lang w:val="en-IE"/>
        </w:rPr>
        <w:t xml:space="preserve"> is the only </w:t>
      </w:r>
      <w:r w:rsidR="33E47F2F" w:rsidRPr="003B11BD">
        <w:rPr>
          <w:noProof/>
          <w:lang w:val="en-IE"/>
        </w:rPr>
        <w:t>Member State</w:t>
      </w:r>
      <w:r w:rsidRPr="003B11BD">
        <w:rPr>
          <w:noProof/>
          <w:lang w:val="en-IE"/>
        </w:rPr>
        <w:t xml:space="preserve"> not providing for the possibility to grant a compulsory licence for crisis management. </w:t>
      </w:r>
      <w:r w:rsidR="39357943" w:rsidRPr="003B11BD">
        <w:rPr>
          <w:noProof/>
          <w:lang w:val="en-IE"/>
        </w:rPr>
        <w:t xml:space="preserve">In conclusion, not all Member States provide for compulsory </w:t>
      </w:r>
      <w:r w:rsidR="00C55853" w:rsidRPr="003B11BD">
        <w:rPr>
          <w:noProof/>
          <w:lang w:val="en-IE"/>
        </w:rPr>
        <w:t>licensing</w:t>
      </w:r>
      <w:r w:rsidR="39357943" w:rsidRPr="003B11BD">
        <w:rPr>
          <w:noProof/>
          <w:lang w:val="en-IE"/>
        </w:rPr>
        <w:t xml:space="preserve"> for crisis management, some do </w:t>
      </w:r>
      <w:r w:rsidR="12187E75" w:rsidRPr="003B11BD">
        <w:rPr>
          <w:noProof/>
          <w:lang w:val="en-IE"/>
        </w:rPr>
        <w:t xml:space="preserve">only for certain types of crises </w:t>
      </w:r>
      <w:r w:rsidR="00647D4D" w:rsidRPr="003B11BD">
        <w:rPr>
          <w:noProof/>
          <w:lang w:val="en-IE"/>
        </w:rPr>
        <w:t xml:space="preserve">(i.e. health) </w:t>
      </w:r>
      <w:r w:rsidR="2D060C5C" w:rsidRPr="003B11BD">
        <w:rPr>
          <w:noProof/>
          <w:lang w:val="en-IE"/>
        </w:rPr>
        <w:t>while other provide for general basis</w:t>
      </w:r>
      <w:r w:rsidR="7E0C0D02" w:rsidRPr="003B11BD">
        <w:rPr>
          <w:noProof/>
          <w:lang w:val="en-IE"/>
        </w:rPr>
        <w:t>, differently worded, for which uncertainty remains as to their concrete application to crisis</w:t>
      </w:r>
      <w:r w:rsidRPr="003B11BD">
        <w:rPr>
          <w:noProof/>
          <w:lang w:val="en-IE"/>
        </w:rPr>
        <w:t xml:space="preserve"> </w:t>
      </w:r>
      <w:r w:rsidR="46E97392" w:rsidRPr="003B11BD">
        <w:rPr>
          <w:noProof/>
          <w:lang w:val="en-IE"/>
        </w:rPr>
        <w:t>(</w:t>
      </w:r>
      <w:r w:rsidR="00FA439E" w:rsidRPr="003B11BD">
        <w:rPr>
          <w:noProof/>
          <w:lang w:val="en-IE"/>
        </w:rPr>
        <w:t>see</w:t>
      </w:r>
      <w:r w:rsidR="00FA5AE5" w:rsidRPr="003B11BD">
        <w:rPr>
          <w:noProof/>
          <w:lang w:val="en-IE"/>
        </w:rPr>
        <w:t xml:space="preserve"> </w:t>
      </w:r>
      <w:r w:rsidR="00AE2EF6" w:rsidRPr="003B11BD">
        <w:rPr>
          <w:noProof/>
          <w:lang w:val="en-IE"/>
        </w:rPr>
        <w:t>Table 19</w:t>
      </w:r>
      <w:r w:rsidR="002B690A">
        <w:rPr>
          <w:noProof/>
          <w:lang w:val="en-IE"/>
        </w:rPr>
        <w:t xml:space="preserve"> </w:t>
      </w:r>
      <w:r w:rsidR="00FB4447" w:rsidRPr="003B11BD">
        <w:rPr>
          <w:noProof/>
          <w:lang w:val="en-IE"/>
        </w:rPr>
        <w:t>in Annex 6</w:t>
      </w:r>
      <w:r w:rsidR="46E97392" w:rsidRPr="003B11BD">
        <w:rPr>
          <w:noProof/>
          <w:lang w:val="en-IE"/>
        </w:rPr>
        <w:t>)</w:t>
      </w:r>
      <w:r w:rsidR="00D47084" w:rsidRPr="003B11BD">
        <w:rPr>
          <w:noProof/>
          <w:lang w:val="en-IE"/>
        </w:rPr>
        <w:t>.</w:t>
      </w:r>
      <w:r w:rsidR="00EA5172" w:rsidRPr="003B11BD">
        <w:rPr>
          <w:noProof/>
          <w:lang w:val="en-IE"/>
        </w:rPr>
        <w:t xml:space="preserve"> </w:t>
      </w:r>
    </w:p>
    <w:p w14:paraId="128D888B" w14:textId="2D58CE1D" w:rsidR="00466091" w:rsidRPr="003B11BD" w:rsidRDefault="002E1AF3" w:rsidP="00466091">
      <w:pPr>
        <w:pBdr>
          <w:top w:val="single" w:sz="4" w:space="1" w:color="auto"/>
          <w:left w:val="single" w:sz="4" w:space="4" w:color="auto"/>
          <w:bottom w:val="single" w:sz="4" w:space="1" w:color="auto"/>
          <w:right w:val="single" w:sz="4" w:space="4" w:color="auto"/>
        </w:pBdr>
        <w:shd w:val="clear" w:color="auto" w:fill="D9D9D9" w:themeFill="background1" w:themeFillShade="D9"/>
        <w:rPr>
          <w:noProof/>
          <w:sz w:val="22"/>
          <w:szCs w:val="22"/>
          <w:lang w:val="en-IE"/>
        </w:rPr>
      </w:pPr>
      <w:r w:rsidRPr="003B11BD">
        <w:rPr>
          <w:b/>
          <w:bCs/>
          <w:i/>
          <w:iCs/>
          <w:noProof/>
          <w:sz w:val="22"/>
          <w:szCs w:val="22"/>
          <w:lang w:val="en-IE"/>
        </w:rPr>
        <w:t>Concretely</w:t>
      </w:r>
      <w:r w:rsidRPr="003B11BD">
        <w:rPr>
          <w:noProof/>
          <w:sz w:val="22"/>
          <w:szCs w:val="22"/>
          <w:lang w:val="en-IE"/>
        </w:rPr>
        <w:t>, if</w:t>
      </w:r>
      <w:r w:rsidR="00466091" w:rsidRPr="003B11BD">
        <w:rPr>
          <w:noProof/>
          <w:sz w:val="22"/>
          <w:szCs w:val="22"/>
          <w:lang w:val="en-IE"/>
        </w:rPr>
        <w:t xml:space="preserve"> there is an environmental crisis </w:t>
      </w:r>
      <w:r w:rsidR="00200CE1" w:rsidRPr="003B11BD">
        <w:rPr>
          <w:noProof/>
          <w:sz w:val="22"/>
          <w:szCs w:val="22"/>
          <w:lang w:val="en-IE"/>
        </w:rPr>
        <w:t xml:space="preserve">(e.g. flood, river pollution) </w:t>
      </w:r>
      <w:r w:rsidR="00466091" w:rsidRPr="003B11BD">
        <w:rPr>
          <w:noProof/>
          <w:sz w:val="22"/>
          <w:szCs w:val="22"/>
          <w:lang w:val="en-IE"/>
        </w:rPr>
        <w:t xml:space="preserve">affecting </w:t>
      </w:r>
      <w:r w:rsidR="00BE65B2" w:rsidRPr="003B11BD">
        <w:rPr>
          <w:noProof/>
          <w:sz w:val="22"/>
          <w:szCs w:val="22"/>
          <w:lang w:val="en-IE"/>
        </w:rPr>
        <w:t xml:space="preserve">several Member States and the manufacturing capacities of the critical product are spread across </w:t>
      </w:r>
      <w:r w:rsidR="008D00F0" w:rsidRPr="003B11BD">
        <w:rPr>
          <w:noProof/>
          <w:sz w:val="22"/>
          <w:szCs w:val="22"/>
          <w:lang w:val="en-IE"/>
        </w:rPr>
        <w:t>BE</w:t>
      </w:r>
      <w:r w:rsidR="00466091" w:rsidRPr="003B11BD">
        <w:rPr>
          <w:noProof/>
          <w:sz w:val="22"/>
          <w:szCs w:val="22"/>
          <w:lang w:val="en-IE"/>
        </w:rPr>
        <w:t xml:space="preserve">, </w:t>
      </w:r>
      <w:r w:rsidR="008D00F0" w:rsidRPr="003B11BD">
        <w:rPr>
          <w:noProof/>
          <w:sz w:val="22"/>
          <w:szCs w:val="22"/>
          <w:lang w:val="en-IE"/>
        </w:rPr>
        <w:t>E</w:t>
      </w:r>
      <w:r w:rsidR="00466091" w:rsidRPr="003B11BD">
        <w:rPr>
          <w:noProof/>
          <w:sz w:val="22"/>
          <w:szCs w:val="22"/>
          <w:lang w:val="en-IE"/>
        </w:rPr>
        <w:t xml:space="preserve">S and </w:t>
      </w:r>
      <w:r w:rsidR="00232875" w:rsidRPr="003B11BD">
        <w:rPr>
          <w:noProof/>
          <w:sz w:val="22"/>
          <w:szCs w:val="22"/>
          <w:lang w:val="en-IE"/>
        </w:rPr>
        <w:t>FR</w:t>
      </w:r>
      <w:r w:rsidR="008D00F0" w:rsidRPr="003B11BD">
        <w:rPr>
          <w:noProof/>
          <w:sz w:val="22"/>
          <w:szCs w:val="22"/>
          <w:lang w:val="en-IE"/>
        </w:rPr>
        <w:t>. I</w:t>
      </w:r>
      <w:r w:rsidR="00F62279" w:rsidRPr="003B11BD">
        <w:rPr>
          <w:noProof/>
          <w:sz w:val="22"/>
          <w:szCs w:val="22"/>
          <w:lang w:val="en-IE"/>
        </w:rPr>
        <w:t xml:space="preserve">ssuance of </w:t>
      </w:r>
      <w:r w:rsidR="001675B3" w:rsidRPr="003B11BD">
        <w:rPr>
          <w:noProof/>
          <w:sz w:val="22"/>
          <w:szCs w:val="22"/>
          <w:lang w:val="en-IE"/>
        </w:rPr>
        <w:t xml:space="preserve">compulsory licences </w:t>
      </w:r>
      <w:r w:rsidR="00672AB8" w:rsidRPr="003B11BD">
        <w:rPr>
          <w:noProof/>
          <w:sz w:val="22"/>
          <w:szCs w:val="22"/>
          <w:lang w:val="en-IE"/>
        </w:rPr>
        <w:t>w</w:t>
      </w:r>
      <w:r w:rsidR="00FE1B8E" w:rsidRPr="003B11BD">
        <w:rPr>
          <w:noProof/>
          <w:sz w:val="22"/>
          <w:szCs w:val="22"/>
          <w:lang w:val="en-IE"/>
        </w:rPr>
        <w:t xml:space="preserve">ould not </w:t>
      </w:r>
      <w:r w:rsidR="00672AB8" w:rsidRPr="003B11BD">
        <w:rPr>
          <w:noProof/>
          <w:sz w:val="22"/>
          <w:szCs w:val="22"/>
          <w:lang w:val="en-IE"/>
        </w:rPr>
        <w:t>provide a solution</w:t>
      </w:r>
      <w:r w:rsidR="00003616" w:rsidRPr="003B11BD">
        <w:rPr>
          <w:noProof/>
          <w:sz w:val="22"/>
          <w:szCs w:val="22"/>
          <w:lang w:val="en-IE"/>
        </w:rPr>
        <w:t xml:space="preserve">, </w:t>
      </w:r>
      <w:r w:rsidR="00FE1B8E" w:rsidRPr="003B11BD">
        <w:rPr>
          <w:noProof/>
          <w:sz w:val="22"/>
          <w:szCs w:val="22"/>
          <w:lang w:val="en-IE"/>
        </w:rPr>
        <w:t xml:space="preserve">as </w:t>
      </w:r>
      <w:r w:rsidR="008D00F0" w:rsidRPr="003B11BD">
        <w:rPr>
          <w:noProof/>
          <w:sz w:val="22"/>
          <w:szCs w:val="22"/>
          <w:lang w:val="en-IE"/>
        </w:rPr>
        <w:t>BE</w:t>
      </w:r>
      <w:r w:rsidR="00466091" w:rsidRPr="003B11BD">
        <w:rPr>
          <w:noProof/>
          <w:sz w:val="22"/>
          <w:szCs w:val="22"/>
          <w:lang w:val="en-IE"/>
        </w:rPr>
        <w:t xml:space="preserve"> </w:t>
      </w:r>
      <w:r w:rsidR="00FE1B8E" w:rsidRPr="003B11BD">
        <w:rPr>
          <w:noProof/>
          <w:sz w:val="22"/>
          <w:szCs w:val="22"/>
          <w:lang w:val="en-IE"/>
        </w:rPr>
        <w:t>does not allow</w:t>
      </w:r>
      <w:r w:rsidR="00466091" w:rsidRPr="003B11BD">
        <w:rPr>
          <w:noProof/>
          <w:sz w:val="22"/>
          <w:szCs w:val="22"/>
          <w:lang w:val="en-IE"/>
        </w:rPr>
        <w:t xml:space="preserve"> compulsory </w:t>
      </w:r>
      <w:r w:rsidR="00FE1B8E" w:rsidRPr="003B11BD">
        <w:rPr>
          <w:noProof/>
          <w:sz w:val="22"/>
          <w:szCs w:val="22"/>
          <w:lang w:val="en-IE"/>
        </w:rPr>
        <w:t>licensing for crises other than health crises</w:t>
      </w:r>
      <w:r w:rsidR="00466091" w:rsidRPr="003B11BD">
        <w:rPr>
          <w:noProof/>
          <w:sz w:val="22"/>
          <w:szCs w:val="22"/>
          <w:lang w:val="en-IE"/>
        </w:rPr>
        <w:t>.</w:t>
      </w:r>
    </w:p>
    <w:p w14:paraId="4C103828" w14:textId="183B0427" w:rsidR="00466091" w:rsidRPr="003B11BD" w:rsidRDefault="00E65568" w:rsidP="005E35C7">
      <w:pPr>
        <w:pStyle w:val="annexsubsection"/>
      </w:pPr>
      <w:r w:rsidRPr="003B11BD">
        <w:t>Scope</w:t>
      </w:r>
    </w:p>
    <w:p w14:paraId="0B4A483E" w14:textId="2320BEE1" w:rsidR="00E65568" w:rsidRPr="003B11BD" w:rsidRDefault="7E3EC45B" w:rsidP="00F12155">
      <w:pPr>
        <w:rPr>
          <w:noProof/>
          <w:lang w:val="en-IE"/>
        </w:rPr>
      </w:pPr>
      <w:r w:rsidRPr="003B11BD">
        <w:rPr>
          <w:noProof/>
          <w:lang w:val="en-IE"/>
        </w:rPr>
        <w:t xml:space="preserve">The scope of </w:t>
      </w:r>
      <w:r w:rsidR="76F91C54" w:rsidRPr="003B11BD">
        <w:rPr>
          <w:noProof/>
          <w:lang w:val="en-IE"/>
        </w:rPr>
        <w:t>a</w:t>
      </w:r>
      <w:r w:rsidRPr="003B11BD">
        <w:rPr>
          <w:noProof/>
          <w:lang w:val="en-IE"/>
        </w:rPr>
        <w:t xml:space="preserve"> compulsory licence refers</w:t>
      </w:r>
      <w:r w:rsidR="00DE689F" w:rsidRPr="003B11BD">
        <w:rPr>
          <w:noProof/>
          <w:lang w:val="en-IE"/>
        </w:rPr>
        <w:t xml:space="preserve"> here</w:t>
      </w:r>
      <w:r w:rsidRPr="003B11BD">
        <w:rPr>
          <w:noProof/>
          <w:lang w:val="en-IE"/>
        </w:rPr>
        <w:t xml:space="preserve"> to the type of IP rights it covers. This has an impact on the efficiency of the compulsory licence. For instance, ‘simple IP products’ such as water purification pills, valves for a respiratory device or masks can easily be replicated based on the patent. For complex products such as vaccines, access to trade secrets or secret know-how would be needed on top of patents. Finally, some crisis-relevant products are developed in such a short time span tha</w:t>
      </w:r>
      <w:r w:rsidR="5B8B62CA" w:rsidRPr="003B11BD">
        <w:rPr>
          <w:noProof/>
          <w:lang w:val="en-IE"/>
        </w:rPr>
        <w:t>t</w:t>
      </w:r>
      <w:r w:rsidRPr="003B11BD">
        <w:rPr>
          <w:noProof/>
          <w:lang w:val="en-IE"/>
        </w:rPr>
        <w:t xml:space="preserve"> </w:t>
      </w:r>
      <w:r w:rsidR="7A02E21B" w:rsidRPr="003B11BD">
        <w:rPr>
          <w:noProof/>
          <w:lang w:val="en-IE"/>
        </w:rPr>
        <w:t>the</w:t>
      </w:r>
      <w:r w:rsidR="30A3550A" w:rsidRPr="003B11BD">
        <w:rPr>
          <w:noProof/>
          <w:lang w:val="en-IE"/>
        </w:rPr>
        <w:t xml:space="preserve"> patent has n</w:t>
      </w:r>
      <w:r w:rsidR="6E835A8D" w:rsidRPr="003B11BD">
        <w:rPr>
          <w:noProof/>
          <w:lang w:val="en-IE"/>
        </w:rPr>
        <w:t>ot been granted</w:t>
      </w:r>
      <w:r w:rsidR="00AD7AEF" w:rsidRPr="003B11BD">
        <w:rPr>
          <w:noProof/>
          <w:lang w:val="en-IE"/>
        </w:rPr>
        <w:t xml:space="preserve"> yet</w:t>
      </w:r>
      <w:r w:rsidR="2FE5DEEE" w:rsidRPr="003B11BD">
        <w:rPr>
          <w:noProof/>
          <w:lang w:val="en-IE"/>
        </w:rPr>
        <w:t>. Only the</w:t>
      </w:r>
      <w:r w:rsidR="3FEF1490" w:rsidRPr="003B11BD">
        <w:rPr>
          <w:noProof/>
          <w:lang w:val="en-IE"/>
        </w:rPr>
        <w:t xml:space="preserve"> </w:t>
      </w:r>
      <w:r w:rsidR="42703D13" w:rsidRPr="003B11BD">
        <w:rPr>
          <w:noProof/>
          <w:lang w:val="en-IE"/>
        </w:rPr>
        <w:t>patent application</w:t>
      </w:r>
      <w:r w:rsidR="2FE5DEEE" w:rsidRPr="003B11BD">
        <w:rPr>
          <w:noProof/>
          <w:lang w:val="en-IE"/>
        </w:rPr>
        <w:t xml:space="preserve"> is available in such cases</w:t>
      </w:r>
      <w:r w:rsidRPr="003B11BD">
        <w:rPr>
          <w:noProof/>
          <w:lang w:val="en-IE"/>
        </w:rPr>
        <w:t>.</w:t>
      </w:r>
      <w:r w:rsidR="00F12155" w:rsidRPr="003B11BD">
        <w:rPr>
          <w:noProof/>
          <w:lang w:val="en-IE"/>
        </w:rPr>
        <w:t xml:space="preserve"> </w:t>
      </w:r>
      <w:r w:rsidR="00CD5321" w:rsidRPr="003B11BD">
        <w:rPr>
          <w:noProof/>
          <w:lang w:val="en-IE"/>
        </w:rPr>
        <w:t>Member States</w:t>
      </w:r>
      <w:r w:rsidR="00E65568" w:rsidRPr="003B11BD">
        <w:rPr>
          <w:noProof/>
          <w:lang w:val="en-IE"/>
        </w:rPr>
        <w:t xml:space="preserve"> take a</w:t>
      </w:r>
      <w:r w:rsidR="009A0F2F" w:rsidRPr="003B11BD">
        <w:rPr>
          <w:noProof/>
          <w:lang w:val="en-IE"/>
        </w:rPr>
        <w:t> </w:t>
      </w:r>
      <w:r w:rsidR="00E65568" w:rsidRPr="003B11BD">
        <w:rPr>
          <w:noProof/>
          <w:lang w:val="en-IE"/>
        </w:rPr>
        <w:t>different approach as regards the scope of compulsory licences:</w:t>
      </w:r>
    </w:p>
    <w:p w14:paraId="29080A7A" w14:textId="3572B96A" w:rsidR="0083100C" w:rsidRPr="003B11BD" w:rsidRDefault="7E3EC45B" w:rsidP="004C618F">
      <w:pPr>
        <w:pStyle w:val="Bullets"/>
        <w:rPr>
          <w:noProof/>
        </w:rPr>
      </w:pPr>
      <w:r w:rsidRPr="003B11BD">
        <w:rPr>
          <w:noProof/>
          <w:u w:val="dotted"/>
        </w:rPr>
        <w:t>Patents</w:t>
      </w:r>
      <w:r w:rsidRPr="003B11BD">
        <w:rPr>
          <w:noProof/>
        </w:rPr>
        <w:t xml:space="preserve">: All </w:t>
      </w:r>
      <w:r w:rsidR="3F4E8A6E" w:rsidRPr="003B11BD">
        <w:rPr>
          <w:noProof/>
        </w:rPr>
        <w:t>Member States</w:t>
      </w:r>
      <w:r w:rsidR="00641431" w:rsidRPr="003B11BD">
        <w:rPr>
          <w:noProof/>
        </w:rPr>
        <w:t>’</w:t>
      </w:r>
      <w:r w:rsidRPr="003B11BD">
        <w:rPr>
          <w:noProof/>
        </w:rPr>
        <w:t xml:space="preserve"> </w:t>
      </w:r>
      <w:r w:rsidR="79F25A8C" w:rsidRPr="003B11BD">
        <w:rPr>
          <w:noProof/>
        </w:rPr>
        <w:t>compulsory licences</w:t>
      </w:r>
      <w:r w:rsidRPr="003B11BD">
        <w:rPr>
          <w:noProof/>
        </w:rPr>
        <w:t xml:space="preserve"> </w:t>
      </w:r>
      <w:r w:rsidR="34403D91" w:rsidRPr="003B11BD">
        <w:rPr>
          <w:noProof/>
        </w:rPr>
        <w:t xml:space="preserve">law </w:t>
      </w:r>
      <w:r w:rsidRPr="003B11BD">
        <w:rPr>
          <w:noProof/>
        </w:rPr>
        <w:t xml:space="preserve">apply to patents, be it national or European patents. </w:t>
      </w:r>
      <w:r w:rsidR="576A9B69" w:rsidRPr="003B11BD">
        <w:rPr>
          <w:noProof/>
        </w:rPr>
        <w:t>However, the same is not true for</w:t>
      </w:r>
      <w:r w:rsidRPr="003B11BD">
        <w:rPr>
          <w:noProof/>
        </w:rPr>
        <w:t xml:space="preserve"> patent applications. </w:t>
      </w:r>
      <w:r w:rsidR="0679C206" w:rsidRPr="003B11BD">
        <w:rPr>
          <w:noProof/>
        </w:rPr>
        <w:t>A minority of Member States expressly include patent applications</w:t>
      </w:r>
      <w:r w:rsidR="00B7566A" w:rsidRPr="003B11BD">
        <w:rPr>
          <w:rStyle w:val="FootnoteReference"/>
          <w:noProof/>
        </w:rPr>
        <w:footnoteReference w:id="45"/>
      </w:r>
      <w:r w:rsidR="0679C206" w:rsidRPr="003B11BD">
        <w:rPr>
          <w:noProof/>
        </w:rPr>
        <w:t xml:space="preserve">. </w:t>
      </w:r>
      <w:r w:rsidR="1FA873A6" w:rsidRPr="003B11BD">
        <w:rPr>
          <w:noProof/>
        </w:rPr>
        <w:t>T</w:t>
      </w:r>
      <w:r w:rsidR="304CBE51" w:rsidRPr="003B11BD">
        <w:rPr>
          <w:noProof/>
        </w:rPr>
        <w:t>he Dutch national patent law</w:t>
      </w:r>
      <w:r w:rsidR="1FA873A6" w:rsidRPr="003B11BD">
        <w:rPr>
          <w:noProof/>
        </w:rPr>
        <w:t xml:space="preserve"> expressly excludes it</w:t>
      </w:r>
      <w:r w:rsidR="00591D0F" w:rsidRPr="003B11BD">
        <w:rPr>
          <w:rStyle w:val="FootnoteReference"/>
          <w:noProof/>
        </w:rPr>
        <w:footnoteReference w:id="46"/>
      </w:r>
      <w:r w:rsidR="304CBE51" w:rsidRPr="003B11BD">
        <w:rPr>
          <w:noProof/>
        </w:rPr>
        <w:t>.</w:t>
      </w:r>
      <w:r w:rsidR="1FA873A6" w:rsidRPr="003B11BD">
        <w:rPr>
          <w:noProof/>
        </w:rPr>
        <w:t xml:space="preserve"> </w:t>
      </w:r>
      <w:r w:rsidR="16B43597" w:rsidRPr="003B11BD">
        <w:rPr>
          <w:noProof/>
        </w:rPr>
        <w:t>For the remaining</w:t>
      </w:r>
      <w:r w:rsidRPr="003B11BD">
        <w:rPr>
          <w:noProof/>
        </w:rPr>
        <w:t xml:space="preserve"> </w:t>
      </w:r>
      <w:r w:rsidR="300341FE" w:rsidRPr="003B11BD">
        <w:rPr>
          <w:noProof/>
        </w:rPr>
        <w:t>Member States</w:t>
      </w:r>
      <w:r w:rsidR="16B43597" w:rsidRPr="003B11BD">
        <w:rPr>
          <w:noProof/>
        </w:rPr>
        <w:t>, their</w:t>
      </w:r>
      <w:r w:rsidR="300341FE" w:rsidRPr="003B11BD">
        <w:rPr>
          <w:noProof/>
        </w:rPr>
        <w:t xml:space="preserve"> </w:t>
      </w:r>
      <w:r w:rsidRPr="003B11BD">
        <w:rPr>
          <w:noProof/>
        </w:rPr>
        <w:t>law</w:t>
      </w:r>
      <w:r w:rsidR="300341FE" w:rsidRPr="003B11BD">
        <w:rPr>
          <w:noProof/>
        </w:rPr>
        <w:t>s</w:t>
      </w:r>
      <w:r w:rsidRPr="003B11BD">
        <w:rPr>
          <w:noProof/>
        </w:rPr>
        <w:t xml:space="preserve"> do not explicitly include nor exclude patent applications, leading to legal uncertainty. Yet, cutting-edge technologies to tackle a crisis are often new and still subject to a patent application. The procedure to grant a patent is also lengthy (between 3 to 5 years for the grant of a European patent). Excluding patent applications can therefore severely affect </w:t>
      </w:r>
      <w:r w:rsidR="52CF75A3" w:rsidRPr="003B11BD">
        <w:rPr>
          <w:noProof/>
        </w:rPr>
        <w:t>the</w:t>
      </w:r>
      <w:r w:rsidRPr="003B11BD">
        <w:rPr>
          <w:noProof/>
        </w:rPr>
        <w:t xml:space="preserve"> effectiveness</w:t>
      </w:r>
      <w:r w:rsidR="52CF75A3" w:rsidRPr="003B11BD">
        <w:rPr>
          <w:noProof/>
        </w:rPr>
        <w:t xml:space="preserve"> of a compulsory licence</w:t>
      </w:r>
      <w:r w:rsidRPr="003B11BD">
        <w:rPr>
          <w:noProof/>
        </w:rPr>
        <w:t xml:space="preserve">. </w:t>
      </w:r>
    </w:p>
    <w:p w14:paraId="2215CB8B" w14:textId="6BB78DEE" w:rsidR="00E65568" w:rsidRPr="003B11BD" w:rsidRDefault="00E65568" w:rsidP="004C618F">
      <w:pPr>
        <w:pStyle w:val="Bullets"/>
        <w:rPr>
          <w:noProof/>
        </w:rPr>
      </w:pPr>
      <w:r w:rsidRPr="003B11BD">
        <w:rPr>
          <w:noProof/>
          <w:u w:val="dotted"/>
        </w:rPr>
        <w:t>Supplementary protection certificates (SPCs)</w:t>
      </w:r>
      <w:r w:rsidR="00A76AAB" w:rsidRPr="003B11BD">
        <w:rPr>
          <w:rStyle w:val="FootnoteReference"/>
          <w:noProof/>
        </w:rPr>
        <w:footnoteReference w:id="47"/>
      </w:r>
      <w:r w:rsidRPr="003B11BD">
        <w:rPr>
          <w:noProof/>
        </w:rPr>
        <w:t>: Most national compulsory licensing laws do not explicitly refer to SPCs</w:t>
      </w:r>
      <w:r w:rsidRPr="003B11BD">
        <w:rPr>
          <w:rStyle w:val="FootnoteReference"/>
          <w:noProof/>
        </w:rPr>
        <w:footnoteReference w:id="48"/>
      </w:r>
      <w:r w:rsidRPr="003B11BD">
        <w:rPr>
          <w:noProof/>
        </w:rPr>
        <w:t>. This leads to legal uncertainty and diverging interpretation of similarly worded provisions</w:t>
      </w:r>
      <w:r w:rsidRPr="003B11BD">
        <w:rPr>
          <w:rStyle w:val="FootnoteReference"/>
          <w:noProof/>
        </w:rPr>
        <w:footnoteReference w:id="49"/>
      </w:r>
      <w:r w:rsidRPr="003B11BD">
        <w:rPr>
          <w:noProof/>
        </w:rPr>
        <w:t>.</w:t>
      </w:r>
      <w:r w:rsidR="00873529" w:rsidRPr="003B11BD">
        <w:rPr>
          <w:noProof/>
        </w:rPr>
        <w:t xml:space="preserve"> </w:t>
      </w:r>
      <w:r w:rsidR="00DF5ECE" w:rsidRPr="003B11BD">
        <w:rPr>
          <w:noProof/>
        </w:rPr>
        <w:t xml:space="preserve">Where SPCs are not covered, a consequence is that a patented product which was the subject of a compulsory licence </w:t>
      </w:r>
      <w:r w:rsidR="00694107" w:rsidRPr="003B11BD">
        <w:rPr>
          <w:noProof/>
        </w:rPr>
        <w:t xml:space="preserve">during the patent term </w:t>
      </w:r>
      <w:r w:rsidR="00DF5ECE" w:rsidRPr="003B11BD">
        <w:rPr>
          <w:noProof/>
        </w:rPr>
        <w:t xml:space="preserve">may cease </w:t>
      </w:r>
      <w:r w:rsidR="00694107" w:rsidRPr="003B11BD">
        <w:rPr>
          <w:noProof/>
        </w:rPr>
        <w:t>to</w:t>
      </w:r>
      <w:r w:rsidR="00DF5ECE" w:rsidRPr="003B11BD">
        <w:rPr>
          <w:noProof/>
        </w:rPr>
        <w:t xml:space="preserve"> be </w:t>
      </w:r>
      <w:r w:rsidR="00694107" w:rsidRPr="003B11BD">
        <w:rPr>
          <w:noProof/>
        </w:rPr>
        <w:t>‘exempted’ after the patent expiry, during the SPC term (if any).</w:t>
      </w:r>
      <w:r w:rsidR="00DF5ECE" w:rsidRPr="003B11BD">
        <w:rPr>
          <w:noProof/>
        </w:rPr>
        <w:t xml:space="preserve"> </w:t>
      </w:r>
      <w:r w:rsidR="00453EC0" w:rsidRPr="003B11BD">
        <w:rPr>
          <w:noProof/>
        </w:rPr>
        <w:t xml:space="preserve">In contrast, </w:t>
      </w:r>
      <w:r w:rsidR="000C155F" w:rsidRPr="003B11BD">
        <w:rPr>
          <w:noProof/>
        </w:rPr>
        <w:t>Regulation (EC) No 816/2006</w:t>
      </w:r>
      <w:r w:rsidR="00453EC0" w:rsidRPr="003B11BD">
        <w:rPr>
          <w:noProof/>
        </w:rPr>
        <w:t xml:space="preserve"> </w:t>
      </w:r>
      <w:r w:rsidR="00AA28BA" w:rsidRPr="003B11BD">
        <w:rPr>
          <w:noProof/>
        </w:rPr>
        <w:t>explicitly</w:t>
      </w:r>
      <w:r w:rsidR="00601AA2" w:rsidRPr="003B11BD">
        <w:rPr>
          <w:noProof/>
        </w:rPr>
        <w:t xml:space="preserve"> covers SPCs</w:t>
      </w:r>
      <w:r w:rsidR="00320B57" w:rsidRPr="003B11BD">
        <w:rPr>
          <w:rStyle w:val="FootnoteReference"/>
          <w:noProof/>
        </w:rPr>
        <w:footnoteReference w:id="50"/>
      </w:r>
      <w:r w:rsidR="00601AA2" w:rsidRPr="003B11BD">
        <w:rPr>
          <w:noProof/>
        </w:rPr>
        <w:t xml:space="preserve">. </w:t>
      </w:r>
      <w:r w:rsidR="00B01E9A" w:rsidRPr="003B11BD">
        <w:rPr>
          <w:noProof/>
        </w:rPr>
        <w:t xml:space="preserve">Where SPCs are not covered </w:t>
      </w:r>
      <w:r w:rsidR="00760EFB" w:rsidRPr="003B11BD">
        <w:rPr>
          <w:noProof/>
        </w:rPr>
        <w:t xml:space="preserve">(neither explicitly nor implicitly) </w:t>
      </w:r>
      <w:r w:rsidR="00B01E9A" w:rsidRPr="003B11BD">
        <w:rPr>
          <w:noProof/>
        </w:rPr>
        <w:t xml:space="preserve">by </w:t>
      </w:r>
      <w:r w:rsidR="00760EFB" w:rsidRPr="003B11BD">
        <w:rPr>
          <w:noProof/>
        </w:rPr>
        <w:t xml:space="preserve">the </w:t>
      </w:r>
      <w:r w:rsidR="00B01E9A" w:rsidRPr="003B11BD">
        <w:rPr>
          <w:noProof/>
        </w:rPr>
        <w:t xml:space="preserve">national compulsory licensing </w:t>
      </w:r>
      <w:r w:rsidR="00760EFB" w:rsidRPr="003B11BD">
        <w:rPr>
          <w:noProof/>
        </w:rPr>
        <w:t>provisions in a certain Member State</w:t>
      </w:r>
      <w:r w:rsidR="00B01E9A" w:rsidRPr="003B11BD">
        <w:rPr>
          <w:noProof/>
        </w:rPr>
        <w:t xml:space="preserve">, </w:t>
      </w:r>
      <w:r w:rsidR="00760EFB" w:rsidRPr="003B11BD">
        <w:rPr>
          <w:noProof/>
        </w:rPr>
        <w:t xml:space="preserve">its </w:t>
      </w:r>
      <w:r w:rsidR="00B01E9A" w:rsidRPr="003B11BD">
        <w:rPr>
          <w:noProof/>
        </w:rPr>
        <w:t xml:space="preserve">authorities </w:t>
      </w:r>
      <w:r w:rsidR="00760EFB" w:rsidRPr="003B11BD">
        <w:rPr>
          <w:noProof/>
        </w:rPr>
        <w:t xml:space="preserve">are </w:t>
      </w:r>
      <w:r w:rsidR="00B01E9A" w:rsidRPr="003B11BD">
        <w:rPr>
          <w:noProof/>
        </w:rPr>
        <w:t xml:space="preserve">prevented from ‘lifting’ </w:t>
      </w:r>
      <w:r w:rsidR="009D6174" w:rsidRPr="003B11BD">
        <w:rPr>
          <w:noProof/>
        </w:rPr>
        <w:t>SPC protection</w:t>
      </w:r>
      <w:r w:rsidR="00F12625" w:rsidRPr="003B11BD">
        <w:rPr>
          <w:noProof/>
        </w:rPr>
        <w:t>. Consequently,</w:t>
      </w:r>
      <w:r w:rsidR="005D326E" w:rsidRPr="003B11BD">
        <w:rPr>
          <w:noProof/>
        </w:rPr>
        <w:t xml:space="preserve"> </w:t>
      </w:r>
      <w:r w:rsidR="005769EE" w:rsidRPr="003B11BD">
        <w:rPr>
          <w:noProof/>
        </w:rPr>
        <w:t xml:space="preserve">despite an existing compulsory licence on the patent, the </w:t>
      </w:r>
      <w:r w:rsidR="006B218E" w:rsidRPr="003B11BD">
        <w:rPr>
          <w:noProof/>
        </w:rPr>
        <w:t xml:space="preserve">manufacturing of </w:t>
      </w:r>
      <w:r w:rsidR="005D326E" w:rsidRPr="003B11BD">
        <w:rPr>
          <w:noProof/>
        </w:rPr>
        <w:t xml:space="preserve">the </w:t>
      </w:r>
      <w:r w:rsidR="00867A42" w:rsidRPr="003B11BD">
        <w:rPr>
          <w:noProof/>
        </w:rPr>
        <w:t>SPC</w:t>
      </w:r>
      <w:r w:rsidR="005769EE" w:rsidRPr="003B11BD">
        <w:rPr>
          <w:noProof/>
        </w:rPr>
        <w:t>-</w:t>
      </w:r>
      <w:r w:rsidR="005D326E" w:rsidRPr="003B11BD">
        <w:rPr>
          <w:noProof/>
        </w:rPr>
        <w:t xml:space="preserve">protected product </w:t>
      </w:r>
      <w:r w:rsidR="00FA7D4C" w:rsidRPr="003B11BD">
        <w:rPr>
          <w:noProof/>
        </w:rPr>
        <w:t>would still require an</w:t>
      </w:r>
      <w:r w:rsidR="007C2D7F" w:rsidRPr="003B11BD">
        <w:rPr>
          <w:noProof/>
        </w:rPr>
        <w:t xml:space="preserve"> authorisation </w:t>
      </w:r>
      <w:r w:rsidR="006B218E" w:rsidRPr="003B11BD">
        <w:rPr>
          <w:noProof/>
        </w:rPr>
        <w:t>from</w:t>
      </w:r>
      <w:r w:rsidR="00D6264D" w:rsidRPr="003B11BD">
        <w:rPr>
          <w:noProof/>
        </w:rPr>
        <w:t xml:space="preserve"> </w:t>
      </w:r>
      <w:r w:rsidR="007C2D7F" w:rsidRPr="003B11BD">
        <w:rPr>
          <w:noProof/>
        </w:rPr>
        <w:t>the SPC holder</w:t>
      </w:r>
      <w:r w:rsidRPr="003B11BD">
        <w:rPr>
          <w:noProof/>
        </w:rPr>
        <w:t>.</w:t>
      </w:r>
      <w:r w:rsidR="009C4CAE" w:rsidRPr="003B11BD">
        <w:rPr>
          <w:noProof/>
        </w:rPr>
        <w:t xml:space="preserve"> </w:t>
      </w:r>
    </w:p>
    <w:p w14:paraId="4031A6F2" w14:textId="457A89BD" w:rsidR="00E65568" w:rsidRPr="003B11BD" w:rsidRDefault="7E3EC45B" w:rsidP="004C618F">
      <w:pPr>
        <w:pStyle w:val="Bullets"/>
        <w:rPr>
          <w:noProof/>
        </w:rPr>
      </w:pPr>
      <w:r w:rsidRPr="003B11BD">
        <w:rPr>
          <w:noProof/>
          <w:u w:val="dotted"/>
        </w:rPr>
        <w:t>Regulatory data protection (RDP</w:t>
      </w:r>
      <w:r w:rsidRPr="003B11BD">
        <w:rPr>
          <w:noProof/>
        </w:rPr>
        <w:t xml:space="preserve">): Regulatory data protection are rules </w:t>
      </w:r>
      <w:r w:rsidR="005A0A39" w:rsidRPr="003B11BD">
        <w:rPr>
          <w:noProof/>
        </w:rPr>
        <w:t>enshrined in the EU pharmaceutical legislation. Today, generic manufacturers cannot refer to the results of pre-clinical tests and clinical trials of the originator until eight years have elapsed from the date of authorisation of the medicinal product. This period of data exclusivity granted to innovative companies is complemented by an overlapping 10-year market exclusivity which prevents a generic drug to be placed on the market during this ten</w:t>
      </w:r>
      <w:r w:rsidR="00DF4F05" w:rsidRPr="003B11BD">
        <w:rPr>
          <w:noProof/>
        </w:rPr>
        <w:t>-</w:t>
      </w:r>
      <w:r w:rsidR="005A0A39" w:rsidRPr="003B11BD">
        <w:rPr>
          <w:noProof/>
        </w:rPr>
        <w:t>year period.</w:t>
      </w:r>
      <w:r w:rsidR="00813E4C" w:rsidRPr="003B11BD">
        <w:rPr>
          <w:noProof/>
        </w:rPr>
        <w:t xml:space="preserve"> </w:t>
      </w:r>
      <w:r w:rsidRPr="003B11BD">
        <w:rPr>
          <w:noProof/>
        </w:rPr>
        <w:t xml:space="preserve">RDP rules are based on </w:t>
      </w:r>
      <w:r w:rsidR="58523CA8" w:rsidRPr="003B11BD">
        <w:rPr>
          <w:noProof/>
        </w:rPr>
        <w:t xml:space="preserve">harmonised </w:t>
      </w:r>
      <w:r w:rsidRPr="003B11BD">
        <w:rPr>
          <w:noProof/>
        </w:rPr>
        <w:t>EU legislation</w:t>
      </w:r>
      <w:r w:rsidR="00E65568" w:rsidRPr="003B11BD">
        <w:rPr>
          <w:rStyle w:val="FootnoteReference"/>
          <w:noProof/>
        </w:rPr>
        <w:footnoteReference w:id="51"/>
      </w:r>
      <w:r w:rsidRPr="003B11BD">
        <w:rPr>
          <w:noProof/>
        </w:rPr>
        <w:t xml:space="preserve"> with no margin of manoeuvre left to Member States.</w:t>
      </w:r>
      <w:r w:rsidR="54C27B42" w:rsidRPr="003B11BD">
        <w:rPr>
          <w:noProof/>
        </w:rPr>
        <w:t xml:space="preserve"> </w:t>
      </w:r>
      <w:r w:rsidR="00F13D36" w:rsidRPr="003B11BD">
        <w:rPr>
          <w:noProof/>
        </w:rPr>
        <w:t>Where they apply,</w:t>
      </w:r>
      <w:r w:rsidR="00125D3E" w:rsidRPr="003B11BD">
        <w:rPr>
          <w:noProof/>
        </w:rPr>
        <w:t xml:space="preserve"> </w:t>
      </w:r>
      <w:r w:rsidR="54C27B42" w:rsidRPr="003B11BD">
        <w:rPr>
          <w:noProof/>
        </w:rPr>
        <w:t xml:space="preserve">RDP rules slow down </w:t>
      </w:r>
      <w:r w:rsidR="00125D3E" w:rsidRPr="003B11BD">
        <w:rPr>
          <w:noProof/>
        </w:rPr>
        <w:t>or may even block</w:t>
      </w:r>
      <w:r w:rsidR="54C27B42" w:rsidRPr="003B11BD">
        <w:rPr>
          <w:noProof/>
        </w:rPr>
        <w:t xml:space="preserve"> t</w:t>
      </w:r>
      <w:r w:rsidR="38B3A1C4" w:rsidRPr="003B11BD">
        <w:rPr>
          <w:noProof/>
        </w:rPr>
        <w:t xml:space="preserve">he availability of </w:t>
      </w:r>
      <w:r w:rsidR="3E8803E5" w:rsidRPr="003B11BD">
        <w:rPr>
          <w:noProof/>
        </w:rPr>
        <w:t xml:space="preserve">products manufactured under a compulsory licence as it would delay the </w:t>
      </w:r>
      <w:r w:rsidR="00544D3A" w:rsidRPr="003B11BD">
        <w:rPr>
          <w:noProof/>
        </w:rPr>
        <w:t>granting of marketing authorisation for medicinal products</w:t>
      </w:r>
      <w:r w:rsidR="3E8803E5" w:rsidRPr="003B11BD">
        <w:rPr>
          <w:noProof/>
        </w:rPr>
        <w:t>.</w:t>
      </w:r>
      <w:r w:rsidRPr="003B11BD">
        <w:rPr>
          <w:noProof/>
        </w:rPr>
        <w:t xml:space="preserve"> </w:t>
      </w:r>
      <w:r w:rsidR="0044379B" w:rsidRPr="003B11BD">
        <w:rPr>
          <w:noProof/>
        </w:rPr>
        <w:t xml:space="preserve">In other words, </w:t>
      </w:r>
      <w:r w:rsidR="00F13D36" w:rsidRPr="003B11BD">
        <w:rPr>
          <w:noProof/>
        </w:rPr>
        <w:t>a compulsory licence granted on a patent may be defeated by RDP still in force</w:t>
      </w:r>
      <w:r w:rsidR="00561604" w:rsidRPr="003B11BD">
        <w:rPr>
          <w:noProof/>
        </w:rPr>
        <w:t>, preventing a generic product from being placed on the market</w:t>
      </w:r>
      <w:r w:rsidR="00F13D36" w:rsidRPr="003B11BD">
        <w:rPr>
          <w:noProof/>
        </w:rPr>
        <w:t>.</w:t>
      </w:r>
      <w:r w:rsidR="0044379B" w:rsidRPr="003B11BD">
        <w:rPr>
          <w:noProof/>
        </w:rPr>
        <w:t xml:space="preserve"> </w:t>
      </w:r>
      <w:r w:rsidRPr="003B11BD">
        <w:rPr>
          <w:noProof/>
        </w:rPr>
        <w:t xml:space="preserve">This can constitute a solid obstacle to the effective use of a </w:t>
      </w:r>
      <w:r w:rsidR="002B690A">
        <w:rPr>
          <w:noProof/>
        </w:rPr>
        <w:t>compulsory licence</w:t>
      </w:r>
      <w:r w:rsidR="00E65568" w:rsidRPr="003B11BD">
        <w:rPr>
          <w:rStyle w:val="FootnoteReference"/>
          <w:noProof/>
        </w:rPr>
        <w:footnoteReference w:id="52"/>
      </w:r>
      <w:r w:rsidRPr="003B11BD">
        <w:rPr>
          <w:noProof/>
        </w:rPr>
        <w:t xml:space="preserve">. </w:t>
      </w:r>
    </w:p>
    <w:p w14:paraId="44903CFA" w14:textId="1B845C39" w:rsidR="00A37E88" w:rsidRPr="003B11BD" w:rsidRDefault="3903C570" w:rsidP="004C618F">
      <w:pPr>
        <w:pStyle w:val="Bullets"/>
        <w:rPr>
          <w:noProof/>
        </w:rPr>
      </w:pPr>
      <w:r w:rsidRPr="003B11BD">
        <w:rPr>
          <w:noProof/>
          <w:u w:val="dotted"/>
        </w:rPr>
        <w:t>Other IP rights</w:t>
      </w:r>
      <w:r w:rsidR="36612989" w:rsidRPr="003B11BD">
        <w:rPr>
          <w:noProof/>
          <w:u w:val="dotted"/>
        </w:rPr>
        <w:t>, trade secrets and know-how</w:t>
      </w:r>
      <w:r w:rsidRPr="003B11BD">
        <w:rPr>
          <w:noProof/>
        </w:rPr>
        <w:t xml:space="preserve">: </w:t>
      </w:r>
      <w:r w:rsidR="1E71746A" w:rsidRPr="003B11BD">
        <w:rPr>
          <w:noProof/>
        </w:rPr>
        <w:t>c</w:t>
      </w:r>
      <w:r w:rsidR="1C04613D" w:rsidRPr="003B11BD">
        <w:rPr>
          <w:noProof/>
        </w:rPr>
        <w:t xml:space="preserve">ompulsory licensing is already regulated at EU level as regards plant varieties (see supra, </w:t>
      </w:r>
      <w:r w:rsidR="1E71746A" w:rsidRPr="003B11BD">
        <w:rPr>
          <w:noProof/>
        </w:rPr>
        <w:t>section</w:t>
      </w:r>
      <w:r w:rsidR="1C04613D" w:rsidRPr="003B11BD">
        <w:rPr>
          <w:noProof/>
        </w:rPr>
        <w:t xml:space="preserve"> 1.2). </w:t>
      </w:r>
      <w:r w:rsidR="1FC3CDED" w:rsidRPr="003B11BD">
        <w:rPr>
          <w:noProof/>
        </w:rPr>
        <w:t>As regards other IP rights, f</w:t>
      </w:r>
      <w:r w:rsidR="0A5F0368" w:rsidRPr="003B11BD">
        <w:rPr>
          <w:noProof/>
        </w:rPr>
        <w:t>rom the available information it appears that M</w:t>
      </w:r>
      <w:r w:rsidRPr="003B11BD">
        <w:rPr>
          <w:noProof/>
        </w:rPr>
        <w:t xml:space="preserve">ember States </w:t>
      </w:r>
      <w:r w:rsidR="0A5F0368" w:rsidRPr="003B11BD">
        <w:rPr>
          <w:noProof/>
        </w:rPr>
        <w:t xml:space="preserve">do not </w:t>
      </w:r>
      <w:r w:rsidRPr="003B11BD">
        <w:rPr>
          <w:noProof/>
        </w:rPr>
        <w:t xml:space="preserve">provide for a compulsory licence </w:t>
      </w:r>
      <w:r w:rsidR="1FC3CDED" w:rsidRPr="003B11BD">
        <w:rPr>
          <w:noProof/>
        </w:rPr>
        <w:t>outside patent</w:t>
      </w:r>
      <w:r w:rsidR="7A023E81" w:rsidRPr="003B11BD">
        <w:rPr>
          <w:noProof/>
        </w:rPr>
        <w:t xml:space="preserve"> rights</w:t>
      </w:r>
      <w:r w:rsidRPr="003B11BD">
        <w:rPr>
          <w:noProof/>
        </w:rPr>
        <w:t xml:space="preserve">. </w:t>
      </w:r>
      <w:r w:rsidR="7A023E81" w:rsidRPr="003B11BD">
        <w:rPr>
          <w:noProof/>
        </w:rPr>
        <w:t xml:space="preserve">Likewise, national laws generally </w:t>
      </w:r>
      <w:r w:rsidR="340212A8" w:rsidRPr="003B11BD">
        <w:rPr>
          <w:noProof/>
        </w:rPr>
        <w:t xml:space="preserve">do </w:t>
      </w:r>
      <w:r w:rsidR="36612989" w:rsidRPr="003B11BD">
        <w:rPr>
          <w:noProof/>
        </w:rPr>
        <w:t xml:space="preserve">not address the issue </w:t>
      </w:r>
      <w:r w:rsidR="340212A8" w:rsidRPr="003B11BD">
        <w:rPr>
          <w:noProof/>
        </w:rPr>
        <w:t xml:space="preserve">of trade secrets and know-how </w:t>
      </w:r>
      <w:r w:rsidR="13442B22" w:rsidRPr="003B11BD">
        <w:rPr>
          <w:noProof/>
        </w:rPr>
        <w:t xml:space="preserve">(which might be needed for the manufacturing of complex products). </w:t>
      </w:r>
      <w:r w:rsidR="5D7841D8" w:rsidRPr="003B11BD">
        <w:rPr>
          <w:noProof/>
        </w:rPr>
        <w:t xml:space="preserve">The </w:t>
      </w:r>
      <w:r w:rsidR="00E65568" w:rsidRPr="003B11BD">
        <w:rPr>
          <w:noProof/>
        </w:rPr>
        <w:t>Spanish law</w:t>
      </w:r>
      <w:r w:rsidR="00D44525" w:rsidRPr="003B11BD">
        <w:rPr>
          <w:noProof/>
        </w:rPr>
        <w:t xml:space="preserve"> is an exception as it</w:t>
      </w:r>
      <w:r w:rsidR="00E65568" w:rsidRPr="003B11BD">
        <w:rPr>
          <w:noProof/>
        </w:rPr>
        <w:t xml:space="preserve"> imposes an obligation to act in good faith in the context of a compulsory licence</w:t>
      </w:r>
      <w:r w:rsidR="00C54A26" w:rsidRPr="003B11BD">
        <w:rPr>
          <w:noProof/>
        </w:rPr>
        <w:t>,</w:t>
      </w:r>
      <w:r w:rsidR="00E65568" w:rsidRPr="003B11BD">
        <w:rPr>
          <w:noProof/>
        </w:rPr>
        <w:t xml:space="preserve"> as well as a transfer of know-how to the beneficiary of a compulsory licence.</w:t>
      </w:r>
      <w:r w:rsidR="00C015CA" w:rsidRPr="003B11BD">
        <w:rPr>
          <w:rStyle w:val="FootnoteReference"/>
          <w:noProof/>
        </w:rPr>
        <w:footnoteReference w:id="53"/>
      </w:r>
      <w:r w:rsidR="36612989" w:rsidRPr="003B11BD">
        <w:rPr>
          <w:noProof/>
        </w:rPr>
        <w:t xml:space="preserve"> </w:t>
      </w:r>
    </w:p>
    <w:p w14:paraId="0171A0D1" w14:textId="29AC491E" w:rsidR="009615FE" w:rsidRPr="003B11BD" w:rsidRDefault="009615FE" w:rsidP="00F554EC">
      <w:pPr>
        <w:rPr>
          <w:noProof/>
          <w:lang w:val="en-IE"/>
        </w:rPr>
      </w:pPr>
      <w:r w:rsidRPr="003B11BD">
        <w:rPr>
          <w:noProof/>
          <w:lang w:val="en-IE"/>
        </w:rPr>
        <w:t xml:space="preserve">In conclusion, the scope of a compulsory licence </w:t>
      </w:r>
      <w:r w:rsidR="0018330E" w:rsidRPr="003B11BD">
        <w:rPr>
          <w:noProof/>
          <w:lang w:val="en-IE"/>
        </w:rPr>
        <w:t xml:space="preserve">has a direct </w:t>
      </w:r>
      <w:r w:rsidR="006605A0" w:rsidRPr="003B11BD">
        <w:rPr>
          <w:noProof/>
          <w:lang w:val="en-IE"/>
        </w:rPr>
        <w:t>influence</w:t>
      </w:r>
      <w:r w:rsidR="0018330E" w:rsidRPr="003B11BD">
        <w:rPr>
          <w:noProof/>
          <w:lang w:val="en-IE"/>
        </w:rPr>
        <w:t xml:space="preserve"> on its effectiveness </w:t>
      </w:r>
      <w:r w:rsidR="009F5F81" w:rsidRPr="003B11BD">
        <w:rPr>
          <w:noProof/>
          <w:lang w:val="en-IE"/>
        </w:rPr>
        <w:t xml:space="preserve">to </w:t>
      </w:r>
      <w:r w:rsidR="009E6F8F" w:rsidRPr="003B11BD">
        <w:rPr>
          <w:noProof/>
          <w:lang w:val="en-IE"/>
        </w:rPr>
        <w:t>tackle</w:t>
      </w:r>
      <w:r w:rsidR="009F5F81" w:rsidRPr="003B11BD">
        <w:rPr>
          <w:noProof/>
          <w:lang w:val="en-IE"/>
        </w:rPr>
        <w:t xml:space="preserve"> crises. </w:t>
      </w:r>
      <w:r w:rsidR="002432C5" w:rsidRPr="003B11BD">
        <w:rPr>
          <w:noProof/>
          <w:lang w:val="en-IE"/>
        </w:rPr>
        <w:t xml:space="preserve">Many divergences exist </w:t>
      </w:r>
      <w:r w:rsidR="002739F4" w:rsidRPr="003B11BD">
        <w:rPr>
          <w:noProof/>
          <w:lang w:val="en-IE"/>
        </w:rPr>
        <w:t>across the EU</w:t>
      </w:r>
      <w:r w:rsidR="002432C5" w:rsidRPr="003B11BD">
        <w:rPr>
          <w:noProof/>
          <w:lang w:val="en-IE"/>
        </w:rPr>
        <w:t xml:space="preserve"> in this respect.</w:t>
      </w:r>
      <w:r w:rsidR="00187EB3" w:rsidRPr="003B11BD" w:rsidDel="007A2BB7">
        <w:rPr>
          <w:noProof/>
          <w:lang w:val="en-IE"/>
        </w:rPr>
        <w:t xml:space="preserve"> </w:t>
      </w:r>
    </w:p>
    <w:p w14:paraId="77E62A2E" w14:textId="62C40D9F" w:rsidR="00E65568" w:rsidRPr="003B11BD" w:rsidRDefault="002432C5" w:rsidP="00E6556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color w:val="000000" w:themeColor="text1"/>
          <w:sz w:val="22"/>
          <w:szCs w:val="22"/>
          <w:lang w:val="en-IE"/>
        </w:rPr>
      </w:pPr>
      <w:r w:rsidRPr="003B11BD">
        <w:rPr>
          <w:b/>
          <w:i/>
          <w:noProof/>
          <w:color w:val="000000" w:themeColor="text1"/>
          <w:sz w:val="22"/>
          <w:szCs w:val="22"/>
          <w:lang w:val="en-IE"/>
        </w:rPr>
        <w:t>Concretely</w:t>
      </w:r>
      <w:r w:rsidRPr="003B11BD">
        <w:rPr>
          <w:noProof/>
          <w:color w:val="000000" w:themeColor="text1"/>
          <w:sz w:val="22"/>
          <w:szCs w:val="22"/>
          <w:lang w:val="en-IE"/>
        </w:rPr>
        <w:t xml:space="preserve">, </w:t>
      </w:r>
      <w:r w:rsidR="009457C9" w:rsidRPr="003B11BD">
        <w:rPr>
          <w:noProof/>
          <w:color w:val="000000" w:themeColor="text1"/>
          <w:sz w:val="22"/>
          <w:szCs w:val="22"/>
          <w:lang w:val="en-IE"/>
        </w:rPr>
        <w:t>in the context of a</w:t>
      </w:r>
      <w:r w:rsidR="006A75BB" w:rsidRPr="003B11BD">
        <w:rPr>
          <w:noProof/>
          <w:color w:val="000000" w:themeColor="text1"/>
          <w:sz w:val="22"/>
          <w:szCs w:val="22"/>
          <w:lang w:val="en-IE"/>
        </w:rPr>
        <w:t xml:space="preserve"> </w:t>
      </w:r>
      <w:r w:rsidR="0069758E" w:rsidRPr="003B11BD">
        <w:rPr>
          <w:noProof/>
          <w:color w:val="000000" w:themeColor="text1"/>
          <w:sz w:val="22"/>
          <w:szCs w:val="22"/>
          <w:lang w:val="en-IE"/>
        </w:rPr>
        <w:t>cross-border</w:t>
      </w:r>
      <w:r w:rsidR="009457C9" w:rsidRPr="003B11BD">
        <w:rPr>
          <w:noProof/>
          <w:color w:val="000000" w:themeColor="text1"/>
          <w:sz w:val="22"/>
          <w:szCs w:val="22"/>
          <w:lang w:val="en-IE"/>
        </w:rPr>
        <w:t xml:space="preserve"> crisis a </w:t>
      </w:r>
      <w:r w:rsidR="002739F4" w:rsidRPr="003B11BD">
        <w:rPr>
          <w:noProof/>
          <w:color w:val="000000" w:themeColor="text1"/>
          <w:sz w:val="22"/>
          <w:szCs w:val="22"/>
          <w:lang w:val="en-IE"/>
        </w:rPr>
        <w:t>FR</w:t>
      </w:r>
      <w:r w:rsidR="009457C9" w:rsidRPr="003B11BD">
        <w:rPr>
          <w:noProof/>
          <w:color w:val="000000" w:themeColor="text1"/>
          <w:sz w:val="22"/>
          <w:szCs w:val="22"/>
          <w:lang w:val="en-IE"/>
        </w:rPr>
        <w:t xml:space="preserve"> company </w:t>
      </w:r>
      <w:r w:rsidR="004B47FF" w:rsidRPr="003B11BD">
        <w:rPr>
          <w:noProof/>
          <w:color w:val="000000" w:themeColor="text1"/>
          <w:sz w:val="22"/>
          <w:szCs w:val="22"/>
          <w:lang w:val="en-IE"/>
        </w:rPr>
        <w:t xml:space="preserve">has developed a new </w:t>
      </w:r>
      <w:r w:rsidR="00E65568" w:rsidRPr="003B11BD">
        <w:rPr>
          <w:noProof/>
          <w:color w:val="000000" w:themeColor="text1"/>
          <w:sz w:val="22"/>
          <w:szCs w:val="22"/>
          <w:lang w:val="en-IE"/>
        </w:rPr>
        <w:t xml:space="preserve">product </w:t>
      </w:r>
      <w:r w:rsidR="004B47FF" w:rsidRPr="003B11BD">
        <w:rPr>
          <w:noProof/>
          <w:color w:val="000000" w:themeColor="text1"/>
          <w:sz w:val="22"/>
          <w:szCs w:val="22"/>
          <w:lang w:val="en-IE"/>
        </w:rPr>
        <w:t>still</w:t>
      </w:r>
      <w:r w:rsidR="00E65568" w:rsidRPr="003B11BD">
        <w:rPr>
          <w:noProof/>
          <w:color w:val="000000" w:themeColor="text1"/>
          <w:sz w:val="22"/>
          <w:szCs w:val="22"/>
          <w:lang w:val="en-IE"/>
        </w:rPr>
        <w:t xml:space="preserve"> subject to a patent application. </w:t>
      </w:r>
      <w:r w:rsidR="00232875" w:rsidRPr="003B11BD">
        <w:rPr>
          <w:noProof/>
          <w:color w:val="000000" w:themeColor="text1"/>
          <w:sz w:val="22"/>
          <w:szCs w:val="22"/>
          <w:lang w:val="en-IE"/>
        </w:rPr>
        <w:t>FR</w:t>
      </w:r>
      <w:r w:rsidR="00E65568" w:rsidRPr="003B11BD">
        <w:rPr>
          <w:noProof/>
          <w:color w:val="000000" w:themeColor="text1"/>
          <w:sz w:val="22"/>
          <w:szCs w:val="22"/>
          <w:lang w:val="en-IE"/>
        </w:rPr>
        <w:t xml:space="preserve"> has the manufacturing capacities and the possibility to grant a compulsory licence on a patent application. </w:t>
      </w:r>
      <w:r w:rsidR="00232875" w:rsidRPr="003B11BD">
        <w:rPr>
          <w:noProof/>
          <w:color w:val="000000" w:themeColor="text1"/>
          <w:sz w:val="22"/>
          <w:szCs w:val="22"/>
          <w:lang w:val="en-IE"/>
        </w:rPr>
        <w:t>FR</w:t>
      </w:r>
      <w:r w:rsidR="00E65568" w:rsidRPr="003B11BD">
        <w:rPr>
          <w:noProof/>
          <w:color w:val="000000" w:themeColor="text1"/>
          <w:sz w:val="22"/>
          <w:szCs w:val="22"/>
          <w:lang w:val="en-IE"/>
        </w:rPr>
        <w:t xml:space="preserve"> </w:t>
      </w:r>
      <w:r w:rsidR="009B25AC" w:rsidRPr="003B11BD">
        <w:rPr>
          <w:noProof/>
          <w:color w:val="000000" w:themeColor="text1"/>
          <w:sz w:val="22"/>
          <w:szCs w:val="22"/>
          <w:lang w:val="en-IE"/>
        </w:rPr>
        <w:t>would</w:t>
      </w:r>
      <w:r w:rsidR="00E65568" w:rsidRPr="003B11BD">
        <w:rPr>
          <w:noProof/>
          <w:color w:val="000000" w:themeColor="text1"/>
          <w:sz w:val="22"/>
          <w:szCs w:val="22"/>
          <w:lang w:val="en-IE"/>
        </w:rPr>
        <w:t xml:space="preserve"> therefore </w:t>
      </w:r>
      <w:r w:rsidR="009B25AC" w:rsidRPr="003B11BD">
        <w:rPr>
          <w:noProof/>
          <w:color w:val="000000" w:themeColor="text1"/>
          <w:sz w:val="22"/>
          <w:szCs w:val="22"/>
          <w:lang w:val="en-IE"/>
        </w:rPr>
        <w:t xml:space="preserve">be </w:t>
      </w:r>
      <w:r w:rsidR="00E65568" w:rsidRPr="003B11BD">
        <w:rPr>
          <w:noProof/>
          <w:color w:val="000000" w:themeColor="text1"/>
          <w:sz w:val="22"/>
          <w:szCs w:val="22"/>
          <w:lang w:val="en-IE"/>
        </w:rPr>
        <w:t xml:space="preserve">able to help </w:t>
      </w:r>
      <w:r w:rsidR="00204E69" w:rsidRPr="003B11BD">
        <w:rPr>
          <w:noProof/>
          <w:color w:val="000000" w:themeColor="text1"/>
          <w:sz w:val="22"/>
          <w:szCs w:val="22"/>
          <w:lang w:val="en-IE"/>
        </w:rPr>
        <w:t>NL</w:t>
      </w:r>
      <w:r w:rsidR="00E65568" w:rsidRPr="003B11BD">
        <w:rPr>
          <w:noProof/>
          <w:color w:val="000000" w:themeColor="text1"/>
          <w:sz w:val="22"/>
          <w:szCs w:val="22"/>
          <w:lang w:val="en-IE"/>
        </w:rPr>
        <w:t xml:space="preserve">, </w:t>
      </w:r>
      <w:r w:rsidR="00767686" w:rsidRPr="003B11BD">
        <w:rPr>
          <w:noProof/>
          <w:color w:val="000000" w:themeColor="text1"/>
          <w:sz w:val="22"/>
          <w:szCs w:val="22"/>
          <w:lang w:val="en-IE"/>
        </w:rPr>
        <w:t xml:space="preserve">also </w:t>
      </w:r>
      <w:r w:rsidR="00E65568" w:rsidRPr="003B11BD">
        <w:rPr>
          <w:noProof/>
          <w:color w:val="000000" w:themeColor="text1"/>
          <w:sz w:val="22"/>
          <w:szCs w:val="22"/>
          <w:lang w:val="en-IE"/>
        </w:rPr>
        <w:t xml:space="preserve">experiencing </w:t>
      </w:r>
      <w:r w:rsidR="00767686" w:rsidRPr="003B11BD">
        <w:rPr>
          <w:noProof/>
          <w:color w:val="000000" w:themeColor="text1"/>
          <w:sz w:val="22"/>
          <w:szCs w:val="22"/>
          <w:lang w:val="en-IE"/>
        </w:rPr>
        <w:t>the</w:t>
      </w:r>
      <w:r w:rsidR="00E65568" w:rsidRPr="003B11BD">
        <w:rPr>
          <w:noProof/>
          <w:color w:val="000000" w:themeColor="text1"/>
          <w:sz w:val="22"/>
          <w:szCs w:val="22"/>
          <w:lang w:val="en-IE"/>
        </w:rPr>
        <w:t xml:space="preserve"> crisis. However, since the </w:t>
      </w:r>
      <w:r w:rsidR="00A03353" w:rsidRPr="003B11BD">
        <w:rPr>
          <w:noProof/>
          <w:color w:val="000000" w:themeColor="text1"/>
          <w:sz w:val="22"/>
          <w:szCs w:val="22"/>
          <w:lang w:val="en-IE"/>
        </w:rPr>
        <w:t>NL</w:t>
      </w:r>
      <w:r w:rsidR="00E65568" w:rsidRPr="003B11BD">
        <w:rPr>
          <w:noProof/>
          <w:color w:val="000000" w:themeColor="text1"/>
          <w:sz w:val="22"/>
          <w:szCs w:val="22"/>
          <w:lang w:val="en-IE"/>
        </w:rPr>
        <w:t xml:space="preserve"> law does not authorise compulsory licences on patent applications, it cannot issue a compulsory licence to import the </w:t>
      </w:r>
      <w:r w:rsidR="00823193" w:rsidRPr="003B11BD">
        <w:rPr>
          <w:noProof/>
          <w:color w:val="000000" w:themeColor="text1"/>
          <w:sz w:val="22"/>
          <w:szCs w:val="22"/>
          <w:lang w:val="en-IE"/>
        </w:rPr>
        <w:t xml:space="preserve">FR </w:t>
      </w:r>
      <w:r w:rsidR="00E65568" w:rsidRPr="003B11BD">
        <w:rPr>
          <w:noProof/>
          <w:color w:val="000000" w:themeColor="text1"/>
          <w:sz w:val="22"/>
          <w:szCs w:val="22"/>
          <w:lang w:val="en-IE"/>
        </w:rPr>
        <w:t>products.</w:t>
      </w:r>
    </w:p>
    <w:p w14:paraId="04BF2DE3" w14:textId="029BFF52" w:rsidR="00E65568" w:rsidRPr="003B11BD" w:rsidRDefault="003C47A6" w:rsidP="005E35C7">
      <w:pPr>
        <w:pStyle w:val="annexsubsection"/>
      </w:pPr>
      <w:r w:rsidRPr="003B11BD">
        <w:t>Procedure</w:t>
      </w:r>
    </w:p>
    <w:p w14:paraId="1E8C69CB" w14:textId="78AD4B8D" w:rsidR="00BF53DF" w:rsidRPr="003B11BD" w:rsidRDefault="16137491" w:rsidP="00BC7C60">
      <w:pPr>
        <w:rPr>
          <w:noProof/>
          <w:lang w:val="en-IE"/>
        </w:rPr>
      </w:pPr>
      <w:r w:rsidRPr="003B11BD">
        <w:rPr>
          <w:noProof/>
          <w:lang w:val="en-IE"/>
        </w:rPr>
        <w:t>Member States also take different approaches as regards the granting authority</w:t>
      </w:r>
      <w:r w:rsidR="5BDD103A" w:rsidRPr="003B11BD">
        <w:rPr>
          <w:noProof/>
          <w:lang w:val="en-IE"/>
        </w:rPr>
        <w:t xml:space="preserve"> and the granting procedure</w:t>
      </w:r>
      <w:r w:rsidRPr="003B11BD">
        <w:rPr>
          <w:noProof/>
          <w:lang w:val="en-IE"/>
        </w:rPr>
        <w:t xml:space="preserve">. </w:t>
      </w:r>
      <w:r w:rsidR="7AFE4530" w:rsidRPr="003B11BD">
        <w:rPr>
          <w:noProof/>
          <w:lang w:val="en-IE"/>
        </w:rPr>
        <w:t xml:space="preserve">The granting authority can be a court, </w:t>
      </w:r>
      <w:r w:rsidR="2899C762" w:rsidRPr="003B11BD">
        <w:rPr>
          <w:noProof/>
          <w:lang w:val="en-IE"/>
        </w:rPr>
        <w:t>an executive body (government or ministry)</w:t>
      </w:r>
      <w:r w:rsidR="4EA3FBD7" w:rsidRPr="003B11BD">
        <w:rPr>
          <w:noProof/>
          <w:lang w:val="en-IE"/>
        </w:rPr>
        <w:t>,</w:t>
      </w:r>
      <w:r w:rsidR="1F3D25D5" w:rsidRPr="003B11BD">
        <w:rPr>
          <w:noProof/>
          <w:lang w:val="en-IE"/>
        </w:rPr>
        <w:t xml:space="preserve"> an IP office or even a competition authority</w:t>
      </w:r>
      <w:r w:rsidR="005F7615" w:rsidRPr="003B11BD">
        <w:rPr>
          <w:rStyle w:val="FootnoteReference"/>
          <w:noProof/>
          <w:lang w:val="en-IE"/>
        </w:rPr>
        <w:footnoteReference w:id="54"/>
      </w:r>
      <w:r w:rsidR="1F3D25D5" w:rsidRPr="003B11BD">
        <w:rPr>
          <w:noProof/>
          <w:lang w:val="en-IE"/>
        </w:rPr>
        <w:t>.</w:t>
      </w:r>
      <w:r w:rsidR="6625BF07" w:rsidRPr="003B11BD">
        <w:rPr>
          <w:noProof/>
          <w:lang w:val="en-IE"/>
        </w:rPr>
        <w:t xml:space="preserve"> </w:t>
      </w:r>
      <w:r w:rsidR="2D263C7B" w:rsidRPr="003B11BD">
        <w:rPr>
          <w:noProof/>
          <w:lang w:val="en-IE"/>
        </w:rPr>
        <w:t>Regulation (EC) No</w:t>
      </w:r>
      <w:r w:rsidR="6625BF07" w:rsidRPr="003B11BD">
        <w:rPr>
          <w:noProof/>
          <w:lang w:val="en-IE"/>
        </w:rPr>
        <w:t xml:space="preserve"> 816/2006 also maintains some margin of manoeuvre for Member States as regards </w:t>
      </w:r>
      <w:r w:rsidR="252A8FE7" w:rsidRPr="003B11BD">
        <w:rPr>
          <w:noProof/>
          <w:lang w:val="en-IE"/>
        </w:rPr>
        <w:t>the competent authority to grant a compulsory licence for export purposes</w:t>
      </w:r>
      <w:r w:rsidR="31DCC4DC" w:rsidRPr="003B11BD">
        <w:rPr>
          <w:noProof/>
          <w:lang w:val="en-IE"/>
        </w:rPr>
        <w:t xml:space="preserve"> to </w:t>
      </w:r>
      <w:r w:rsidR="002D606C" w:rsidRPr="003B11BD">
        <w:rPr>
          <w:noProof/>
          <w:lang w:val="en-IE"/>
        </w:rPr>
        <w:t xml:space="preserve">non-EU </w:t>
      </w:r>
      <w:r w:rsidR="31DCC4DC" w:rsidRPr="003B11BD">
        <w:rPr>
          <w:noProof/>
          <w:lang w:val="en-IE"/>
        </w:rPr>
        <w:t>countries</w:t>
      </w:r>
      <w:r w:rsidR="252A8FE7" w:rsidRPr="003B11BD">
        <w:rPr>
          <w:noProof/>
          <w:lang w:val="en-IE"/>
        </w:rPr>
        <w:t>.</w:t>
      </w:r>
      <w:r w:rsidR="1F3D25D5" w:rsidRPr="003B11BD">
        <w:rPr>
          <w:noProof/>
          <w:lang w:val="en-IE"/>
        </w:rPr>
        <w:t xml:space="preserve"> </w:t>
      </w:r>
    </w:p>
    <w:p w14:paraId="69A3D027" w14:textId="63BF0F3B" w:rsidR="002363D5" w:rsidRPr="003B11BD" w:rsidRDefault="6D63575E" w:rsidP="002363D5">
      <w:pPr>
        <w:rPr>
          <w:noProof/>
          <w:lang w:val="en-IE"/>
        </w:rPr>
      </w:pPr>
      <w:r w:rsidRPr="003B11BD">
        <w:rPr>
          <w:noProof/>
          <w:lang w:val="en-IE"/>
        </w:rPr>
        <w:t xml:space="preserve">Often, when it comes to compulsory licences </w:t>
      </w:r>
      <w:r w:rsidR="78737E51" w:rsidRPr="003B11BD">
        <w:rPr>
          <w:noProof/>
          <w:lang w:val="en-IE"/>
        </w:rPr>
        <w:t>for crisis management, a dedicated authority (typically an executive body) is competent</w:t>
      </w:r>
      <w:r w:rsidR="6933ACC8" w:rsidRPr="003B11BD">
        <w:rPr>
          <w:noProof/>
          <w:lang w:val="en-IE"/>
        </w:rPr>
        <w:t xml:space="preserve"> and expedite</w:t>
      </w:r>
      <w:r w:rsidR="13F58F4C" w:rsidRPr="003B11BD">
        <w:rPr>
          <w:noProof/>
          <w:lang w:val="en-IE"/>
        </w:rPr>
        <w:t>d</w:t>
      </w:r>
      <w:r w:rsidR="6933ACC8" w:rsidRPr="003B11BD">
        <w:rPr>
          <w:noProof/>
          <w:lang w:val="en-IE"/>
        </w:rPr>
        <w:t xml:space="preserve"> procedures are in place</w:t>
      </w:r>
      <w:r w:rsidR="78737E51" w:rsidRPr="003B11BD">
        <w:rPr>
          <w:noProof/>
          <w:lang w:val="en-IE"/>
        </w:rPr>
        <w:t>.</w:t>
      </w:r>
      <w:r w:rsidR="6933ACC8" w:rsidRPr="003B11BD">
        <w:rPr>
          <w:noProof/>
          <w:lang w:val="en-IE"/>
        </w:rPr>
        <w:t xml:space="preserve"> </w:t>
      </w:r>
      <w:r w:rsidR="5C610397" w:rsidRPr="003B11BD">
        <w:rPr>
          <w:noProof/>
          <w:lang w:val="en-IE"/>
        </w:rPr>
        <w:t>Advisory committees are also</w:t>
      </w:r>
      <w:r w:rsidR="6C3BC229" w:rsidRPr="003B11BD">
        <w:rPr>
          <w:noProof/>
          <w:lang w:val="en-IE"/>
        </w:rPr>
        <w:t xml:space="preserve"> sometimes</w:t>
      </w:r>
      <w:r w:rsidR="5C610397" w:rsidRPr="003B11BD">
        <w:rPr>
          <w:noProof/>
          <w:lang w:val="en-IE"/>
        </w:rPr>
        <w:t xml:space="preserve"> involved in the decision-making process</w:t>
      </w:r>
      <w:r w:rsidR="00D41D77" w:rsidRPr="003B11BD">
        <w:rPr>
          <w:rStyle w:val="FootnoteReference"/>
          <w:noProof/>
          <w:lang w:val="en-IE"/>
        </w:rPr>
        <w:footnoteReference w:id="55"/>
      </w:r>
      <w:r w:rsidR="5C610397" w:rsidRPr="003B11BD">
        <w:rPr>
          <w:noProof/>
          <w:lang w:val="en-IE"/>
        </w:rPr>
        <w:t xml:space="preserve">. </w:t>
      </w:r>
      <w:r w:rsidR="4B7ED370" w:rsidRPr="003B11BD">
        <w:rPr>
          <w:noProof/>
          <w:lang w:val="en-IE"/>
        </w:rPr>
        <w:t xml:space="preserve">Patent owners </w:t>
      </w:r>
      <w:r w:rsidR="6C3BC229" w:rsidRPr="003B11BD">
        <w:rPr>
          <w:noProof/>
          <w:lang w:val="en-IE"/>
        </w:rPr>
        <w:t>can be</w:t>
      </w:r>
      <w:r w:rsidR="4B7ED370" w:rsidRPr="003B11BD">
        <w:rPr>
          <w:noProof/>
          <w:lang w:val="en-IE"/>
        </w:rPr>
        <w:t xml:space="preserve"> </w:t>
      </w:r>
      <w:r w:rsidR="787886B2" w:rsidRPr="003B11BD">
        <w:rPr>
          <w:noProof/>
          <w:lang w:val="en-IE"/>
        </w:rPr>
        <w:t>part of the procedure.</w:t>
      </w:r>
      <w:r w:rsidR="6C3BC229" w:rsidRPr="003B11BD">
        <w:rPr>
          <w:noProof/>
          <w:lang w:val="en-IE"/>
        </w:rPr>
        <w:t xml:space="preserve"> This is the case for some national procedures</w:t>
      </w:r>
      <w:r w:rsidR="00113AC2" w:rsidRPr="003B11BD">
        <w:rPr>
          <w:rStyle w:val="FootnoteReference"/>
          <w:noProof/>
          <w:lang w:val="en-IE"/>
        </w:rPr>
        <w:footnoteReference w:id="56"/>
      </w:r>
      <w:r w:rsidR="6C3BC229" w:rsidRPr="003B11BD">
        <w:rPr>
          <w:noProof/>
          <w:lang w:val="en-IE"/>
        </w:rPr>
        <w:t xml:space="preserve"> but also in the context of </w:t>
      </w:r>
      <w:r w:rsidR="2D263C7B" w:rsidRPr="003B11BD">
        <w:rPr>
          <w:noProof/>
          <w:lang w:val="en-IE"/>
        </w:rPr>
        <w:t>Regulation (EC) No 816/2006</w:t>
      </w:r>
      <w:r w:rsidR="6C3BC229" w:rsidRPr="003B11BD">
        <w:rPr>
          <w:noProof/>
          <w:lang w:val="en-IE"/>
        </w:rPr>
        <w:t xml:space="preserve"> </w:t>
      </w:r>
      <w:r w:rsidR="536AC643" w:rsidRPr="003B11BD">
        <w:rPr>
          <w:noProof/>
          <w:lang w:val="en-IE"/>
        </w:rPr>
        <w:t>where the patent holder is being notified of an application for a compulsory licence</w:t>
      </w:r>
      <w:r w:rsidR="54406BCC" w:rsidRPr="003B11BD">
        <w:rPr>
          <w:noProof/>
          <w:lang w:val="en-IE"/>
        </w:rPr>
        <w:t xml:space="preserve"> and </w:t>
      </w:r>
      <w:r w:rsidR="1A7BBCAE" w:rsidRPr="003B11BD">
        <w:rPr>
          <w:noProof/>
          <w:lang w:val="en-IE"/>
        </w:rPr>
        <w:t>can</w:t>
      </w:r>
      <w:r w:rsidR="6E2B5B7C" w:rsidRPr="003B11BD">
        <w:rPr>
          <w:noProof/>
          <w:lang w:val="en-IE"/>
        </w:rPr>
        <w:t xml:space="preserve"> comment</w:t>
      </w:r>
      <w:r w:rsidR="009707D7" w:rsidRPr="003B11BD">
        <w:rPr>
          <w:rStyle w:val="FootnoteReference"/>
          <w:noProof/>
          <w:lang w:val="en-IE"/>
        </w:rPr>
        <w:footnoteReference w:id="57"/>
      </w:r>
      <w:r w:rsidR="536AC643" w:rsidRPr="003B11BD">
        <w:rPr>
          <w:noProof/>
          <w:lang w:val="en-IE"/>
        </w:rPr>
        <w:t>.</w:t>
      </w:r>
      <w:r w:rsidR="787886B2" w:rsidRPr="003B11BD">
        <w:rPr>
          <w:noProof/>
          <w:lang w:val="en-IE"/>
        </w:rPr>
        <w:t xml:space="preserve"> </w:t>
      </w:r>
      <w:r w:rsidR="0F2CCAD8" w:rsidRPr="003B11BD">
        <w:rPr>
          <w:noProof/>
          <w:lang w:val="en-IE"/>
        </w:rPr>
        <w:t>Member States also diverge regarding the availability of a</w:t>
      </w:r>
      <w:r w:rsidR="35DC4262" w:rsidRPr="003B11BD">
        <w:rPr>
          <w:noProof/>
          <w:lang w:val="en-IE"/>
        </w:rPr>
        <w:t>n</w:t>
      </w:r>
      <w:r w:rsidR="0F2CCAD8" w:rsidRPr="003B11BD">
        <w:rPr>
          <w:noProof/>
          <w:lang w:val="en-IE"/>
        </w:rPr>
        <w:t xml:space="preserve"> expedited procedures for the issuance of a compulsory licence</w:t>
      </w:r>
      <w:r w:rsidR="0325620C" w:rsidRPr="003B11BD">
        <w:rPr>
          <w:noProof/>
          <w:lang w:val="en-IE"/>
        </w:rPr>
        <w:t xml:space="preserve"> (e.g. by way of a preliminary relief</w:t>
      </w:r>
      <w:r w:rsidR="00C015CA" w:rsidRPr="003B11BD">
        <w:rPr>
          <w:rStyle w:val="FootnoteReference"/>
          <w:noProof/>
          <w:lang w:val="en-IE"/>
        </w:rPr>
        <w:footnoteReference w:id="58"/>
      </w:r>
      <w:r w:rsidR="0325620C" w:rsidRPr="003B11BD">
        <w:rPr>
          <w:noProof/>
          <w:lang w:val="en-IE"/>
        </w:rPr>
        <w:t>)</w:t>
      </w:r>
      <w:r w:rsidR="09E52C8F" w:rsidRPr="003B11BD">
        <w:rPr>
          <w:noProof/>
          <w:lang w:val="en-IE"/>
        </w:rPr>
        <w:t>.</w:t>
      </w:r>
      <w:r w:rsidR="0F2CCAD8" w:rsidRPr="003B11BD">
        <w:rPr>
          <w:noProof/>
          <w:lang w:val="en-IE"/>
        </w:rPr>
        <w:t xml:space="preserve"> While some Member States provide for such procedures, others do not, or it is at least uncertain whether a compulsory licence based on a preliminary relief is possible because national law is silent on this matter and there are no precedents in national case law</w:t>
      </w:r>
      <w:r w:rsidR="00967AE5" w:rsidRPr="003B11BD">
        <w:rPr>
          <w:rStyle w:val="FootnoteReference"/>
          <w:noProof/>
          <w:lang w:val="en-IE"/>
        </w:rPr>
        <w:footnoteReference w:id="59"/>
      </w:r>
      <w:r w:rsidR="0F2CCAD8" w:rsidRPr="003B11BD">
        <w:rPr>
          <w:noProof/>
          <w:lang w:val="en-IE"/>
        </w:rPr>
        <w:t xml:space="preserve">. </w:t>
      </w:r>
      <w:r w:rsidR="43E2349A" w:rsidRPr="003B11BD">
        <w:rPr>
          <w:noProof/>
          <w:lang w:val="en-IE"/>
        </w:rPr>
        <w:t>Therefore,</w:t>
      </w:r>
      <w:r w:rsidR="6D12A729" w:rsidRPr="003B11BD">
        <w:rPr>
          <w:noProof/>
          <w:lang w:val="en-IE"/>
        </w:rPr>
        <w:t xml:space="preserve"> </w:t>
      </w:r>
      <w:r w:rsidR="18FE9293" w:rsidRPr="003B11BD">
        <w:rPr>
          <w:noProof/>
          <w:lang w:val="en-IE"/>
        </w:rPr>
        <w:t>procedures</w:t>
      </w:r>
      <w:r w:rsidR="1D3F27D1" w:rsidRPr="003B11BD">
        <w:rPr>
          <w:noProof/>
          <w:lang w:val="en-IE"/>
        </w:rPr>
        <w:t xml:space="preserve"> (</w:t>
      </w:r>
      <w:r w:rsidR="6F089624" w:rsidRPr="003B11BD">
        <w:rPr>
          <w:noProof/>
          <w:lang w:val="en-IE"/>
        </w:rPr>
        <w:t>covering e.g.</w:t>
      </w:r>
      <w:r w:rsidR="1D3F27D1" w:rsidRPr="003B11BD">
        <w:rPr>
          <w:noProof/>
          <w:lang w:val="en-IE"/>
        </w:rPr>
        <w:t xml:space="preserve"> the assessment</w:t>
      </w:r>
      <w:r w:rsidR="6F089624" w:rsidRPr="003B11BD">
        <w:rPr>
          <w:noProof/>
          <w:lang w:val="en-IE"/>
        </w:rPr>
        <w:t>, granting or refusal</w:t>
      </w:r>
      <w:r w:rsidR="1D3F27D1" w:rsidRPr="003B11BD">
        <w:rPr>
          <w:noProof/>
          <w:lang w:val="en-IE"/>
        </w:rPr>
        <w:t xml:space="preserve"> of the applications)</w:t>
      </w:r>
      <w:r w:rsidR="18FE9293" w:rsidRPr="003B11BD">
        <w:rPr>
          <w:noProof/>
          <w:lang w:val="en-IE"/>
        </w:rPr>
        <w:t xml:space="preserve"> and granting authorities vary across Member States</w:t>
      </w:r>
      <w:r w:rsidR="6D12A729" w:rsidRPr="003B11BD">
        <w:rPr>
          <w:noProof/>
          <w:lang w:val="en-IE"/>
        </w:rPr>
        <w:t>, including as regards compulsory licensing for export purposes</w:t>
      </w:r>
      <w:r w:rsidR="4EFFE262" w:rsidRPr="003B11BD">
        <w:rPr>
          <w:noProof/>
          <w:lang w:val="en-IE"/>
        </w:rPr>
        <w:t xml:space="preserve"> </w:t>
      </w:r>
      <w:r w:rsidR="41F43BA6" w:rsidRPr="003B11BD">
        <w:rPr>
          <w:noProof/>
          <w:lang w:val="en-IE"/>
        </w:rPr>
        <w:t xml:space="preserve">to </w:t>
      </w:r>
      <w:r w:rsidR="002D606C" w:rsidRPr="003B11BD">
        <w:rPr>
          <w:noProof/>
          <w:lang w:val="en-IE"/>
        </w:rPr>
        <w:t xml:space="preserve">non-EU </w:t>
      </w:r>
      <w:r w:rsidR="41F43BA6" w:rsidRPr="003B11BD">
        <w:rPr>
          <w:noProof/>
          <w:lang w:val="en-IE"/>
        </w:rPr>
        <w:t xml:space="preserve">countries </w:t>
      </w:r>
      <w:r w:rsidR="4EFFE262" w:rsidRPr="003B11BD">
        <w:rPr>
          <w:noProof/>
          <w:lang w:val="en-IE"/>
        </w:rPr>
        <w:t>even if to a lesser extent</w:t>
      </w:r>
      <w:r w:rsidR="0028425A" w:rsidRPr="003B11BD">
        <w:rPr>
          <w:rStyle w:val="FootnoteReference"/>
          <w:noProof/>
          <w:lang w:val="en-IE"/>
        </w:rPr>
        <w:footnoteReference w:id="60"/>
      </w:r>
      <w:r w:rsidR="18FE9293" w:rsidRPr="003B11BD">
        <w:rPr>
          <w:noProof/>
          <w:lang w:val="en-IE"/>
        </w:rPr>
        <w:t xml:space="preserve">. </w:t>
      </w:r>
      <w:r w:rsidR="5BEBB1D3" w:rsidRPr="003B11BD">
        <w:rPr>
          <w:noProof/>
          <w:lang w:val="en-IE"/>
        </w:rPr>
        <w:t xml:space="preserve">Review (appeal) procedures are provided in all Member States but with again different procedures and </w:t>
      </w:r>
      <w:r w:rsidR="247E9ADB" w:rsidRPr="003B11BD">
        <w:rPr>
          <w:noProof/>
          <w:lang w:val="en-IE"/>
        </w:rPr>
        <w:t>delays</w:t>
      </w:r>
      <w:r w:rsidR="14FCE717" w:rsidRPr="003B11BD">
        <w:rPr>
          <w:noProof/>
          <w:lang w:val="en-IE"/>
        </w:rPr>
        <w:t>.</w:t>
      </w:r>
      <w:r w:rsidR="72C32600" w:rsidRPr="003B11BD">
        <w:rPr>
          <w:noProof/>
          <w:lang w:val="en-IE"/>
        </w:rPr>
        <w:t xml:space="preserve"> </w:t>
      </w:r>
      <w:r w:rsidR="14FCE717" w:rsidRPr="003B11BD">
        <w:rPr>
          <w:noProof/>
          <w:lang w:val="en-IE"/>
        </w:rPr>
        <w:t xml:space="preserve">In conclusion, </w:t>
      </w:r>
      <w:r w:rsidR="04F89BF6" w:rsidRPr="003B11BD">
        <w:rPr>
          <w:noProof/>
          <w:lang w:val="en-IE"/>
        </w:rPr>
        <w:t>difference</w:t>
      </w:r>
      <w:r w:rsidR="376DC6F0" w:rsidRPr="003B11BD">
        <w:rPr>
          <w:noProof/>
          <w:lang w:val="en-IE"/>
        </w:rPr>
        <w:t>s</w:t>
      </w:r>
      <w:r w:rsidR="04F89BF6" w:rsidRPr="003B11BD">
        <w:rPr>
          <w:noProof/>
          <w:lang w:val="en-IE"/>
        </w:rPr>
        <w:t xml:space="preserve"> between national</w:t>
      </w:r>
      <w:r w:rsidR="4A6C7D52" w:rsidRPr="003B11BD">
        <w:rPr>
          <w:noProof/>
          <w:lang w:val="en-IE"/>
        </w:rPr>
        <w:t xml:space="preserve"> granting authorities and</w:t>
      </w:r>
      <w:r w:rsidR="04F89BF6" w:rsidRPr="003B11BD">
        <w:rPr>
          <w:noProof/>
          <w:lang w:val="en-IE"/>
        </w:rPr>
        <w:t xml:space="preserve"> procedures result in </w:t>
      </w:r>
      <w:r w:rsidR="13CC88AB" w:rsidRPr="003B11BD">
        <w:rPr>
          <w:noProof/>
          <w:lang w:val="en-IE"/>
        </w:rPr>
        <w:t xml:space="preserve">different </w:t>
      </w:r>
      <w:r w:rsidR="4C9981C5" w:rsidRPr="003B11BD">
        <w:rPr>
          <w:noProof/>
          <w:lang w:val="en-IE"/>
        </w:rPr>
        <w:t>delays</w:t>
      </w:r>
      <w:r w:rsidR="13CC88AB" w:rsidRPr="003B11BD">
        <w:rPr>
          <w:noProof/>
          <w:lang w:val="en-IE"/>
        </w:rPr>
        <w:t xml:space="preserve"> applicable to grant a compulsory licence and to review the granting decision</w:t>
      </w:r>
      <w:r w:rsidR="6B780A08" w:rsidRPr="003B11BD">
        <w:rPr>
          <w:noProof/>
          <w:lang w:val="en-IE"/>
        </w:rPr>
        <w:t>.</w:t>
      </w:r>
      <w:r w:rsidR="11B899F8" w:rsidRPr="003B11BD">
        <w:rPr>
          <w:noProof/>
          <w:lang w:val="en-IE"/>
        </w:rPr>
        <w:t xml:space="preserve"> </w:t>
      </w:r>
    </w:p>
    <w:p w14:paraId="02F39649" w14:textId="2AB50BF6" w:rsidR="4043B6AC" w:rsidRPr="003B11BD" w:rsidRDefault="34F8023E" w:rsidP="008763E1">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color w:val="000000" w:themeColor="text1"/>
          <w:sz w:val="22"/>
          <w:szCs w:val="22"/>
          <w:lang w:val="en-IE"/>
        </w:rPr>
      </w:pPr>
      <w:r w:rsidRPr="003B11BD">
        <w:rPr>
          <w:b/>
          <w:i/>
          <w:noProof/>
          <w:color w:val="000000" w:themeColor="text1"/>
          <w:sz w:val="22"/>
          <w:szCs w:val="22"/>
          <w:lang w:val="en-IE"/>
        </w:rPr>
        <w:t>Concretely</w:t>
      </w:r>
      <w:r w:rsidR="0E07FEBE" w:rsidRPr="003B11BD">
        <w:rPr>
          <w:noProof/>
          <w:color w:val="000000" w:themeColor="text1"/>
          <w:sz w:val="22"/>
          <w:szCs w:val="22"/>
          <w:lang w:val="en-IE"/>
        </w:rPr>
        <w:t>,</w:t>
      </w:r>
      <w:r w:rsidR="23364E6A" w:rsidRPr="003B11BD">
        <w:rPr>
          <w:noProof/>
          <w:color w:val="000000" w:themeColor="text1"/>
          <w:sz w:val="22"/>
          <w:szCs w:val="22"/>
          <w:lang w:val="en-IE"/>
        </w:rPr>
        <w:t xml:space="preserve"> in the context of </w:t>
      </w:r>
      <w:r w:rsidR="3E33D030" w:rsidRPr="003B11BD">
        <w:rPr>
          <w:noProof/>
          <w:color w:val="000000" w:themeColor="text1"/>
          <w:sz w:val="22"/>
          <w:szCs w:val="22"/>
          <w:lang w:val="en-IE"/>
        </w:rPr>
        <w:t>a</w:t>
      </w:r>
      <w:r w:rsidR="42232969" w:rsidRPr="003B11BD">
        <w:rPr>
          <w:noProof/>
          <w:color w:val="000000" w:themeColor="text1"/>
          <w:sz w:val="22"/>
          <w:szCs w:val="22"/>
          <w:lang w:val="en-IE"/>
        </w:rPr>
        <w:t xml:space="preserve"> </w:t>
      </w:r>
      <w:r w:rsidR="1F6BE394" w:rsidRPr="003B11BD">
        <w:rPr>
          <w:noProof/>
          <w:color w:val="000000" w:themeColor="text1"/>
          <w:sz w:val="22"/>
          <w:szCs w:val="22"/>
          <w:lang w:val="en-IE"/>
        </w:rPr>
        <w:t xml:space="preserve">crisis </w:t>
      </w:r>
      <w:r w:rsidR="07EBC100" w:rsidRPr="003B11BD">
        <w:rPr>
          <w:noProof/>
          <w:color w:val="000000" w:themeColor="text1"/>
          <w:sz w:val="22"/>
          <w:szCs w:val="22"/>
          <w:lang w:val="en-IE"/>
        </w:rPr>
        <w:t>requiring</w:t>
      </w:r>
      <w:r w:rsidR="46D9506E" w:rsidRPr="003B11BD">
        <w:rPr>
          <w:noProof/>
          <w:color w:val="000000" w:themeColor="text1"/>
          <w:sz w:val="22"/>
          <w:szCs w:val="22"/>
          <w:lang w:val="en-IE"/>
        </w:rPr>
        <w:t xml:space="preserve"> fast actions</w:t>
      </w:r>
      <w:r w:rsidR="5AEBF10F" w:rsidRPr="003B11BD">
        <w:rPr>
          <w:noProof/>
          <w:color w:val="000000" w:themeColor="text1"/>
          <w:sz w:val="22"/>
          <w:szCs w:val="22"/>
          <w:lang w:val="en-IE"/>
        </w:rPr>
        <w:t>,</w:t>
      </w:r>
      <w:r w:rsidR="46D9506E" w:rsidRPr="003B11BD">
        <w:rPr>
          <w:noProof/>
          <w:color w:val="000000" w:themeColor="text1"/>
          <w:sz w:val="22"/>
          <w:szCs w:val="22"/>
          <w:lang w:val="en-IE"/>
        </w:rPr>
        <w:t xml:space="preserve"> in</w:t>
      </w:r>
      <w:r w:rsidR="4DC176CF" w:rsidRPr="003B11BD">
        <w:rPr>
          <w:noProof/>
          <w:color w:val="000000" w:themeColor="text1"/>
          <w:sz w:val="22"/>
          <w:szCs w:val="22"/>
          <w:lang w:val="en-IE"/>
        </w:rPr>
        <w:t xml:space="preserve"> </w:t>
      </w:r>
      <w:r w:rsidR="00A37A4B" w:rsidRPr="003B11BD">
        <w:rPr>
          <w:noProof/>
          <w:color w:val="000000" w:themeColor="text1"/>
          <w:sz w:val="22"/>
          <w:szCs w:val="22"/>
          <w:lang w:val="en-IE"/>
        </w:rPr>
        <w:t>DE</w:t>
      </w:r>
      <w:r w:rsidR="42232969" w:rsidRPr="003B11BD">
        <w:rPr>
          <w:noProof/>
          <w:color w:val="000000" w:themeColor="text1"/>
          <w:sz w:val="22"/>
          <w:szCs w:val="22"/>
          <w:lang w:val="en-IE"/>
        </w:rPr>
        <w:t xml:space="preserve"> </w:t>
      </w:r>
      <w:r w:rsidR="57B47341" w:rsidRPr="003B11BD">
        <w:rPr>
          <w:noProof/>
          <w:color w:val="000000" w:themeColor="text1"/>
          <w:sz w:val="22"/>
          <w:szCs w:val="22"/>
          <w:lang w:val="en-IE"/>
        </w:rPr>
        <w:t xml:space="preserve">a </w:t>
      </w:r>
      <w:r w:rsidR="00A37A4B" w:rsidRPr="003B11BD">
        <w:rPr>
          <w:noProof/>
          <w:color w:val="000000" w:themeColor="text1"/>
          <w:sz w:val="22"/>
          <w:szCs w:val="22"/>
          <w:lang w:val="en-IE"/>
        </w:rPr>
        <w:t>compulsory licence</w:t>
      </w:r>
      <w:r w:rsidR="57B47341" w:rsidRPr="003B11BD">
        <w:rPr>
          <w:noProof/>
          <w:color w:val="000000" w:themeColor="text1"/>
          <w:sz w:val="22"/>
          <w:szCs w:val="22"/>
          <w:lang w:val="en-IE"/>
        </w:rPr>
        <w:t xml:space="preserve"> can be </w:t>
      </w:r>
      <w:r w:rsidR="028EF1F3" w:rsidRPr="003B11BD">
        <w:rPr>
          <w:noProof/>
          <w:color w:val="000000" w:themeColor="text1"/>
          <w:sz w:val="22"/>
          <w:szCs w:val="22"/>
          <w:lang w:val="en-IE"/>
        </w:rPr>
        <w:t>g</w:t>
      </w:r>
      <w:r w:rsidR="57B47341" w:rsidRPr="003B11BD">
        <w:rPr>
          <w:noProof/>
          <w:color w:val="000000" w:themeColor="text1"/>
          <w:sz w:val="22"/>
          <w:szCs w:val="22"/>
          <w:lang w:val="en-IE"/>
        </w:rPr>
        <w:t xml:space="preserve">ranted </w:t>
      </w:r>
      <w:r w:rsidR="67EB1F13" w:rsidRPr="003B11BD">
        <w:rPr>
          <w:noProof/>
          <w:color w:val="000000" w:themeColor="text1"/>
          <w:sz w:val="22"/>
          <w:szCs w:val="22"/>
          <w:lang w:val="en-IE"/>
        </w:rPr>
        <w:t>based on</w:t>
      </w:r>
      <w:r w:rsidR="57B47341" w:rsidRPr="003B11BD">
        <w:rPr>
          <w:noProof/>
          <w:color w:val="000000" w:themeColor="text1"/>
          <w:sz w:val="22"/>
          <w:szCs w:val="22"/>
          <w:lang w:val="en-IE"/>
        </w:rPr>
        <w:t xml:space="preserve"> </w:t>
      </w:r>
      <w:r w:rsidR="377A1804" w:rsidRPr="003B11BD">
        <w:rPr>
          <w:noProof/>
          <w:color w:val="000000" w:themeColor="text1"/>
          <w:sz w:val="22"/>
          <w:szCs w:val="22"/>
          <w:lang w:val="en-IE"/>
        </w:rPr>
        <w:t>a preliminary relief</w:t>
      </w:r>
      <w:r w:rsidR="2DDE57CE" w:rsidRPr="003B11BD">
        <w:rPr>
          <w:noProof/>
          <w:color w:val="000000" w:themeColor="text1"/>
          <w:sz w:val="22"/>
          <w:szCs w:val="22"/>
          <w:lang w:val="en-IE"/>
        </w:rPr>
        <w:t>.</w:t>
      </w:r>
      <w:r w:rsidR="42232969" w:rsidRPr="003B11BD">
        <w:rPr>
          <w:noProof/>
          <w:color w:val="000000" w:themeColor="text1"/>
          <w:sz w:val="22"/>
          <w:szCs w:val="22"/>
          <w:lang w:val="en-IE"/>
        </w:rPr>
        <w:t xml:space="preserve"> </w:t>
      </w:r>
      <w:r w:rsidR="4C4BBBFD" w:rsidRPr="003B11BD">
        <w:rPr>
          <w:noProof/>
          <w:color w:val="000000" w:themeColor="text1"/>
          <w:sz w:val="22"/>
          <w:szCs w:val="22"/>
          <w:lang w:val="en-IE"/>
        </w:rPr>
        <w:t xml:space="preserve">In contrast, </w:t>
      </w:r>
      <w:r w:rsidR="5734559E" w:rsidRPr="003B11BD">
        <w:rPr>
          <w:noProof/>
          <w:color w:val="000000" w:themeColor="text1"/>
          <w:sz w:val="22"/>
          <w:szCs w:val="22"/>
          <w:lang w:val="en-IE"/>
        </w:rPr>
        <w:t xml:space="preserve">in </w:t>
      </w:r>
      <w:r w:rsidR="002A4049" w:rsidRPr="003B11BD">
        <w:rPr>
          <w:noProof/>
          <w:color w:val="000000" w:themeColor="text1"/>
          <w:sz w:val="22"/>
          <w:szCs w:val="22"/>
          <w:lang w:val="en-IE"/>
        </w:rPr>
        <w:t>PL</w:t>
      </w:r>
      <w:r w:rsidR="27784495" w:rsidRPr="003B11BD">
        <w:rPr>
          <w:noProof/>
          <w:color w:val="000000" w:themeColor="text1"/>
          <w:sz w:val="22"/>
          <w:szCs w:val="22"/>
          <w:lang w:val="en-IE"/>
        </w:rPr>
        <w:t xml:space="preserve"> it is not possible to obtain</w:t>
      </w:r>
      <w:r w:rsidR="622E47BD" w:rsidRPr="003B11BD">
        <w:rPr>
          <w:noProof/>
          <w:color w:val="000000" w:themeColor="text1"/>
          <w:sz w:val="22"/>
          <w:szCs w:val="22"/>
          <w:lang w:val="en-IE"/>
        </w:rPr>
        <w:t xml:space="preserve"> </w:t>
      </w:r>
      <w:r w:rsidR="27784495" w:rsidRPr="003B11BD">
        <w:rPr>
          <w:noProof/>
          <w:color w:val="000000" w:themeColor="text1"/>
          <w:sz w:val="22"/>
          <w:szCs w:val="22"/>
          <w:lang w:val="en-IE"/>
        </w:rPr>
        <w:t xml:space="preserve">a </w:t>
      </w:r>
      <w:r w:rsidR="00A37A4B" w:rsidRPr="003B11BD">
        <w:rPr>
          <w:noProof/>
          <w:color w:val="000000" w:themeColor="text1"/>
          <w:sz w:val="22"/>
          <w:szCs w:val="22"/>
          <w:lang w:val="en-IE"/>
        </w:rPr>
        <w:t>compulsory licence</w:t>
      </w:r>
      <w:r w:rsidR="27784495" w:rsidRPr="003B11BD">
        <w:rPr>
          <w:noProof/>
          <w:color w:val="000000" w:themeColor="text1"/>
          <w:sz w:val="22"/>
          <w:szCs w:val="22"/>
          <w:lang w:val="en-IE"/>
        </w:rPr>
        <w:t xml:space="preserve"> by way of a preliminary relief. </w:t>
      </w:r>
      <w:r w:rsidR="28A1805F" w:rsidRPr="003B11BD">
        <w:rPr>
          <w:noProof/>
          <w:color w:val="000000" w:themeColor="text1"/>
          <w:sz w:val="22"/>
          <w:szCs w:val="22"/>
          <w:lang w:val="en-IE"/>
        </w:rPr>
        <w:t>T</w:t>
      </w:r>
      <w:r w:rsidR="1D84B0E7" w:rsidRPr="003B11BD">
        <w:rPr>
          <w:noProof/>
          <w:color w:val="000000" w:themeColor="text1"/>
          <w:sz w:val="22"/>
          <w:szCs w:val="22"/>
          <w:lang w:val="en-IE"/>
        </w:rPr>
        <w:t>his could</w:t>
      </w:r>
      <w:r w:rsidR="680C52B7" w:rsidRPr="003B11BD">
        <w:rPr>
          <w:noProof/>
          <w:color w:val="000000" w:themeColor="text1"/>
          <w:sz w:val="22"/>
          <w:szCs w:val="22"/>
          <w:lang w:val="en-IE"/>
        </w:rPr>
        <w:t xml:space="preserve"> lead to delays </w:t>
      </w:r>
      <w:r w:rsidR="24A470C5" w:rsidRPr="003B11BD">
        <w:rPr>
          <w:noProof/>
          <w:color w:val="000000" w:themeColor="text1"/>
          <w:sz w:val="22"/>
          <w:szCs w:val="22"/>
          <w:lang w:val="en-IE"/>
        </w:rPr>
        <w:t xml:space="preserve">in cross-border supply, for </w:t>
      </w:r>
      <w:r w:rsidR="5F961DBF" w:rsidRPr="003B11BD">
        <w:rPr>
          <w:noProof/>
          <w:color w:val="000000" w:themeColor="text1"/>
          <w:sz w:val="22"/>
          <w:szCs w:val="22"/>
          <w:lang w:val="en-IE"/>
        </w:rPr>
        <w:t>inst</w:t>
      </w:r>
      <w:r w:rsidR="43208B61" w:rsidRPr="003B11BD">
        <w:rPr>
          <w:noProof/>
          <w:color w:val="000000" w:themeColor="text1"/>
          <w:sz w:val="22"/>
          <w:szCs w:val="22"/>
          <w:lang w:val="en-IE"/>
        </w:rPr>
        <w:t>an</w:t>
      </w:r>
      <w:r w:rsidR="5F961DBF" w:rsidRPr="003B11BD">
        <w:rPr>
          <w:noProof/>
          <w:color w:val="000000" w:themeColor="text1"/>
          <w:sz w:val="22"/>
          <w:szCs w:val="22"/>
          <w:lang w:val="en-IE"/>
        </w:rPr>
        <w:t>ce</w:t>
      </w:r>
      <w:r w:rsidR="24A470C5" w:rsidRPr="003B11BD">
        <w:rPr>
          <w:noProof/>
          <w:color w:val="000000" w:themeColor="text1"/>
          <w:sz w:val="22"/>
          <w:szCs w:val="22"/>
          <w:lang w:val="en-IE"/>
        </w:rPr>
        <w:t xml:space="preserve"> </w:t>
      </w:r>
      <w:r w:rsidR="60B9127B" w:rsidRPr="003B11BD">
        <w:rPr>
          <w:noProof/>
          <w:color w:val="000000" w:themeColor="text1"/>
          <w:sz w:val="22"/>
          <w:szCs w:val="22"/>
          <w:lang w:val="en-IE"/>
        </w:rPr>
        <w:t>when</w:t>
      </w:r>
      <w:r w:rsidR="680C52B7" w:rsidRPr="003B11BD">
        <w:rPr>
          <w:noProof/>
          <w:color w:val="000000" w:themeColor="text1"/>
          <w:sz w:val="22"/>
          <w:szCs w:val="22"/>
          <w:lang w:val="en-IE"/>
        </w:rPr>
        <w:t xml:space="preserve"> </w:t>
      </w:r>
      <w:r w:rsidR="0C99B616" w:rsidRPr="003B11BD">
        <w:rPr>
          <w:noProof/>
          <w:color w:val="000000" w:themeColor="text1"/>
          <w:sz w:val="22"/>
          <w:szCs w:val="22"/>
          <w:lang w:val="en-IE"/>
        </w:rPr>
        <w:t xml:space="preserve">the crisis relevant </w:t>
      </w:r>
      <w:r w:rsidR="680C52B7" w:rsidRPr="003B11BD">
        <w:rPr>
          <w:noProof/>
          <w:color w:val="000000" w:themeColor="text1"/>
          <w:sz w:val="22"/>
          <w:szCs w:val="22"/>
          <w:lang w:val="en-IE"/>
        </w:rPr>
        <w:t xml:space="preserve">products are already being produced in </w:t>
      </w:r>
      <w:r w:rsidR="00AC71E2" w:rsidRPr="003B11BD">
        <w:rPr>
          <w:noProof/>
          <w:color w:val="000000" w:themeColor="text1"/>
          <w:sz w:val="22"/>
          <w:szCs w:val="22"/>
          <w:lang w:val="en-IE"/>
        </w:rPr>
        <w:t>DE</w:t>
      </w:r>
      <w:r w:rsidR="680C52B7" w:rsidRPr="003B11BD">
        <w:rPr>
          <w:noProof/>
          <w:color w:val="000000" w:themeColor="text1"/>
          <w:sz w:val="22"/>
          <w:szCs w:val="22"/>
          <w:lang w:val="en-IE"/>
        </w:rPr>
        <w:t xml:space="preserve"> under a preliminary </w:t>
      </w:r>
      <w:r w:rsidR="00AC71E2" w:rsidRPr="003B11BD">
        <w:rPr>
          <w:noProof/>
          <w:color w:val="000000" w:themeColor="text1"/>
          <w:sz w:val="22"/>
          <w:szCs w:val="22"/>
          <w:lang w:val="en-IE"/>
        </w:rPr>
        <w:t>compulsory licence</w:t>
      </w:r>
      <w:r w:rsidR="680C52B7" w:rsidRPr="003B11BD">
        <w:rPr>
          <w:noProof/>
          <w:color w:val="000000" w:themeColor="text1"/>
          <w:sz w:val="22"/>
          <w:szCs w:val="22"/>
          <w:lang w:val="en-IE"/>
        </w:rPr>
        <w:t xml:space="preserve"> </w:t>
      </w:r>
      <w:r w:rsidR="53200F58" w:rsidRPr="003B11BD">
        <w:rPr>
          <w:noProof/>
          <w:color w:val="000000" w:themeColor="text1"/>
          <w:sz w:val="22"/>
          <w:szCs w:val="22"/>
          <w:lang w:val="en-IE"/>
        </w:rPr>
        <w:t>(</w:t>
      </w:r>
      <w:r w:rsidR="680C52B7" w:rsidRPr="003B11BD">
        <w:rPr>
          <w:noProof/>
          <w:color w:val="000000" w:themeColor="text1"/>
          <w:sz w:val="22"/>
          <w:szCs w:val="22"/>
          <w:lang w:val="en-IE"/>
        </w:rPr>
        <w:t xml:space="preserve">also </w:t>
      </w:r>
      <w:r w:rsidR="74D46F19" w:rsidRPr="003B11BD">
        <w:rPr>
          <w:noProof/>
          <w:color w:val="000000" w:themeColor="text1"/>
          <w:sz w:val="22"/>
          <w:szCs w:val="22"/>
          <w:lang w:val="en-IE"/>
        </w:rPr>
        <w:t xml:space="preserve">ready </w:t>
      </w:r>
      <w:r w:rsidR="680C52B7" w:rsidRPr="003B11BD">
        <w:rPr>
          <w:noProof/>
          <w:color w:val="000000" w:themeColor="text1"/>
          <w:sz w:val="22"/>
          <w:szCs w:val="22"/>
          <w:lang w:val="en-IE"/>
        </w:rPr>
        <w:t xml:space="preserve">for the supply of </w:t>
      </w:r>
      <w:r w:rsidR="002A4049" w:rsidRPr="003B11BD">
        <w:rPr>
          <w:noProof/>
          <w:color w:val="000000" w:themeColor="text1"/>
          <w:sz w:val="22"/>
          <w:szCs w:val="22"/>
          <w:lang w:val="en-IE"/>
        </w:rPr>
        <w:t>PL</w:t>
      </w:r>
      <w:r w:rsidR="3CACD817" w:rsidRPr="003B11BD">
        <w:rPr>
          <w:noProof/>
          <w:color w:val="000000" w:themeColor="text1"/>
          <w:sz w:val="22"/>
          <w:szCs w:val="22"/>
          <w:lang w:val="en-IE"/>
        </w:rPr>
        <w:t>)</w:t>
      </w:r>
      <w:r w:rsidR="3444E33C" w:rsidRPr="003B11BD">
        <w:rPr>
          <w:noProof/>
          <w:color w:val="000000" w:themeColor="text1"/>
          <w:sz w:val="22"/>
          <w:szCs w:val="22"/>
          <w:lang w:val="en-IE"/>
        </w:rPr>
        <w:t>,</w:t>
      </w:r>
      <w:r w:rsidR="680C52B7" w:rsidRPr="003B11BD">
        <w:rPr>
          <w:noProof/>
          <w:color w:val="000000" w:themeColor="text1"/>
          <w:sz w:val="22"/>
          <w:szCs w:val="22"/>
          <w:lang w:val="en-IE"/>
        </w:rPr>
        <w:t xml:space="preserve"> </w:t>
      </w:r>
      <w:r w:rsidR="2EE8E17F" w:rsidRPr="003B11BD">
        <w:rPr>
          <w:noProof/>
          <w:color w:val="000000" w:themeColor="text1"/>
          <w:sz w:val="22"/>
          <w:szCs w:val="22"/>
          <w:lang w:val="en-IE"/>
        </w:rPr>
        <w:t xml:space="preserve">but </w:t>
      </w:r>
      <w:r w:rsidR="002A4049" w:rsidRPr="003B11BD">
        <w:rPr>
          <w:noProof/>
          <w:color w:val="000000" w:themeColor="text1"/>
          <w:sz w:val="22"/>
          <w:szCs w:val="22"/>
          <w:lang w:val="en-IE"/>
        </w:rPr>
        <w:t>PL</w:t>
      </w:r>
      <w:r w:rsidR="2EE8E17F" w:rsidRPr="003B11BD">
        <w:rPr>
          <w:noProof/>
          <w:color w:val="000000" w:themeColor="text1"/>
          <w:sz w:val="22"/>
          <w:szCs w:val="22"/>
          <w:lang w:val="en-IE"/>
        </w:rPr>
        <w:t xml:space="preserve"> cannot </w:t>
      </w:r>
      <w:r w:rsidR="637C6BCF" w:rsidRPr="003B11BD">
        <w:rPr>
          <w:noProof/>
          <w:color w:val="000000" w:themeColor="text1"/>
          <w:sz w:val="22"/>
          <w:szCs w:val="22"/>
          <w:lang w:val="en-IE"/>
        </w:rPr>
        <w:t>reac</w:t>
      </w:r>
      <w:r w:rsidR="2EE8E17F" w:rsidRPr="003B11BD">
        <w:rPr>
          <w:noProof/>
          <w:color w:val="000000" w:themeColor="text1"/>
          <w:sz w:val="22"/>
          <w:szCs w:val="22"/>
          <w:lang w:val="en-IE"/>
        </w:rPr>
        <w:t xml:space="preserve">t </w:t>
      </w:r>
      <w:r w:rsidR="7CBC46E2" w:rsidRPr="003B11BD">
        <w:rPr>
          <w:noProof/>
          <w:color w:val="000000" w:themeColor="text1"/>
          <w:sz w:val="22"/>
          <w:szCs w:val="22"/>
          <w:lang w:val="en-IE"/>
        </w:rPr>
        <w:t xml:space="preserve">in </w:t>
      </w:r>
      <w:r w:rsidR="06236C43" w:rsidRPr="003B11BD">
        <w:rPr>
          <w:noProof/>
          <w:color w:val="000000" w:themeColor="text1"/>
          <w:sz w:val="22"/>
          <w:szCs w:val="22"/>
          <w:lang w:val="en-IE"/>
        </w:rPr>
        <w:t>timely</w:t>
      </w:r>
      <w:r w:rsidR="7CBC46E2" w:rsidRPr="003B11BD">
        <w:rPr>
          <w:noProof/>
          <w:color w:val="000000" w:themeColor="text1"/>
          <w:sz w:val="22"/>
          <w:szCs w:val="22"/>
          <w:lang w:val="en-IE"/>
        </w:rPr>
        <w:t xml:space="preserve"> manner with a corresponding </w:t>
      </w:r>
      <w:r w:rsidR="00AC71E2" w:rsidRPr="003B11BD">
        <w:rPr>
          <w:noProof/>
          <w:color w:val="000000" w:themeColor="text1"/>
          <w:sz w:val="22"/>
          <w:szCs w:val="22"/>
          <w:lang w:val="en-IE"/>
        </w:rPr>
        <w:t>compulsory licence</w:t>
      </w:r>
      <w:r w:rsidR="7CBC46E2" w:rsidRPr="003B11BD">
        <w:rPr>
          <w:noProof/>
          <w:color w:val="000000" w:themeColor="text1"/>
          <w:sz w:val="22"/>
          <w:szCs w:val="22"/>
          <w:lang w:val="en-IE"/>
        </w:rPr>
        <w:t xml:space="preserve"> for </w:t>
      </w:r>
      <w:r w:rsidR="793A6EAA" w:rsidRPr="003B11BD">
        <w:rPr>
          <w:noProof/>
          <w:color w:val="000000" w:themeColor="text1"/>
          <w:sz w:val="22"/>
          <w:szCs w:val="22"/>
          <w:lang w:val="en-IE"/>
        </w:rPr>
        <w:t xml:space="preserve">the </w:t>
      </w:r>
      <w:r w:rsidR="3684DE2A" w:rsidRPr="003B11BD">
        <w:rPr>
          <w:noProof/>
          <w:color w:val="000000" w:themeColor="text1"/>
          <w:sz w:val="22"/>
          <w:szCs w:val="22"/>
          <w:lang w:val="en-IE"/>
        </w:rPr>
        <w:t>import</w:t>
      </w:r>
      <w:r w:rsidR="375B3F47" w:rsidRPr="003B11BD">
        <w:rPr>
          <w:noProof/>
          <w:color w:val="000000" w:themeColor="text1"/>
          <w:sz w:val="22"/>
          <w:szCs w:val="22"/>
          <w:lang w:val="en-IE"/>
        </w:rPr>
        <w:t>atio</w:t>
      </w:r>
      <w:r w:rsidR="5CEF2C9E" w:rsidRPr="003B11BD">
        <w:rPr>
          <w:noProof/>
          <w:color w:val="000000" w:themeColor="text1"/>
          <w:sz w:val="22"/>
          <w:szCs w:val="22"/>
          <w:lang w:val="en-IE"/>
        </w:rPr>
        <w:t>n</w:t>
      </w:r>
      <w:r w:rsidR="7CBC46E2" w:rsidRPr="003B11BD">
        <w:rPr>
          <w:noProof/>
          <w:color w:val="000000" w:themeColor="text1"/>
          <w:sz w:val="22"/>
          <w:szCs w:val="22"/>
          <w:lang w:val="en-IE"/>
        </w:rPr>
        <w:t xml:space="preserve"> due to the </w:t>
      </w:r>
      <w:r w:rsidR="7606741C" w:rsidRPr="003B11BD">
        <w:rPr>
          <w:noProof/>
          <w:color w:val="000000" w:themeColor="text1"/>
          <w:sz w:val="22"/>
          <w:szCs w:val="22"/>
          <w:lang w:val="en-IE"/>
        </w:rPr>
        <w:t>lack of expedited procedure.</w:t>
      </w:r>
      <w:r w:rsidR="00AC71E2" w:rsidRPr="003B11BD">
        <w:rPr>
          <w:noProof/>
          <w:color w:val="000000" w:themeColor="text1"/>
          <w:sz w:val="22"/>
          <w:szCs w:val="22"/>
          <w:lang w:val="en-IE"/>
        </w:rPr>
        <w:t xml:space="preserve"> </w:t>
      </w:r>
    </w:p>
    <w:p w14:paraId="26EE960A" w14:textId="252090EA" w:rsidR="003843B7" w:rsidRPr="003B11BD" w:rsidRDefault="003843B7" w:rsidP="005E35C7">
      <w:pPr>
        <w:pStyle w:val="annexsubsection"/>
      </w:pPr>
      <w:r w:rsidRPr="003B11BD">
        <w:t>Conditions</w:t>
      </w:r>
    </w:p>
    <w:p w14:paraId="071B7746" w14:textId="4F4549FA" w:rsidR="00E068A3" w:rsidRPr="003B11BD" w:rsidRDefault="00E068A3" w:rsidP="002D7DB8">
      <w:pPr>
        <w:rPr>
          <w:noProof/>
          <w:lang w:val="en-IE"/>
        </w:rPr>
      </w:pPr>
      <w:r w:rsidRPr="003B11BD">
        <w:rPr>
          <w:noProof/>
          <w:lang w:val="en-IE"/>
        </w:rPr>
        <w:t>Member States apply different conditions</w:t>
      </w:r>
      <w:r w:rsidR="0043615C" w:rsidRPr="003B11BD">
        <w:rPr>
          <w:noProof/>
          <w:lang w:val="en-IE"/>
        </w:rPr>
        <w:t xml:space="preserve"> as regards the conditions </w:t>
      </w:r>
      <w:r w:rsidR="006B7FA2" w:rsidRPr="003B11BD">
        <w:rPr>
          <w:noProof/>
          <w:lang w:val="en-IE"/>
        </w:rPr>
        <w:t>under which a compulsory</w:t>
      </w:r>
      <w:r w:rsidR="007E0503" w:rsidRPr="003B11BD">
        <w:rPr>
          <w:noProof/>
          <w:lang w:val="en-IE"/>
        </w:rPr>
        <w:t xml:space="preserve"> licence can be granted. These conditions </w:t>
      </w:r>
      <w:r w:rsidRPr="003B11BD">
        <w:rPr>
          <w:noProof/>
          <w:lang w:val="en-IE"/>
        </w:rPr>
        <w:t>can impact the effectiveness of a compulsory licence</w:t>
      </w:r>
      <w:r w:rsidR="007E0503" w:rsidRPr="003B11BD">
        <w:rPr>
          <w:noProof/>
          <w:lang w:val="en-IE"/>
        </w:rPr>
        <w:t>:</w:t>
      </w:r>
    </w:p>
    <w:p w14:paraId="6FA72201" w14:textId="75D4A3CF" w:rsidR="004F1618" w:rsidRPr="003B11BD" w:rsidRDefault="00A06CE9" w:rsidP="004C618F">
      <w:pPr>
        <w:pStyle w:val="Bullets"/>
        <w:rPr>
          <w:noProof/>
        </w:rPr>
      </w:pPr>
      <w:r w:rsidRPr="003B11BD">
        <w:rPr>
          <w:noProof/>
        </w:rPr>
        <w:t>Identification of the patent</w:t>
      </w:r>
      <w:r w:rsidR="00FF4D44" w:rsidRPr="003B11BD">
        <w:rPr>
          <w:noProof/>
        </w:rPr>
        <w:t>(s)</w:t>
      </w:r>
      <w:r w:rsidRPr="003B11BD">
        <w:rPr>
          <w:noProof/>
        </w:rPr>
        <w:t xml:space="preserve"> and/ or produc</w:t>
      </w:r>
      <w:r w:rsidR="00FF4D44" w:rsidRPr="003B11BD">
        <w:rPr>
          <w:noProof/>
        </w:rPr>
        <w:t>t</w:t>
      </w:r>
      <w:r w:rsidR="007D30B5" w:rsidRPr="003B11BD">
        <w:rPr>
          <w:noProof/>
        </w:rPr>
        <w:t xml:space="preserve">: </w:t>
      </w:r>
      <w:r w:rsidRPr="003B11BD">
        <w:rPr>
          <w:noProof/>
        </w:rPr>
        <w:t>Most Me</w:t>
      </w:r>
      <w:r w:rsidR="00FF4D44" w:rsidRPr="003B11BD">
        <w:rPr>
          <w:noProof/>
        </w:rPr>
        <w:t xml:space="preserve">mber States’ laws provide for a compulsory licence </w:t>
      </w:r>
      <w:r w:rsidR="007E0DFB" w:rsidRPr="003B11BD">
        <w:rPr>
          <w:noProof/>
        </w:rPr>
        <w:t>for a “patent”, leaving room for interpretation as to whether this can refer to all patents covering a product or</w:t>
      </w:r>
      <w:r w:rsidR="00527F76" w:rsidRPr="003B11BD">
        <w:rPr>
          <w:noProof/>
        </w:rPr>
        <w:t xml:space="preserve"> </w:t>
      </w:r>
      <w:r w:rsidR="007E0DFB" w:rsidRPr="003B11BD">
        <w:rPr>
          <w:noProof/>
        </w:rPr>
        <w:t>only</w:t>
      </w:r>
      <w:r w:rsidR="0024274A" w:rsidRPr="003B11BD">
        <w:rPr>
          <w:noProof/>
        </w:rPr>
        <w:t xml:space="preserve"> to</w:t>
      </w:r>
      <w:r w:rsidR="007E0DFB" w:rsidRPr="003B11BD">
        <w:rPr>
          <w:noProof/>
        </w:rPr>
        <w:t xml:space="preserve"> a single patent (meaning that </w:t>
      </w:r>
      <w:r w:rsidR="00CC0793" w:rsidRPr="003B11BD">
        <w:rPr>
          <w:noProof/>
        </w:rPr>
        <w:t>for complex</w:t>
      </w:r>
      <w:r w:rsidR="00F91AB0" w:rsidRPr="003B11BD">
        <w:rPr>
          <w:noProof/>
        </w:rPr>
        <w:t xml:space="preserve"> product</w:t>
      </w:r>
      <w:r w:rsidR="00CC0793" w:rsidRPr="003B11BD">
        <w:rPr>
          <w:noProof/>
        </w:rPr>
        <w:t>s</w:t>
      </w:r>
      <w:r w:rsidR="00F91AB0" w:rsidRPr="003B11BD">
        <w:rPr>
          <w:noProof/>
        </w:rPr>
        <w:t xml:space="preserve"> covered by multiple patents, multiple compulsory licences would need to be </w:t>
      </w:r>
      <w:r w:rsidR="00CC0793" w:rsidRPr="003B11BD">
        <w:rPr>
          <w:noProof/>
        </w:rPr>
        <w:t>issued</w:t>
      </w:r>
      <w:r w:rsidR="00F91AB0" w:rsidRPr="003B11BD">
        <w:rPr>
          <w:noProof/>
        </w:rPr>
        <w:t>).</w:t>
      </w:r>
      <w:r w:rsidR="003D26C7" w:rsidRPr="003B11BD">
        <w:rPr>
          <w:noProof/>
        </w:rPr>
        <w:t xml:space="preserve"> </w:t>
      </w:r>
      <w:r w:rsidR="002F1F36" w:rsidRPr="003B11BD">
        <w:rPr>
          <w:noProof/>
        </w:rPr>
        <w:t>This is source of legal uncertainty</w:t>
      </w:r>
      <w:r w:rsidR="002F1F36" w:rsidRPr="003B11BD">
        <w:rPr>
          <w:rStyle w:val="FootnoteReference"/>
          <w:noProof/>
        </w:rPr>
        <w:footnoteReference w:id="61"/>
      </w:r>
      <w:r w:rsidR="00B922EB" w:rsidRPr="003B11BD">
        <w:rPr>
          <w:noProof/>
        </w:rPr>
        <w:t>.</w:t>
      </w:r>
      <w:r w:rsidR="004F69B2" w:rsidRPr="003B11BD">
        <w:rPr>
          <w:noProof/>
        </w:rPr>
        <w:t xml:space="preserve"> </w:t>
      </w:r>
      <w:r w:rsidR="00B922EB" w:rsidRPr="003B11BD">
        <w:rPr>
          <w:noProof/>
        </w:rPr>
        <w:t>A</w:t>
      </w:r>
      <w:r w:rsidR="004F69B2" w:rsidRPr="003B11BD">
        <w:rPr>
          <w:noProof/>
        </w:rPr>
        <w:t xml:space="preserve"> compulsory licence </w:t>
      </w:r>
      <w:r w:rsidR="00BD6C4F" w:rsidRPr="003B11BD">
        <w:rPr>
          <w:noProof/>
        </w:rPr>
        <w:t xml:space="preserve">can </w:t>
      </w:r>
      <w:r w:rsidR="00CD689B" w:rsidRPr="003B11BD">
        <w:rPr>
          <w:noProof/>
        </w:rPr>
        <w:t xml:space="preserve">currently </w:t>
      </w:r>
      <w:r w:rsidR="00813F26" w:rsidRPr="003B11BD">
        <w:rPr>
          <w:noProof/>
        </w:rPr>
        <w:t>be based on a product</w:t>
      </w:r>
      <w:r w:rsidR="00CD689B" w:rsidRPr="003B11BD">
        <w:rPr>
          <w:noProof/>
        </w:rPr>
        <w:t xml:space="preserve"> under </w:t>
      </w:r>
      <w:r w:rsidR="000C155F" w:rsidRPr="003B11BD">
        <w:rPr>
          <w:noProof/>
        </w:rPr>
        <w:t>Regulation (EC) No 816/2006</w:t>
      </w:r>
      <w:r w:rsidR="004E10F9" w:rsidRPr="003B11BD">
        <w:rPr>
          <w:rStyle w:val="FootnoteReference"/>
          <w:noProof/>
        </w:rPr>
        <w:footnoteReference w:id="62"/>
      </w:r>
      <w:r w:rsidR="00813F26" w:rsidRPr="003B11BD">
        <w:rPr>
          <w:noProof/>
        </w:rPr>
        <w:t>.</w:t>
      </w:r>
      <w:r w:rsidR="00BE334D" w:rsidRPr="003B11BD">
        <w:rPr>
          <w:noProof/>
        </w:rPr>
        <w:t xml:space="preserve"> </w:t>
      </w:r>
    </w:p>
    <w:p w14:paraId="5A4FF2CC" w14:textId="05AAC38F" w:rsidR="00E068A3" w:rsidRPr="003B11BD" w:rsidRDefault="22D7C106" w:rsidP="004C618F">
      <w:pPr>
        <w:pStyle w:val="Bullets"/>
        <w:rPr>
          <w:noProof/>
        </w:rPr>
      </w:pPr>
      <w:r w:rsidRPr="003B11BD">
        <w:rPr>
          <w:noProof/>
        </w:rPr>
        <w:t>Embargos</w:t>
      </w:r>
      <w:r w:rsidR="3B7ADE36" w:rsidRPr="003B11BD">
        <w:rPr>
          <w:noProof/>
        </w:rPr>
        <w:t>:</w:t>
      </w:r>
      <w:r w:rsidR="6C002205" w:rsidRPr="003B11BD">
        <w:rPr>
          <w:noProof/>
        </w:rPr>
        <w:t xml:space="preserve"> </w:t>
      </w:r>
      <w:r w:rsidR="5792D3E7" w:rsidRPr="003B11BD">
        <w:rPr>
          <w:noProof/>
        </w:rPr>
        <w:t>Some Member States’ law provide</w:t>
      </w:r>
      <w:r w:rsidR="65E6C0D7" w:rsidRPr="003B11BD">
        <w:rPr>
          <w:noProof/>
        </w:rPr>
        <w:t xml:space="preserve"> for an ‘embargo’ during which a compulsory licence </w:t>
      </w:r>
      <w:r w:rsidR="1F8E909F" w:rsidRPr="003B11BD">
        <w:rPr>
          <w:noProof/>
        </w:rPr>
        <w:t>cannot be requeste</w:t>
      </w:r>
      <w:r w:rsidR="24F0092C" w:rsidRPr="003B11BD">
        <w:rPr>
          <w:noProof/>
        </w:rPr>
        <w:t xml:space="preserve">d before a certain </w:t>
      </w:r>
      <w:r w:rsidR="03A859AF" w:rsidRPr="003B11BD">
        <w:rPr>
          <w:noProof/>
        </w:rPr>
        <w:t>period</w:t>
      </w:r>
      <w:r w:rsidR="5AF61E4E" w:rsidRPr="003B11BD">
        <w:rPr>
          <w:noProof/>
        </w:rPr>
        <w:t xml:space="preserve"> </w:t>
      </w:r>
      <w:r w:rsidR="66FC90B2" w:rsidRPr="003B11BD">
        <w:rPr>
          <w:noProof/>
        </w:rPr>
        <w:t xml:space="preserve">after </w:t>
      </w:r>
      <w:r w:rsidR="00B51868" w:rsidRPr="003B11BD">
        <w:rPr>
          <w:noProof/>
        </w:rPr>
        <w:t xml:space="preserve">the patent </w:t>
      </w:r>
      <w:r w:rsidR="66FC90B2" w:rsidRPr="003B11BD">
        <w:rPr>
          <w:noProof/>
        </w:rPr>
        <w:t>application</w:t>
      </w:r>
      <w:r w:rsidR="001D394E" w:rsidRPr="003B11BD">
        <w:rPr>
          <w:noProof/>
        </w:rPr>
        <w:t xml:space="preserve"> and/ or grant</w:t>
      </w:r>
      <w:r w:rsidR="66FC90B2" w:rsidRPr="003B11BD">
        <w:rPr>
          <w:noProof/>
        </w:rPr>
        <w:t xml:space="preserve"> </w:t>
      </w:r>
      <w:r w:rsidR="5AF61E4E" w:rsidRPr="003B11BD">
        <w:rPr>
          <w:noProof/>
        </w:rPr>
        <w:t xml:space="preserve">which </w:t>
      </w:r>
      <w:r w:rsidR="4C2CD265" w:rsidRPr="003B11BD">
        <w:rPr>
          <w:noProof/>
        </w:rPr>
        <w:t>can prove particularly problematic for a compulsory licence to tackle a crisis</w:t>
      </w:r>
      <w:r w:rsidR="00D030C9" w:rsidRPr="003B11BD">
        <w:rPr>
          <w:noProof/>
        </w:rPr>
        <w:t xml:space="preserve"> since such an embargo effectively blocks ‘access’ to recent technologies</w:t>
      </w:r>
      <w:r w:rsidR="0076191F" w:rsidRPr="003B11BD">
        <w:rPr>
          <w:rStyle w:val="FootnoteReference"/>
          <w:noProof/>
        </w:rPr>
        <w:footnoteReference w:id="63"/>
      </w:r>
      <w:r w:rsidR="4C2CD265" w:rsidRPr="003B11BD">
        <w:rPr>
          <w:noProof/>
        </w:rPr>
        <w:t>.</w:t>
      </w:r>
    </w:p>
    <w:p w14:paraId="1AEE31CB" w14:textId="23FA7F31" w:rsidR="00F845F1" w:rsidRPr="003B11BD" w:rsidRDefault="00F845F1" w:rsidP="004C618F">
      <w:pPr>
        <w:pStyle w:val="Bullets"/>
        <w:rPr>
          <w:noProof/>
        </w:rPr>
      </w:pPr>
      <w:r w:rsidRPr="003B11BD">
        <w:rPr>
          <w:noProof/>
        </w:rPr>
        <w:t>Calculation of the remuneration:</w:t>
      </w:r>
      <w:r w:rsidR="00B94574" w:rsidRPr="003B11BD">
        <w:rPr>
          <w:noProof/>
        </w:rPr>
        <w:t xml:space="preserve"> The calculation of the adequate remuneration </w:t>
      </w:r>
      <w:r w:rsidR="0092401B" w:rsidRPr="003B11BD">
        <w:rPr>
          <w:noProof/>
        </w:rPr>
        <w:t>is determined following different criteria</w:t>
      </w:r>
      <w:r w:rsidR="00022584" w:rsidRPr="003B11BD">
        <w:rPr>
          <w:rStyle w:val="FootnoteReference"/>
          <w:noProof/>
        </w:rPr>
        <w:footnoteReference w:id="64"/>
      </w:r>
      <w:r w:rsidR="0092401B" w:rsidRPr="003B11BD">
        <w:rPr>
          <w:noProof/>
        </w:rPr>
        <w:t xml:space="preserve"> and </w:t>
      </w:r>
      <w:r w:rsidR="00743808" w:rsidRPr="003B11BD">
        <w:rPr>
          <w:noProof/>
        </w:rPr>
        <w:t xml:space="preserve">by different authorities </w:t>
      </w:r>
      <w:r w:rsidR="00BB6D1E" w:rsidRPr="003B11BD">
        <w:rPr>
          <w:noProof/>
        </w:rPr>
        <w:t>across Member States</w:t>
      </w:r>
      <w:r w:rsidR="00995E8B" w:rsidRPr="003B11BD">
        <w:rPr>
          <w:rStyle w:val="FootnoteReference"/>
          <w:noProof/>
        </w:rPr>
        <w:footnoteReference w:id="65"/>
      </w:r>
      <w:r w:rsidR="00BB6D1E" w:rsidRPr="003B11BD">
        <w:rPr>
          <w:noProof/>
        </w:rPr>
        <w:t>.</w:t>
      </w:r>
      <w:r w:rsidR="00995E8B" w:rsidRPr="003B11BD">
        <w:rPr>
          <w:noProof/>
        </w:rPr>
        <w:t xml:space="preserve"> The patent owner is</w:t>
      </w:r>
      <w:r w:rsidR="00995E8B" w:rsidRPr="003B11BD" w:rsidDel="00B51868">
        <w:rPr>
          <w:noProof/>
        </w:rPr>
        <w:t xml:space="preserve"> </w:t>
      </w:r>
      <w:r w:rsidR="00995E8B" w:rsidRPr="003B11BD">
        <w:rPr>
          <w:noProof/>
        </w:rPr>
        <w:t>sometimes invited to file observation</w:t>
      </w:r>
      <w:r w:rsidR="006220FF" w:rsidRPr="003B11BD">
        <w:rPr>
          <w:noProof/>
        </w:rPr>
        <w:t>s</w:t>
      </w:r>
      <w:r w:rsidR="00995E8B" w:rsidRPr="003B11BD">
        <w:rPr>
          <w:noProof/>
        </w:rPr>
        <w:t xml:space="preserve"> on the level of remuneration</w:t>
      </w:r>
      <w:r w:rsidR="00995E8B" w:rsidRPr="003B11BD">
        <w:rPr>
          <w:rStyle w:val="FootnoteReference"/>
          <w:noProof/>
        </w:rPr>
        <w:footnoteReference w:id="66"/>
      </w:r>
      <w:r w:rsidR="00995E8B" w:rsidRPr="003B11BD">
        <w:rPr>
          <w:noProof/>
        </w:rPr>
        <w:t>.</w:t>
      </w:r>
      <w:r w:rsidR="00873E7E" w:rsidRPr="003B11BD">
        <w:rPr>
          <w:noProof/>
        </w:rPr>
        <w:t xml:space="preserve"> </w:t>
      </w:r>
    </w:p>
    <w:p w14:paraId="6BC1176D" w14:textId="5158270C" w:rsidR="009A2F32" w:rsidRPr="003B11BD" w:rsidRDefault="17592491" w:rsidP="00354529">
      <w:pPr>
        <w:rPr>
          <w:noProof/>
          <w:lang w:val="en-IE"/>
        </w:rPr>
      </w:pPr>
      <w:r w:rsidRPr="003B11BD">
        <w:rPr>
          <w:noProof/>
          <w:lang w:val="en-IE"/>
        </w:rPr>
        <w:t xml:space="preserve">In conclusion, </w:t>
      </w:r>
      <w:r w:rsidR="5A78E645" w:rsidRPr="003B11BD">
        <w:rPr>
          <w:noProof/>
          <w:lang w:val="en-IE"/>
        </w:rPr>
        <w:t>Member States’ law considerably vary when it comes to conditions under which a compulsory licence can be granted</w:t>
      </w:r>
      <w:r w:rsidR="0B371D81" w:rsidRPr="003B11BD">
        <w:rPr>
          <w:noProof/>
          <w:lang w:val="en-IE"/>
        </w:rPr>
        <w:t>.</w:t>
      </w:r>
      <w:r w:rsidR="1CBFED8F" w:rsidRPr="003B11BD">
        <w:rPr>
          <w:noProof/>
          <w:lang w:val="en-IE"/>
        </w:rPr>
        <w:t xml:space="preserve"> </w:t>
      </w:r>
      <w:r w:rsidR="2D76FF00" w:rsidRPr="003B11BD">
        <w:rPr>
          <w:noProof/>
          <w:lang w:val="en-IE"/>
        </w:rPr>
        <w:t>T</w:t>
      </w:r>
      <w:r w:rsidR="1CBFED8F" w:rsidRPr="003B11BD">
        <w:rPr>
          <w:noProof/>
          <w:lang w:val="en-IE"/>
        </w:rPr>
        <w:t>h</w:t>
      </w:r>
      <w:r w:rsidR="25AE4F0F" w:rsidRPr="003B11BD">
        <w:rPr>
          <w:noProof/>
          <w:lang w:val="en-IE"/>
        </w:rPr>
        <w:t>e</w:t>
      </w:r>
      <w:r w:rsidR="1CBFED8F" w:rsidRPr="003B11BD">
        <w:rPr>
          <w:noProof/>
          <w:lang w:val="en-IE"/>
        </w:rPr>
        <w:t>s</w:t>
      </w:r>
      <w:r w:rsidR="3EF5F19B" w:rsidRPr="003B11BD">
        <w:rPr>
          <w:noProof/>
          <w:lang w:val="en-IE"/>
        </w:rPr>
        <w:t>e</w:t>
      </w:r>
      <w:r w:rsidR="1CBFED8F" w:rsidRPr="003B11BD">
        <w:rPr>
          <w:noProof/>
          <w:lang w:val="en-IE"/>
        </w:rPr>
        <w:t xml:space="preserve"> </w:t>
      </w:r>
      <w:r w:rsidR="001E1B50" w:rsidRPr="003B11BD">
        <w:rPr>
          <w:noProof/>
          <w:lang w:val="en-IE"/>
        </w:rPr>
        <w:t>divergences</w:t>
      </w:r>
      <w:r w:rsidR="16089522" w:rsidRPr="003B11BD">
        <w:rPr>
          <w:noProof/>
          <w:lang w:val="en-IE"/>
        </w:rPr>
        <w:t xml:space="preserve"> </w:t>
      </w:r>
      <w:r w:rsidR="1CBFED8F" w:rsidRPr="003B11BD">
        <w:rPr>
          <w:noProof/>
          <w:lang w:val="en-IE"/>
        </w:rPr>
        <w:t xml:space="preserve">can lead to </w:t>
      </w:r>
      <w:r w:rsidR="3FF87459" w:rsidRPr="003B11BD">
        <w:rPr>
          <w:noProof/>
          <w:lang w:val="en-IE"/>
        </w:rPr>
        <w:t xml:space="preserve">distorting </w:t>
      </w:r>
      <w:r w:rsidR="1CBFED8F" w:rsidRPr="003B11BD">
        <w:rPr>
          <w:noProof/>
          <w:lang w:val="en-IE"/>
        </w:rPr>
        <w:t>consequences</w:t>
      </w:r>
      <w:r w:rsidR="4DC90E5B" w:rsidRPr="003B11BD">
        <w:rPr>
          <w:noProof/>
          <w:lang w:val="en-IE"/>
        </w:rPr>
        <w:t xml:space="preserve"> and further fragmentation</w:t>
      </w:r>
      <w:r w:rsidR="419BF435" w:rsidRPr="003B11BD">
        <w:rPr>
          <w:noProof/>
          <w:lang w:val="en-IE"/>
        </w:rPr>
        <w:t xml:space="preserve">, </w:t>
      </w:r>
      <w:r w:rsidR="0F05D3B9" w:rsidRPr="003B11BD">
        <w:rPr>
          <w:noProof/>
          <w:lang w:val="en-IE"/>
        </w:rPr>
        <w:t xml:space="preserve">e.g. </w:t>
      </w:r>
      <w:r w:rsidR="7FCEE275" w:rsidRPr="003B11BD">
        <w:rPr>
          <w:noProof/>
          <w:lang w:val="en-IE"/>
        </w:rPr>
        <w:t>different</w:t>
      </w:r>
      <w:r w:rsidR="7FCEE275" w:rsidRPr="003B11BD" w:rsidDel="00B51868">
        <w:rPr>
          <w:noProof/>
          <w:lang w:val="en-IE"/>
        </w:rPr>
        <w:t xml:space="preserve"> </w:t>
      </w:r>
      <w:r w:rsidR="00B51868" w:rsidRPr="003B11BD">
        <w:rPr>
          <w:noProof/>
          <w:lang w:val="en-IE"/>
        </w:rPr>
        <w:t xml:space="preserve">procedures </w:t>
      </w:r>
      <w:r w:rsidR="7FCEE275" w:rsidRPr="003B11BD">
        <w:rPr>
          <w:noProof/>
          <w:lang w:val="en-IE"/>
        </w:rPr>
        <w:t xml:space="preserve">in the granting of a compulsory license, including </w:t>
      </w:r>
      <w:r w:rsidR="1CBFED8F" w:rsidRPr="003B11BD">
        <w:rPr>
          <w:noProof/>
          <w:lang w:val="en-IE"/>
        </w:rPr>
        <w:t xml:space="preserve">the impossibility </w:t>
      </w:r>
      <w:r w:rsidR="5B6A2728" w:rsidRPr="003B11BD">
        <w:rPr>
          <w:noProof/>
          <w:lang w:val="en-IE"/>
        </w:rPr>
        <w:t xml:space="preserve">in the case of the embargos, </w:t>
      </w:r>
      <w:r w:rsidR="1CBFED8F" w:rsidRPr="003B11BD">
        <w:rPr>
          <w:noProof/>
          <w:lang w:val="en-IE"/>
        </w:rPr>
        <w:t>to issue a compulsory licence before several years</w:t>
      </w:r>
      <w:r w:rsidR="009DD19B" w:rsidRPr="003B11BD">
        <w:rPr>
          <w:noProof/>
          <w:lang w:val="en-IE"/>
        </w:rPr>
        <w:t>,</w:t>
      </w:r>
      <w:r w:rsidR="1CBFED8F" w:rsidRPr="003B11BD">
        <w:rPr>
          <w:noProof/>
          <w:lang w:val="en-IE"/>
        </w:rPr>
        <w:t xml:space="preserve"> </w:t>
      </w:r>
      <w:r w:rsidR="77A819E7" w:rsidRPr="003B11BD">
        <w:rPr>
          <w:noProof/>
          <w:lang w:val="en-IE"/>
        </w:rPr>
        <w:t>different remunerations</w:t>
      </w:r>
      <w:r w:rsidR="5585A40C" w:rsidRPr="003B11BD">
        <w:rPr>
          <w:noProof/>
          <w:lang w:val="en-IE"/>
        </w:rPr>
        <w:t xml:space="preserve"> granted</w:t>
      </w:r>
      <w:r w:rsidR="32087579" w:rsidRPr="003B11BD">
        <w:rPr>
          <w:noProof/>
          <w:lang w:val="en-IE"/>
        </w:rPr>
        <w:t>,</w:t>
      </w:r>
      <w:r w:rsidR="634B8952" w:rsidRPr="003B11BD">
        <w:rPr>
          <w:noProof/>
          <w:lang w:val="en-IE"/>
        </w:rPr>
        <w:t xml:space="preserve"> etc.</w:t>
      </w:r>
      <w:r w:rsidR="32087579" w:rsidRPr="003B11BD">
        <w:rPr>
          <w:noProof/>
          <w:lang w:val="en-IE"/>
        </w:rPr>
        <w:t xml:space="preserve"> </w:t>
      </w:r>
      <w:r w:rsidR="38B2EBC6" w:rsidRPr="003B11BD">
        <w:rPr>
          <w:noProof/>
          <w:lang w:val="en-IE"/>
        </w:rPr>
        <w:t xml:space="preserve">Those differences </w:t>
      </w:r>
      <w:r w:rsidR="11192BAC" w:rsidRPr="003B11BD">
        <w:rPr>
          <w:noProof/>
          <w:lang w:val="en-IE"/>
        </w:rPr>
        <w:t xml:space="preserve">can significantly </w:t>
      </w:r>
      <w:r w:rsidR="78BCBC11" w:rsidRPr="003B11BD">
        <w:rPr>
          <w:noProof/>
          <w:lang w:val="en-IE"/>
        </w:rPr>
        <w:t>affect effort</w:t>
      </w:r>
      <w:r w:rsidR="00C331BC" w:rsidRPr="003B11BD">
        <w:rPr>
          <w:noProof/>
          <w:lang w:val="en-IE"/>
        </w:rPr>
        <w:t>s</w:t>
      </w:r>
      <w:r w:rsidR="78BCBC11" w:rsidRPr="003B11BD">
        <w:rPr>
          <w:noProof/>
          <w:lang w:val="en-IE"/>
        </w:rPr>
        <w:t xml:space="preserve"> across the EU to provide a uniform reply.</w:t>
      </w:r>
    </w:p>
    <w:p w14:paraId="667E492A" w14:textId="04F2A26C" w:rsidR="00802851" w:rsidRPr="003B11BD" w:rsidRDefault="00802851" w:rsidP="00802851">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color w:val="000000" w:themeColor="text1"/>
          <w:sz w:val="22"/>
          <w:szCs w:val="22"/>
          <w:lang w:val="en-IE"/>
        </w:rPr>
      </w:pPr>
      <w:r w:rsidRPr="003B11BD">
        <w:rPr>
          <w:b/>
          <w:i/>
          <w:noProof/>
          <w:color w:val="000000" w:themeColor="text1"/>
          <w:sz w:val="22"/>
          <w:szCs w:val="22"/>
          <w:lang w:val="en-IE"/>
        </w:rPr>
        <w:t>Concretely</w:t>
      </w:r>
      <w:r w:rsidRPr="003B11BD">
        <w:rPr>
          <w:noProof/>
          <w:color w:val="000000" w:themeColor="text1"/>
          <w:sz w:val="22"/>
          <w:szCs w:val="22"/>
          <w:lang w:val="en-IE"/>
        </w:rPr>
        <w:t xml:space="preserve">, in the context of a crisis where manufacturing capacities are located in </w:t>
      </w:r>
      <w:r w:rsidR="00204E69" w:rsidRPr="003B11BD">
        <w:rPr>
          <w:noProof/>
          <w:color w:val="000000" w:themeColor="text1"/>
          <w:sz w:val="22"/>
          <w:szCs w:val="22"/>
          <w:lang w:val="en-IE"/>
        </w:rPr>
        <w:t>AT</w:t>
      </w:r>
      <w:r w:rsidR="00C30F11" w:rsidRPr="003B11BD">
        <w:rPr>
          <w:noProof/>
          <w:color w:val="000000" w:themeColor="text1"/>
          <w:sz w:val="22"/>
          <w:szCs w:val="22"/>
          <w:lang w:val="en-IE"/>
        </w:rPr>
        <w:t xml:space="preserve"> but the patent was recently granted, </w:t>
      </w:r>
      <w:r w:rsidR="00204E69" w:rsidRPr="003B11BD">
        <w:rPr>
          <w:noProof/>
          <w:color w:val="000000" w:themeColor="text1"/>
          <w:sz w:val="22"/>
          <w:szCs w:val="22"/>
          <w:lang w:val="en-IE"/>
        </w:rPr>
        <w:t>AT</w:t>
      </w:r>
      <w:r w:rsidR="00C30F11" w:rsidRPr="003B11BD">
        <w:rPr>
          <w:noProof/>
          <w:color w:val="000000" w:themeColor="text1"/>
          <w:sz w:val="22"/>
          <w:szCs w:val="22"/>
          <w:lang w:val="en-IE"/>
        </w:rPr>
        <w:t xml:space="preserve"> could not issue a compulsory licence because its national law provides for an embargo on compulsory licences for patents </w:t>
      </w:r>
      <w:r w:rsidR="003A6326" w:rsidRPr="003B11BD">
        <w:rPr>
          <w:noProof/>
          <w:color w:val="000000" w:themeColor="text1"/>
          <w:sz w:val="22"/>
          <w:szCs w:val="22"/>
          <w:lang w:val="en-IE"/>
        </w:rPr>
        <w:t>registered for less than three years</w:t>
      </w:r>
      <w:r w:rsidRPr="003B11BD">
        <w:rPr>
          <w:noProof/>
          <w:color w:val="000000" w:themeColor="text1"/>
          <w:sz w:val="22"/>
          <w:szCs w:val="22"/>
          <w:lang w:val="en-IE"/>
        </w:rPr>
        <w:t>.</w:t>
      </w:r>
    </w:p>
    <w:p w14:paraId="77D783E9" w14:textId="5D70BCA7" w:rsidR="00784209" w:rsidRPr="003B11BD" w:rsidRDefault="23A62ABE" w:rsidP="00ED49E6">
      <w:pPr>
        <w:pStyle w:val="Heading3"/>
        <w:rPr>
          <w:noProof/>
        </w:rPr>
      </w:pPr>
      <w:bookmarkStart w:id="89" w:name="_Toc120045178"/>
      <w:bookmarkStart w:id="90" w:name="_Toc120045265"/>
      <w:bookmarkStart w:id="91" w:name="_Toc120128782"/>
      <w:bookmarkStart w:id="92" w:name="_Toc120129236"/>
      <w:bookmarkStart w:id="93" w:name="_Toc120129293"/>
      <w:bookmarkStart w:id="94" w:name="_Toc120130402"/>
      <w:bookmarkStart w:id="95" w:name="_Toc120130470"/>
      <w:bookmarkStart w:id="96" w:name="_Toc120130740"/>
      <w:bookmarkStart w:id="97" w:name="_Toc120132797"/>
      <w:bookmarkStart w:id="98" w:name="_Toc120477778"/>
      <w:bookmarkStart w:id="99" w:name="_Toc120477848"/>
      <w:bookmarkStart w:id="100" w:name="_Toc120652790"/>
      <w:bookmarkStart w:id="101" w:name="_Toc120652860"/>
      <w:bookmarkStart w:id="102" w:name="_Toc120652930"/>
      <w:bookmarkStart w:id="103" w:name="_Toc120731127"/>
      <w:bookmarkStart w:id="104" w:name="_Toc120731198"/>
      <w:bookmarkStart w:id="105" w:name="_Toc120736866"/>
      <w:bookmarkStart w:id="106" w:name="_Toc120895474"/>
      <w:bookmarkStart w:id="107" w:name="_Toc120895636"/>
      <w:bookmarkStart w:id="108" w:name="_Toc120045179"/>
      <w:bookmarkStart w:id="109" w:name="_Toc120045266"/>
      <w:bookmarkStart w:id="110" w:name="_Toc120128783"/>
      <w:bookmarkStart w:id="111" w:name="_Toc120129237"/>
      <w:bookmarkStart w:id="112" w:name="_Toc120129294"/>
      <w:bookmarkStart w:id="113" w:name="_Toc120130403"/>
      <w:bookmarkStart w:id="114" w:name="_Toc120130471"/>
      <w:bookmarkStart w:id="115" w:name="_Toc120130741"/>
      <w:bookmarkStart w:id="116" w:name="_Toc120132798"/>
      <w:bookmarkStart w:id="117" w:name="_Toc120477779"/>
      <w:bookmarkStart w:id="118" w:name="_Toc120477849"/>
      <w:bookmarkStart w:id="119" w:name="_Toc120652791"/>
      <w:bookmarkStart w:id="120" w:name="_Toc120652861"/>
      <w:bookmarkStart w:id="121" w:name="_Toc120652931"/>
      <w:bookmarkStart w:id="122" w:name="_Toc120731128"/>
      <w:bookmarkStart w:id="123" w:name="_Toc120731199"/>
      <w:bookmarkStart w:id="124" w:name="_Toc120736867"/>
      <w:bookmarkStart w:id="125" w:name="_Toc120895475"/>
      <w:bookmarkStart w:id="126" w:name="_Toc120895637"/>
      <w:bookmarkStart w:id="127" w:name="_Toc120731200"/>
      <w:bookmarkStart w:id="128" w:name="_Toc121386359"/>
      <w:bookmarkStart w:id="129" w:name="_Toc121489578"/>
      <w:bookmarkStart w:id="130" w:name="_Toc121496330"/>
      <w:bookmarkStart w:id="131" w:name="_Toc121747996"/>
      <w:bookmarkStart w:id="132" w:name="_Toc133435349"/>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3B11BD">
        <w:rPr>
          <w:noProof/>
        </w:rPr>
        <w:t>Inadequate territorial reach of compulsory licen</w:t>
      </w:r>
      <w:r w:rsidR="00480AD8" w:rsidRPr="003B11BD">
        <w:rPr>
          <w:noProof/>
        </w:rPr>
        <w:t>sing</w:t>
      </w:r>
      <w:bookmarkEnd w:id="127"/>
      <w:bookmarkEnd w:id="128"/>
      <w:bookmarkEnd w:id="129"/>
      <w:bookmarkEnd w:id="130"/>
      <w:bookmarkEnd w:id="131"/>
      <w:bookmarkEnd w:id="132"/>
    </w:p>
    <w:p w14:paraId="6A1843B7" w14:textId="04359A0A" w:rsidR="00BE3055" w:rsidRPr="003B11BD" w:rsidRDefault="75F795FE" w:rsidP="00A65408">
      <w:pPr>
        <w:rPr>
          <w:noProof/>
          <w:lang w:val="en-IE"/>
        </w:rPr>
      </w:pPr>
      <w:r w:rsidRPr="003B11BD">
        <w:rPr>
          <w:noProof/>
          <w:lang w:val="en-IE"/>
        </w:rPr>
        <w:t>Cross-border supply of goods manufactured under a compulsory licence is complex under</w:t>
      </w:r>
      <w:r w:rsidR="00E22A08" w:rsidRPr="003B11BD">
        <w:rPr>
          <w:noProof/>
          <w:lang w:val="en-IE"/>
        </w:rPr>
        <w:t xml:space="preserve"> the current EU legal framework</w:t>
      </w:r>
      <w:r w:rsidRPr="003B11BD">
        <w:rPr>
          <w:noProof/>
          <w:lang w:val="en-IE"/>
        </w:rPr>
        <w:t>. Member States face obstacles when willing to both export and import within the EU goods manufactured under a compulsory licence. Consequently, there is simply no Single Market when it comes to compulsory licensing in the EU.</w:t>
      </w:r>
      <w:r w:rsidR="006B01A5" w:rsidRPr="003B11BD">
        <w:rPr>
          <w:noProof/>
          <w:lang w:val="en-IE"/>
        </w:rPr>
        <w:t xml:space="preserve"> </w:t>
      </w:r>
      <w:r w:rsidR="00784209" w:rsidRPr="003B11BD">
        <w:rPr>
          <w:noProof/>
          <w:lang w:val="en-IE"/>
        </w:rPr>
        <w:t xml:space="preserve">Article 31 of the TRIPS Agreement </w:t>
      </w:r>
      <w:r w:rsidR="005F5A6F" w:rsidRPr="003B11BD">
        <w:rPr>
          <w:noProof/>
          <w:lang w:val="en-IE"/>
        </w:rPr>
        <w:t>provides for</w:t>
      </w:r>
      <w:r w:rsidR="00784209" w:rsidRPr="003B11BD">
        <w:rPr>
          <w:noProof/>
          <w:lang w:val="en-IE"/>
        </w:rPr>
        <w:t xml:space="preserve"> that a national compulsory licence must be used predominantly </w:t>
      </w:r>
      <w:r w:rsidR="00784209" w:rsidRPr="003B11BD">
        <w:rPr>
          <w:noProof/>
          <w:u w:val="single"/>
          <w:lang w:val="en-IE"/>
        </w:rPr>
        <w:t>for the supply of the domestic market</w:t>
      </w:r>
      <w:r w:rsidR="00F25794" w:rsidRPr="003B11BD">
        <w:rPr>
          <w:noProof/>
          <w:lang w:val="en-IE"/>
        </w:rPr>
        <w:t xml:space="preserve">. </w:t>
      </w:r>
      <w:r w:rsidR="4BBA1B78" w:rsidRPr="003B11BD">
        <w:rPr>
          <w:noProof/>
          <w:lang w:val="en-IE"/>
        </w:rPr>
        <w:t xml:space="preserve">The domestic market usually amounts to the national territory of the country having granted the compulsory licence. However, this is not necessarily always the case. Under the TRIPS Agreement, the </w:t>
      </w:r>
      <w:r w:rsidR="00D43F3F" w:rsidRPr="003B11BD">
        <w:rPr>
          <w:noProof/>
          <w:lang w:val="en-IE"/>
        </w:rPr>
        <w:t>Single Market</w:t>
      </w:r>
      <w:r w:rsidR="4BBA1B78" w:rsidRPr="003B11BD">
        <w:rPr>
          <w:noProof/>
          <w:lang w:val="en-IE"/>
        </w:rPr>
        <w:t xml:space="preserve"> can be considered a domestic market</w:t>
      </w:r>
      <w:r w:rsidR="6BB3E7BB" w:rsidRPr="003B11BD">
        <w:rPr>
          <w:rFonts w:eastAsia="Times New Roman"/>
          <w:noProof/>
          <w:lang w:val="en-IE"/>
        </w:rPr>
        <w:t xml:space="preserve"> as the EU is a Member of the WTO and of the TRIPS Agreement in its own rights</w:t>
      </w:r>
      <w:r w:rsidR="4BBA1B78" w:rsidRPr="003B11BD">
        <w:rPr>
          <w:noProof/>
          <w:lang w:val="en-IE"/>
        </w:rPr>
        <w:t xml:space="preserve">. </w:t>
      </w:r>
    </w:p>
    <w:p w14:paraId="6885A019" w14:textId="7C778EFE" w:rsidR="00987632" w:rsidRPr="003B11BD" w:rsidRDefault="4330B0F9" w:rsidP="00A65408">
      <w:pPr>
        <w:rPr>
          <w:rFonts w:eastAsia="Calibri"/>
          <w:noProof/>
          <w:lang w:val="en-IE"/>
        </w:rPr>
      </w:pPr>
      <w:r w:rsidRPr="003B11BD">
        <w:rPr>
          <w:noProof/>
          <w:lang w:val="en-IE"/>
        </w:rPr>
        <w:t>In contrast</w:t>
      </w:r>
      <w:r w:rsidR="0060516A" w:rsidRPr="003B11BD">
        <w:rPr>
          <w:noProof/>
          <w:lang w:val="en-IE"/>
        </w:rPr>
        <w:t>, all Member States’ law</w:t>
      </w:r>
      <w:r w:rsidR="00010F22" w:rsidRPr="003B11BD">
        <w:rPr>
          <w:noProof/>
          <w:lang w:val="en-IE"/>
        </w:rPr>
        <w:t>s</w:t>
      </w:r>
      <w:r w:rsidR="0060516A" w:rsidRPr="003B11BD">
        <w:rPr>
          <w:noProof/>
          <w:lang w:val="en-IE"/>
        </w:rPr>
        <w:t xml:space="preserve"> </w:t>
      </w:r>
      <w:r w:rsidR="00784209" w:rsidRPr="003B11BD">
        <w:rPr>
          <w:noProof/>
          <w:lang w:val="en-IE"/>
        </w:rPr>
        <w:t xml:space="preserve">are territorially limited, in the sense that the effects of a </w:t>
      </w:r>
      <w:r w:rsidR="00010F22" w:rsidRPr="003B11BD">
        <w:rPr>
          <w:noProof/>
          <w:lang w:val="en-IE"/>
        </w:rPr>
        <w:t xml:space="preserve">national </w:t>
      </w:r>
      <w:r w:rsidR="00784209" w:rsidRPr="003B11BD">
        <w:rPr>
          <w:noProof/>
          <w:lang w:val="en-IE"/>
        </w:rPr>
        <w:t xml:space="preserve">compulsory licence are limited only to the </w:t>
      </w:r>
      <w:r w:rsidR="00BB1CBC" w:rsidRPr="003B11BD">
        <w:rPr>
          <w:noProof/>
          <w:lang w:val="en-IE"/>
        </w:rPr>
        <w:t xml:space="preserve">national </w:t>
      </w:r>
      <w:r w:rsidR="00784209" w:rsidRPr="003B11BD">
        <w:rPr>
          <w:noProof/>
          <w:lang w:val="en-IE"/>
        </w:rPr>
        <w:t>territory of the granting Member State</w:t>
      </w:r>
      <w:r w:rsidR="00BB1CBC" w:rsidRPr="003B11BD">
        <w:rPr>
          <w:rStyle w:val="FootnoteReference"/>
          <w:noProof/>
          <w:color w:val="000000" w:themeColor="text1"/>
          <w:lang w:val="en-IE"/>
        </w:rPr>
        <w:footnoteReference w:id="67"/>
      </w:r>
      <w:r w:rsidR="00784209" w:rsidRPr="003B11BD">
        <w:rPr>
          <w:noProof/>
          <w:lang w:val="en-IE"/>
        </w:rPr>
        <w:t xml:space="preserve">. </w:t>
      </w:r>
      <w:r w:rsidR="00010F22" w:rsidRPr="003B11BD">
        <w:rPr>
          <w:noProof/>
          <w:lang w:val="en-IE"/>
        </w:rPr>
        <w:t>Current n</w:t>
      </w:r>
      <w:r w:rsidR="00784209" w:rsidRPr="003B11BD">
        <w:rPr>
          <w:noProof/>
          <w:lang w:val="en-IE"/>
        </w:rPr>
        <w:t xml:space="preserve">ational </w:t>
      </w:r>
      <w:r w:rsidR="00D830E1" w:rsidRPr="003B11BD">
        <w:rPr>
          <w:noProof/>
          <w:lang w:val="en-IE"/>
        </w:rPr>
        <w:t xml:space="preserve">compulsory licensing </w:t>
      </w:r>
      <w:r w:rsidR="00784209" w:rsidRPr="003B11BD">
        <w:rPr>
          <w:noProof/>
          <w:lang w:val="en-IE"/>
        </w:rPr>
        <w:t xml:space="preserve">schemes are </w:t>
      </w:r>
      <w:r w:rsidR="00010F22" w:rsidRPr="003B11BD">
        <w:rPr>
          <w:noProof/>
          <w:lang w:val="en-IE"/>
        </w:rPr>
        <w:t xml:space="preserve">indeed </w:t>
      </w:r>
      <w:r w:rsidR="00784209" w:rsidRPr="003B11BD">
        <w:rPr>
          <w:noProof/>
          <w:lang w:val="en-IE"/>
        </w:rPr>
        <w:t>designed to meet the national needs of the</w:t>
      </w:r>
      <w:r w:rsidR="0001050A" w:rsidRPr="003B11BD">
        <w:rPr>
          <w:noProof/>
          <w:lang w:val="en-IE"/>
        </w:rPr>
        <w:t>ir</w:t>
      </w:r>
      <w:r w:rsidR="00784209" w:rsidRPr="003B11BD">
        <w:rPr>
          <w:noProof/>
          <w:lang w:val="en-IE"/>
        </w:rPr>
        <w:t xml:space="preserve"> own population and satisfy the public interest of the issuing Member State</w:t>
      </w:r>
      <w:r w:rsidR="00784209" w:rsidRPr="003B11BD">
        <w:rPr>
          <w:noProof/>
          <w:vertAlign w:val="superscript"/>
          <w:lang w:val="en-IE"/>
        </w:rPr>
        <w:footnoteReference w:id="68"/>
      </w:r>
      <w:r w:rsidR="004C372F" w:rsidRPr="003B11BD">
        <w:rPr>
          <w:noProof/>
          <w:lang w:val="en-IE"/>
        </w:rPr>
        <w:t xml:space="preserve">. </w:t>
      </w:r>
      <w:r w:rsidR="0AF2622C" w:rsidRPr="003B11BD">
        <w:rPr>
          <w:noProof/>
          <w:lang w:val="en-IE"/>
        </w:rPr>
        <w:t xml:space="preserve">They do not reflect the </w:t>
      </w:r>
      <w:r w:rsidR="18396271" w:rsidRPr="003B11BD">
        <w:rPr>
          <w:noProof/>
          <w:lang w:val="en-IE"/>
        </w:rPr>
        <w:t xml:space="preserve">EU as </w:t>
      </w:r>
      <w:r w:rsidR="00A83B37" w:rsidRPr="003B11BD">
        <w:rPr>
          <w:noProof/>
          <w:lang w:val="en-IE"/>
        </w:rPr>
        <w:t xml:space="preserve">being </w:t>
      </w:r>
      <w:r w:rsidR="18396271" w:rsidRPr="003B11BD">
        <w:rPr>
          <w:noProof/>
          <w:lang w:val="en-IE"/>
        </w:rPr>
        <w:t>one domestic market</w:t>
      </w:r>
      <w:r w:rsidR="00A83B37" w:rsidRPr="003B11BD">
        <w:rPr>
          <w:noProof/>
          <w:lang w:val="en-IE"/>
        </w:rPr>
        <w:t>, as allowed</w:t>
      </w:r>
      <w:r w:rsidR="18396271" w:rsidRPr="003B11BD">
        <w:rPr>
          <w:noProof/>
          <w:lang w:val="en-IE"/>
        </w:rPr>
        <w:t xml:space="preserve"> under the TRIPS Agreement.</w:t>
      </w:r>
      <w:r w:rsidR="00D613AB" w:rsidRPr="003B11BD">
        <w:rPr>
          <w:noProof/>
          <w:lang w:val="en-IE"/>
        </w:rPr>
        <w:t xml:space="preserve"> </w:t>
      </w:r>
      <w:r w:rsidR="6F0A603D" w:rsidRPr="003B11BD">
        <w:rPr>
          <w:noProof/>
          <w:lang w:val="en-IE"/>
        </w:rPr>
        <w:t xml:space="preserve">Furthermore, </w:t>
      </w:r>
      <w:r w:rsidR="009C39E8" w:rsidRPr="003B11BD">
        <w:rPr>
          <w:noProof/>
          <w:lang w:val="en-IE"/>
        </w:rPr>
        <w:t xml:space="preserve">uncertainty exists </w:t>
      </w:r>
      <w:r w:rsidR="56123829" w:rsidRPr="003B11BD">
        <w:rPr>
          <w:noProof/>
          <w:lang w:val="en-IE"/>
        </w:rPr>
        <w:t>a</w:t>
      </w:r>
      <w:r w:rsidR="3337E089" w:rsidRPr="003B11BD">
        <w:rPr>
          <w:noProof/>
          <w:lang w:val="en-IE"/>
        </w:rPr>
        <w:t>s</w:t>
      </w:r>
      <w:r w:rsidR="003C6BEC" w:rsidRPr="003B11BD">
        <w:rPr>
          <w:noProof/>
          <w:lang w:val="en-IE"/>
        </w:rPr>
        <w:t xml:space="preserve"> regards </w:t>
      </w:r>
      <w:r w:rsidR="003C6BEC" w:rsidRPr="003B11BD">
        <w:rPr>
          <w:noProof/>
          <w:u w:val="single"/>
          <w:lang w:val="en-IE"/>
        </w:rPr>
        <w:t>import of goods</w:t>
      </w:r>
      <w:r w:rsidR="003C6BEC" w:rsidRPr="003B11BD">
        <w:rPr>
          <w:noProof/>
          <w:lang w:val="en-IE"/>
        </w:rPr>
        <w:t xml:space="preserve"> manufactured under a compulsory licence</w:t>
      </w:r>
      <w:r w:rsidR="007F590E" w:rsidRPr="003B11BD">
        <w:rPr>
          <w:noProof/>
          <w:lang w:val="en-IE"/>
        </w:rPr>
        <w:t xml:space="preserve"> from other Member States</w:t>
      </w:r>
      <w:r w:rsidR="00534638" w:rsidRPr="003B11BD">
        <w:rPr>
          <w:noProof/>
          <w:lang w:val="en-IE"/>
        </w:rPr>
        <w:t>.</w:t>
      </w:r>
      <w:r w:rsidR="00BE6B42" w:rsidRPr="003B11BD">
        <w:rPr>
          <w:noProof/>
          <w:lang w:val="en-IE"/>
        </w:rPr>
        <w:t xml:space="preserve"> </w:t>
      </w:r>
      <w:r w:rsidR="00534638" w:rsidRPr="003B11BD">
        <w:rPr>
          <w:noProof/>
          <w:lang w:val="en-IE"/>
        </w:rPr>
        <w:t xml:space="preserve">The uncertainty results from the </w:t>
      </w:r>
      <w:r w:rsidR="00BE6B42" w:rsidRPr="003B11BD">
        <w:rPr>
          <w:noProof/>
          <w:lang w:val="en-IE"/>
        </w:rPr>
        <w:t>exhaustion principle</w:t>
      </w:r>
      <w:r w:rsidR="00325867" w:rsidRPr="003B11BD">
        <w:rPr>
          <w:noProof/>
          <w:lang w:val="en-IE"/>
        </w:rPr>
        <w:t xml:space="preserve"> (see </w:t>
      </w:r>
      <w:r w:rsidR="00C2149B" w:rsidRPr="003B11BD">
        <w:rPr>
          <w:noProof/>
          <w:lang w:val="en-IE"/>
        </w:rPr>
        <w:t>Annex 7</w:t>
      </w:r>
      <w:r w:rsidR="00325867" w:rsidRPr="003B11BD">
        <w:rPr>
          <w:noProof/>
          <w:lang w:val="en-IE"/>
        </w:rPr>
        <w:t>)</w:t>
      </w:r>
      <w:r w:rsidR="00BE6B42" w:rsidRPr="003B11BD">
        <w:rPr>
          <w:noProof/>
          <w:lang w:val="en-IE"/>
        </w:rPr>
        <w:t>.</w:t>
      </w:r>
      <w:r w:rsidR="003C6BEC" w:rsidRPr="003B11BD">
        <w:rPr>
          <w:noProof/>
          <w:lang w:val="en-IE"/>
        </w:rPr>
        <w:t xml:space="preserve"> </w:t>
      </w:r>
      <w:r w:rsidR="00987632" w:rsidRPr="003B11BD">
        <w:rPr>
          <w:rFonts w:eastAsia="Calibri"/>
          <w:noProof/>
          <w:lang w:val="en-IE"/>
        </w:rPr>
        <w:t>Patents</w:t>
      </w:r>
      <w:r w:rsidR="005B672A" w:rsidRPr="003B11BD">
        <w:rPr>
          <w:rFonts w:eastAsia="Calibri"/>
          <w:noProof/>
          <w:lang w:val="en-IE"/>
        </w:rPr>
        <w:t>,</w:t>
      </w:r>
      <w:r w:rsidR="00987632" w:rsidRPr="003B11BD">
        <w:rPr>
          <w:rFonts w:eastAsia="Calibri"/>
          <w:noProof/>
          <w:lang w:val="en-IE"/>
        </w:rPr>
        <w:t xml:space="preserve"> like other IP rights</w:t>
      </w:r>
      <w:r w:rsidR="005B672A" w:rsidRPr="003B11BD">
        <w:rPr>
          <w:rFonts w:eastAsia="Calibri"/>
          <w:noProof/>
          <w:lang w:val="en-IE"/>
        </w:rPr>
        <w:t>,</w:t>
      </w:r>
      <w:r w:rsidR="00987632" w:rsidRPr="003B11BD">
        <w:rPr>
          <w:rFonts w:eastAsia="Calibri"/>
          <w:noProof/>
          <w:lang w:val="en-IE"/>
        </w:rPr>
        <w:t xml:space="preserve"> exhaust within the </w:t>
      </w:r>
      <w:r w:rsidR="00D43F3F" w:rsidRPr="003B11BD">
        <w:rPr>
          <w:rFonts w:eastAsia="Calibri"/>
          <w:noProof/>
          <w:lang w:val="en-IE"/>
        </w:rPr>
        <w:t>Single Market</w:t>
      </w:r>
      <w:r w:rsidR="00987632" w:rsidRPr="003B11BD">
        <w:rPr>
          <w:rFonts w:eastAsia="Calibri"/>
          <w:noProof/>
          <w:lang w:val="en-IE"/>
        </w:rPr>
        <w:t xml:space="preserve"> </w:t>
      </w:r>
      <w:r w:rsidR="00EF0FCA" w:rsidRPr="003B11BD">
        <w:rPr>
          <w:rFonts w:eastAsia="Calibri"/>
          <w:noProof/>
          <w:lang w:val="en-IE"/>
        </w:rPr>
        <w:t>once</w:t>
      </w:r>
      <w:r w:rsidR="00987632" w:rsidRPr="003B11BD">
        <w:rPr>
          <w:rFonts w:eastAsia="Calibri"/>
          <w:noProof/>
          <w:lang w:val="en-IE"/>
        </w:rPr>
        <w:t xml:space="preserve"> the </w:t>
      </w:r>
      <w:r w:rsidR="005B672A" w:rsidRPr="003B11BD">
        <w:rPr>
          <w:rFonts w:eastAsia="Calibri"/>
          <w:noProof/>
          <w:lang w:val="en-IE"/>
        </w:rPr>
        <w:t>patented</w:t>
      </w:r>
      <w:r w:rsidR="00987632" w:rsidRPr="003B11BD">
        <w:rPr>
          <w:rFonts w:eastAsia="Calibri"/>
          <w:noProof/>
          <w:lang w:val="en-IE"/>
        </w:rPr>
        <w:t xml:space="preserve"> goods </w:t>
      </w:r>
      <w:r w:rsidR="00EF0FCA" w:rsidRPr="003B11BD">
        <w:rPr>
          <w:rFonts w:eastAsia="Calibri"/>
          <w:noProof/>
          <w:lang w:val="en-IE"/>
        </w:rPr>
        <w:t xml:space="preserve">have been put </w:t>
      </w:r>
      <w:r w:rsidR="00987632" w:rsidRPr="003B11BD">
        <w:rPr>
          <w:rFonts w:eastAsia="Calibri"/>
          <w:noProof/>
          <w:lang w:val="en-IE"/>
        </w:rPr>
        <w:t xml:space="preserve">on the EU market </w:t>
      </w:r>
      <w:r w:rsidR="6C8A7F6A" w:rsidRPr="003B11BD">
        <w:rPr>
          <w:rFonts w:eastAsia="Calibri"/>
          <w:noProof/>
          <w:lang w:val="en-IE"/>
        </w:rPr>
        <w:t xml:space="preserve">in one Member State </w:t>
      </w:r>
      <w:r w:rsidR="00987632" w:rsidRPr="003B11BD">
        <w:rPr>
          <w:rFonts w:eastAsia="Calibri"/>
          <w:noProof/>
          <w:lang w:val="en-IE"/>
        </w:rPr>
        <w:t>by the patent owner or with consent</w:t>
      </w:r>
      <w:r w:rsidR="442098C9" w:rsidRPr="003B11BD">
        <w:rPr>
          <w:rFonts w:eastAsia="Calibri"/>
          <w:noProof/>
          <w:lang w:val="en-IE"/>
        </w:rPr>
        <w:t xml:space="preserve"> of the patent owner</w:t>
      </w:r>
      <w:r w:rsidR="009373D7" w:rsidRPr="003B11BD">
        <w:rPr>
          <w:rStyle w:val="FootnoteReference"/>
          <w:rFonts w:eastAsia="Calibri"/>
          <w:noProof/>
          <w:lang w:val="en-IE"/>
        </w:rPr>
        <w:footnoteReference w:id="69"/>
      </w:r>
      <w:r w:rsidR="00987632" w:rsidRPr="003B11BD">
        <w:rPr>
          <w:rFonts w:eastAsia="Calibri"/>
          <w:noProof/>
          <w:lang w:val="en-IE"/>
        </w:rPr>
        <w:t xml:space="preserve">. </w:t>
      </w:r>
    </w:p>
    <w:p w14:paraId="34CF95B4" w14:textId="2BD97B64" w:rsidR="00784209" w:rsidRPr="003B11BD" w:rsidRDefault="000568AA" w:rsidP="00A65408">
      <w:pPr>
        <w:rPr>
          <w:noProof/>
          <w:color w:val="000000" w:themeColor="text1"/>
          <w:lang w:val="en-IE"/>
        </w:rPr>
      </w:pPr>
      <w:r w:rsidRPr="003B11BD">
        <w:rPr>
          <w:rFonts w:eastAsia="Calibri"/>
          <w:noProof/>
          <w:lang w:val="en-IE"/>
        </w:rPr>
        <w:t xml:space="preserve">The question therefore </w:t>
      </w:r>
      <w:r w:rsidR="00505F40" w:rsidRPr="003B11BD">
        <w:rPr>
          <w:rFonts w:eastAsia="Calibri"/>
          <w:noProof/>
          <w:lang w:val="en-IE"/>
        </w:rPr>
        <w:t>was raised</w:t>
      </w:r>
      <w:r w:rsidRPr="003B11BD">
        <w:rPr>
          <w:rFonts w:eastAsia="Calibri"/>
          <w:noProof/>
          <w:lang w:val="en-IE"/>
        </w:rPr>
        <w:t xml:space="preserve"> as to whether the putting onto the market of a good manufactured under a compulsory licence </w:t>
      </w:r>
      <w:r w:rsidR="00EE3E30" w:rsidRPr="003B11BD">
        <w:rPr>
          <w:rFonts w:eastAsia="Calibri"/>
          <w:noProof/>
          <w:lang w:val="en-IE"/>
        </w:rPr>
        <w:t xml:space="preserve">can be considered done with the </w:t>
      </w:r>
      <w:r w:rsidR="0011000B" w:rsidRPr="003B11BD">
        <w:rPr>
          <w:rFonts w:eastAsia="Calibri"/>
          <w:noProof/>
          <w:lang w:val="en-IE"/>
        </w:rPr>
        <w:t xml:space="preserve">patent owner’s </w:t>
      </w:r>
      <w:r w:rsidR="00EE3E30" w:rsidRPr="003B11BD">
        <w:rPr>
          <w:rFonts w:eastAsia="Calibri"/>
          <w:noProof/>
          <w:lang w:val="en-IE"/>
        </w:rPr>
        <w:t>consent</w:t>
      </w:r>
      <w:r w:rsidR="00656999" w:rsidRPr="003B11BD">
        <w:rPr>
          <w:rStyle w:val="FootnoteReference"/>
          <w:rFonts w:eastAsia="Calibri"/>
          <w:noProof/>
          <w:lang w:val="en-IE"/>
        </w:rPr>
        <w:footnoteReference w:id="70"/>
      </w:r>
      <w:r w:rsidR="00EE3E30" w:rsidRPr="003B11BD">
        <w:rPr>
          <w:rFonts w:eastAsia="Calibri"/>
          <w:noProof/>
          <w:lang w:val="en-IE"/>
        </w:rPr>
        <w:t xml:space="preserve">. </w:t>
      </w:r>
      <w:r w:rsidR="00E73083" w:rsidRPr="003B11BD">
        <w:rPr>
          <w:rFonts w:eastAsia="Calibri"/>
          <w:noProof/>
          <w:lang w:val="en-IE"/>
        </w:rPr>
        <w:t xml:space="preserve">In 1985, </w:t>
      </w:r>
      <w:r w:rsidR="00784209" w:rsidRPr="003B11BD">
        <w:rPr>
          <w:noProof/>
          <w:color w:val="000000" w:themeColor="text1"/>
          <w:lang w:val="en-IE"/>
        </w:rPr>
        <w:t xml:space="preserve">the </w:t>
      </w:r>
      <w:r w:rsidR="00204E69" w:rsidRPr="003B11BD">
        <w:rPr>
          <w:noProof/>
          <w:color w:val="000000" w:themeColor="text1"/>
          <w:lang w:val="en-IE"/>
        </w:rPr>
        <w:t>ECJ</w:t>
      </w:r>
      <w:r w:rsidR="00784209" w:rsidRPr="003B11BD">
        <w:rPr>
          <w:noProof/>
          <w:color w:val="000000" w:themeColor="text1"/>
          <w:lang w:val="en-IE"/>
        </w:rPr>
        <w:t xml:space="preserve"> </w:t>
      </w:r>
      <w:r w:rsidR="00E73083" w:rsidRPr="003B11BD">
        <w:rPr>
          <w:noProof/>
          <w:color w:val="000000" w:themeColor="text1"/>
          <w:lang w:val="en-IE"/>
        </w:rPr>
        <w:t>replied in the negative to this question</w:t>
      </w:r>
      <w:r w:rsidR="00331085" w:rsidRPr="003B11BD">
        <w:rPr>
          <w:rStyle w:val="FootnoteReference"/>
          <w:noProof/>
          <w:color w:val="000000" w:themeColor="text1"/>
          <w:lang w:val="en-IE"/>
        </w:rPr>
        <w:footnoteReference w:id="71"/>
      </w:r>
      <w:r w:rsidR="00E73083" w:rsidRPr="003B11BD">
        <w:rPr>
          <w:noProof/>
          <w:color w:val="000000" w:themeColor="text1"/>
          <w:lang w:val="en-IE"/>
        </w:rPr>
        <w:t xml:space="preserve">. It indeed decided that </w:t>
      </w:r>
      <w:r w:rsidR="00E73083" w:rsidRPr="003B11BD">
        <w:rPr>
          <w:rFonts w:eastAsiaTheme="minorEastAsia"/>
          <w:noProof/>
          <w:lang w:val="en-IE"/>
        </w:rPr>
        <w:t xml:space="preserve">where a compulsory licence is granted to a third party which allows to carry out manufacturing operations, the patent owner cannot be deemed to have consented to the operation of that third party. </w:t>
      </w:r>
      <w:r w:rsidR="00656999" w:rsidRPr="003B11BD">
        <w:rPr>
          <w:rFonts w:eastAsiaTheme="minorEastAsia"/>
          <w:noProof/>
          <w:lang w:val="en-IE"/>
        </w:rPr>
        <w:t>T</w:t>
      </w:r>
      <w:r w:rsidR="00E73083" w:rsidRPr="003B11BD">
        <w:rPr>
          <w:rFonts w:eastAsiaTheme="minorEastAsia"/>
          <w:noProof/>
          <w:lang w:val="en-IE"/>
        </w:rPr>
        <w:t>his means that</w:t>
      </w:r>
      <w:r w:rsidR="00784209" w:rsidRPr="003B11BD">
        <w:rPr>
          <w:noProof/>
          <w:color w:val="000000" w:themeColor="text1"/>
          <w:lang w:val="en-IE"/>
        </w:rPr>
        <w:t xml:space="preserve"> the patent owner is allowed to stop the import of goods into a Member State in case the goods have been manufactured under a national compulsory licence in another Member State due to the exceptional lack of E</w:t>
      </w:r>
      <w:r w:rsidR="00A70407" w:rsidRPr="003B11BD">
        <w:rPr>
          <w:noProof/>
          <w:color w:val="000000" w:themeColor="text1"/>
          <w:lang w:val="en-IE"/>
        </w:rPr>
        <w:t>U</w:t>
      </w:r>
      <w:r w:rsidR="00784209" w:rsidRPr="003B11BD">
        <w:rPr>
          <w:noProof/>
          <w:color w:val="000000" w:themeColor="text1"/>
          <w:lang w:val="en-IE"/>
        </w:rPr>
        <w:t xml:space="preserve">-wide exhaustion of the patent. </w:t>
      </w:r>
      <w:r w:rsidR="005D1BEC" w:rsidRPr="003B11BD">
        <w:rPr>
          <w:noProof/>
          <w:color w:val="000000" w:themeColor="text1"/>
          <w:lang w:val="en-IE"/>
        </w:rPr>
        <w:t xml:space="preserve">A (voluntary or compulsory) licence is therefore also needed </w:t>
      </w:r>
      <w:r w:rsidR="00784209" w:rsidRPr="003B11BD">
        <w:rPr>
          <w:noProof/>
          <w:lang w:val="en-IE"/>
        </w:rPr>
        <w:t>in the importing country to avoid the importation being stopped by the patent holder.</w:t>
      </w:r>
    </w:p>
    <w:p w14:paraId="5A03332E" w14:textId="0B92473C" w:rsidR="00F9676F" w:rsidRPr="003B11BD" w:rsidRDefault="2A0F00FF" w:rsidP="00A65408">
      <w:pPr>
        <w:rPr>
          <w:noProof/>
          <w:lang w:val="en-IE"/>
        </w:rPr>
      </w:pPr>
      <w:r w:rsidRPr="003B11BD">
        <w:rPr>
          <w:noProof/>
          <w:lang w:val="en-IE"/>
        </w:rPr>
        <w:t xml:space="preserve">As regards compulsory licensing for export to </w:t>
      </w:r>
      <w:r w:rsidR="002D606C" w:rsidRPr="003B11BD">
        <w:rPr>
          <w:noProof/>
          <w:lang w:val="en-IE"/>
        </w:rPr>
        <w:t xml:space="preserve">non-EU </w:t>
      </w:r>
      <w:r w:rsidRPr="003B11BD">
        <w:rPr>
          <w:noProof/>
          <w:lang w:val="en-IE"/>
        </w:rPr>
        <w:t>countries</w:t>
      </w:r>
      <w:r w:rsidR="2B5E8944" w:rsidRPr="003B11BD">
        <w:rPr>
          <w:noProof/>
          <w:lang w:val="en-IE"/>
        </w:rPr>
        <w:t xml:space="preserve">, Article 31bis </w:t>
      </w:r>
      <w:r w:rsidR="00B64D80" w:rsidRPr="003B11BD">
        <w:rPr>
          <w:noProof/>
          <w:lang w:val="en-IE"/>
        </w:rPr>
        <w:t xml:space="preserve">of the TRIPS Agreement </w:t>
      </w:r>
      <w:r w:rsidR="2B5E8944" w:rsidRPr="003B11BD">
        <w:rPr>
          <w:noProof/>
          <w:lang w:val="en-IE"/>
        </w:rPr>
        <w:t>explicitly allows for the export of the products to a third country</w:t>
      </w:r>
      <w:r w:rsidRPr="003B11BD">
        <w:rPr>
          <w:rStyle w:val="FootnoteReference"/>
          <w:noProof/>
          <w:color w:val="000000" w:themeColor="text1"/>
          <w:lang w:val="en-IE"/>
        </w:rPr>
        <w:footnoteReference w:id="72"/>
      </w:r>
      <w:r w:rsidR="2B5E8944" w:rsidRPr="003B11BD">
        <w:rPr>
          <w:noProof/>
          <w:lang w:val="en-IE"/>
        </w:rPr>
        <w:t xml:space="preserve">. There is no limitation as to the part that can be exported from an EU country to </w:t>
      </w:r>
      <w:r w:rsidR="09E81AAB" w:rsidRPr="003B11BD">
        <w:rPr>
          <w:noProof/>
          <w:lang w:val="en-IE"/>
        </w:rPr>
        <w:t>certain</w:t>
      </w:r>
      <w:r w:rsidR="2B5E8944" w:rsidRPr="003B11BD">
        <w:rPr>
          <w:noProof/>
          <w:lang w:val="en-IE"/>
        </w:rPr>
        <w:t xml:space="preserve"> countr</w:t>
      </w:r>
      <w:r w:rsidR="720C4595" w:rsidRPr="003B11BD">
        <w:rPr>
          <w:noProof/>
          <w:lang w:val="en-IE"/>
        </w:rPr>
        <w:t>ies</w:t>
      </w:r>
      <w:r w:rsidR="2B5E8944" w:rsidRPr="003B11BD">
        <w:rPr>
          <w:noProof/>
          <w:lang w:val="en-IE"/>
        </w:rPr>
        <w:t xml:space="preserve"> outside the EU, under Article 31bis of the TRIPS Agreement and </w:t>
      </w:r>
      <w:r w:rsidR="000C155F" w:rsidRPr="003B11BD">
        <w:rPr>
          <w:noProof/>
          <w:lang w:val="en-IE"/>
        </w:rPr>
        <w:t>Regulation (EC) No 816/2006</w:t>
      </w:r>
      <w:r w:rsidR="2B5E8944" w:rsidRPr="003B11BD">
        <w:rPr>
          <w:noProof/>
          <w:lang w:val="en-IE"/>
        </w:rPr>
        <w:t>. On the contrary, the compulsory licence granted under</w:t>
      </w:r>
      <w:r w:rsidR="00DA7690" w:rsidRPr="003B11BD">
        <w:rPr>
          <w:noProof/>
          <w:lang w:val="en-IE"/>
        </w:rPr>
        <w:t xml:space="preserve"> the</w:t>
      </w:r>
      <w:r w:rsidR="2B5E8944" w:rsidRPr="003B11BD">
        <w:rPr>
          <w:noProof/>
          <w:lang w:val="en-IE"/>
        </w:rPr>
        <w:t xml:space="preserve"> </w:t>
      </w:r>
      <w:r w:rsidR="000C155F" w:rsidRPr="003B11BD">
        <w:rPr>
          <w:noProof/>
          <w:lang w:val="en-IE"/>
        </w:rPr>
        <w:t xml:space="preserve">Regulation </w:t>
      </w:r>
      <w:r w:rsidR="2B5E8944" w:rsidRPr="003B11BD">
        <w:rPr>
          <w:noProof/>
          <w:lang w:val="en-IE"/>
        </w:rPr>
        <w:t>covers the manufacturing of the product for export and distribution in the countrie(s) cited in the application</w:t>
      </w:r>
      <w:r w:rsidRPr="003B11BD">
        <w:rPr>
          <w:rStyle w:val="FootnoteReference"/>
          <w:noProof/>
          <w:color w:val="000000" w:themeColor="text1"/>
          <w:lang w:val="en-IE"/>
        </w:rPr>
        <w:footnoteReference w:id="73"/>
      </w:r>
      <w:r w:rsidR="2B5E8944" w:rsidRPr="003B11BD">
        <w:rPr>
          <w:noProof/>
          <w:lang w:val="en-IE"/>
        </w:rPr>
        <w:t xml:space="preserve">. There is therefore no problem as regards the </w:t>
      </w:r>
      <w:r w:rsidR="2B5E8944" w:rsidRPr="003B11BD">
        <w:rPr>
          <w:i/>
          <w:iCs/>
          <w:noProof/>
          <w:lang w:val="en-IE"/>
        </w:rPr>
        <w:t>possibility to export</w:t>
      </w:r>
      <w:r w:rsidR="2B5E8944" w:rsidRPr="003B11BD">
        <w:rPr>
          <w:noProof/>
          <w:lang w:val="en-IE"/>
        </w:rPr>
        <w:t xml:space="preserve"> pharmaceutical goods to </w:t>
      </w:r>
      <w:r w:rsidR="002D606C" w:rsidRPr="003B11BD">
        <w:rPr>
          <w:noProof/>
          <w:lang w:val="en-IE"/>
        </w:rPr>
        <w:t xml:space="preserve">non-EU </w:t>
      </w:r>
      <w:r w:rsidR="2B5E8944" w:rsidRPr="003B11BD">
        <w:rPr>
          <w:noProof/>
          <w:lang w:val="en-IE"/>
        </w:rPr>
        <w:t>countries.</w:t>
      </w:r>
      <w:r w:rsidR="1386F9F4" w:rsidRPr="003B11BD">
        <w:rPr>
          <w:noProof/>
          <w:lang w:val="en-IE"/>
        </w:rPr>
        <w:t xml:space="preserve"> </w:t>
      </w:r>
      <w:r w:rsidR="199E0A19" w:rsidRPr="003B11BD">
        <w:rPr>
          <w:noProof/>
          <w:lang w:val="en-IE"/>
        </w:rPr>
        <w:t xml:space="preserve">However, </w:t>
      </w:r>
      <w:r w:rsidR="003FEEC9" w:rsidRPr="003B11BD">
        <w:rPr>
          <w:noProof/>
          <w:lang w:val="en-IE"/>
        </w:rPr>
        <w:t xml:space="preserve">a </w:t>
      </w:r>
      <w:r w:rsidR="002D606C" w:rsidRPr="003B11BD">
        <w:rPr>
          <w:noProof/>
          <w:lang w:val="en-IE"/>
        </w:rPr>
        <w:t xml:space="preserve">non-EU </w:t>
      </w:r>
      <w:r w:rsidR="003FEEC9" w:rsidRPr="003B11BD">
        <w:rPr>
          <w:noProof/>
          <w:lang w:val="en-IE"/>
        </w:rPr>
        <w:t xml:space="preserve">country </w:t>
      </w:r>
      <w:r w:rsidR="3D64D93E" w:rsidRPr="003B11BD">
        <w:rPr>
          <w:noProof/>
          <w:lang w:val="en-IE"/>
        </w:rPr>
        <w:t>c</w:t>
      </w:r>
      <w:r w:rsidR="003FEEC9" w:rsidRPr="003B11BD">
        <w:rPr>
          <w:noProof/>
          <w:lang w:val="en-IE"/>
        </w:rPr>
        <w:t xml:space="preserve">ould </w:t>
      </w:r>
      <w:r w:rsidR="00EF409A" w:rsidRPr="003B11BD">
        <w:rPr>
          <w:noProof/>
          <w:lang w:val="en-IE"/>
        </w:rPr>
        <w:t>also</w:t>
      </w:r>
      <w:r w:rsidR="003FEEC9" w:rsidRPr="003B11BD">
        <w:rPr>
          <w:noProof/>
          <w:lang w:val="en-IE"/>
        </w:rPr>
        <w:t xml:space="preserve"> face a situation within</w:t>
      </w:r>
      <w:r w:rsidR="199E0A19" w:rsidRPr="003B11BD">
        <w:rPr>
          <w:noProof/>
          <w:lang w:val="en-IE"/>
        </w:rPr>
        <w:t xml:space="preserve"> the </w:t>
      </w:r>
      <w:r w:rsidR="003FEEC9" w:rsidRPr="003B11BD">
        <w:rPr>
          <w:noProof/>
          <w:lang w:val="en-IE"/>
        </w:rPr>
        <w:t>EU where the supply and manufact</w:t>
      </w:r>
      <w:r w:rsidR="3BDA03C7" w:rsidRPr="003B11BD">
        <w:rPr>
          <w:noProof/>
          <w:lang w:val="en-IE"/>
        </w:rPr>
        <w:t xml:space="preserve">uring chain of a product requires multiple compulsory </w:t>
      </w:r>
      <w:r w:rsidR="6A4540A6" w:rsidRPr="003B11BD">
        <w:rPr>
          <w:noProof/>
          <w:lang w:val="en-IE"/>
        </w:rPr>
        <w:t>licences</w:t>
      </w:r>
      <w:r w:rsidR="74882AAB" w:rsidRPr="003B11BD">
        <w:rPr>
          <w:noProof/>
          <w:lang w:val="en-IE"/>
        </w:rPr>
        <w:t xml:space="preserve"> in </w:t>
      </w:r>
      <w:r w:rsidR="563C575D" w:rsidRPr="003B11BD">
        <w:rPr>
          <w:noProof/>
          <w:lang w:val="en-IE"/>
        </w:rPr>
        <w:t>different</w:t>
      </w:r>
      <w:r w:rsidR="74882AAB" w:rsidRPr="003B11BD">
        <w:rPr>
          <w:noProof/>
          <w:lang w:val="en-IE"/>
        </w:rPr>
        <w:t xml:space="preserve"> Member States.</w:t>
      </w:r>
      <w:r w:rsidR="006C5642" w:rsidRPr="003B11BD">
        <w:rPr>
          <w:noProof/>
          <w:lang w:val="en-IE"/>
        </w:rPr>
        <w:t xml:space="preserve"> </w:t>
      </w:r>
      <w:r w:rsidR="243C18B4" w:rsidRPr="003B11BD">
        <w:rPr>
          <w:noProof/>
          <w:lang w:val="en-IE"/>
        </w:rPr>
        <w:t>In addition</w:t>
      </w:r>
      <w:r w:rsidR="5BF97E56" w:rsidRPr="003B11BD">
        <w:rPr>
          <w:noProof/>
          <w:lang w:val="en-IE"/>
        </w:rPr>
        <w:t>, the</w:t>
      </w:r>
      <w:r w:rsidR="00F9676F" w:rsidRPr="003B11BD">
        <w:rPr>
          <w:noProof/>
          <w:lang w:val="en-IE"/>
        </w:rPr>
        <w:t xml:space="preserve"> importing </w:t>
      </w:r>
      <w:r w:rsidR="002D606C" w:rsidRPr="003B11BD">
        <w:rPr>
          <w:noProof/>
          <w:lang w:val="en-IE"/>
        </w:rPr>
        <w:t xml:space="preserve">non-EU </w:t>
      </w:r>
      <w:r w:rsidR="00F9676F" w:rsidRPr="003B11BD">
        <w:rPr>
          <w:noProof/>
          <w:lang w:val="en-IE"/>
        </w:rPr>
        <w:t>countries would have to issue a compulsory licence to import the products</w:t>
      </w:r>
      <w:r w:rsidR="00F9676F" w:rsidRPr="003B11BD">
        <w:rPr>
          <w:rStyle w:val="FootnoteReference"/>
          <w:noProof/>
          <w:color w:val="000000" w:themeColor="text1"/>
          <w:lang w:val="en-IE"/>
        </w:rPr>
        <w:footnoteReference w:id="74"/>
      </w:r>
      <w:r w:rsidR="001F2B3B" w:rsidRPr="003B11BD">
        <w:rPr>
          <w:noProof/>
          <w:lang w:val="en-IE"/>
        </w:rPr>
        <w:t>, unless the product</w:t>
      </w:r>
      <w:r w:rsidR="000A4DA9" w:rsidRPr="003B11BD">
        <w:rPr>
          <w:noProof/>
          <w:lang w:val="en-IE"/>
        </w:rPr>
        <w:t>s are not protected by a patent in the importing country.</w:t>
      </w:r>
      <w:r w:rsidR="006C5642" w:rsidRPr="003B11BD">
        <w:rPr>
          <w:noProof/>
          <w:lang w:val="en-IE"/>
        </w:rPr>
        <w:t xml:space="preserve"> </w:t>
      </w:r>
    </w:p>
    <w:p w14:paraId="72572A60" w14:textId="03A5D298" w:rsidR="00BE6B42" w:rsidRPr="003B11BD" w:rsidRDefault="4FF708EC" w:rsidP="006C5642">
      <w:pPr>
        <w:rPr>
          <w:noProof/>
          <w:lang w:val="en-IE"/>
        </w:rPr>
      </w:pPr>
      <w:r w:rsidRPr="003B11BD">
        <w:rPr>
          <w:noProof/>
          <w:lang w:val="en-IE"/>
        </w:rPr>
        <w:t xml:space="preserve">In conclusion, </w:t>
      </w:r>
      <w:r w:rsidR="00867333" w:rsidRPr="003B11BD">
        <w:rPr>
          <w:noProof/>
          <w:lang w:val="en-IE"/>
        </w:rPr>
        <w:t xml:space="preserve">despite </w:t>
      </w:r>
      <w:r w:rsidR="00E41E6B" w:rsidRPr="003B11BD">
        <w:rPr>
          <w:noProof/>
          <w:lang w:val="en-IE"/>
        </w:rPr>
        <w:t xml:space="preserve">the </w:t>
      </w:r>
      <w:r w:rsidR="00867333" w:rsidRPr="003B11BD">
        <w:rPr>
          <w:noProof/>
          <w:lang w:val="en-IE"/>
        </w:rPr>
        <w:t xml:space="preserve">flexibility that exists at international level, </w:t>
      </w:r>
      <w:r w:rsidRPr="003B11BD">
        <w:rPr>
          <w:noProof/>
          <w:lang w:val="en-IE"/>
        </w:rPr>
        <w:t xml:space="preserve">compulsory licensing </w:t>
      </w:r>
      <w:r w:rsidR="050EBA86" w:rsidRPr="003B11BD">
        <w:rPr>
          <w:noProof/>
          <w:lang w:val="en-IE"/>
        </w:rPr>
        <w:t xml:space="preserve">in the EU </w:t>
      </w:r>
      <w:r w:rsidR="00782D07" w:rsidRPr="003B11BD">
        <w:rPr>
          <w:noProof/>
          <w:lang w:val="en-IE"/>
        </w:rPr>
        <w:t xml:space="preserve">is </w:t>
      </w:r>
      <w:r w:rsidR="3255C221" w:rsidRPr="003B11BD">
        <w:rPr>
          <w:noProof/>
          <w:lang w:val="en-IE"/>
        </w:rPr>
        <w:t xml:space="preserve">designed to </w:t>
      </w:r>
      <w:r w:rsidR="00E41E6B" w:rsidRPr="003B11BD">
        <w:rPr>
          <w:noProof/>
          <w:lang w:val="en-IE"/>
        </w:rPr>
        <w:t>exclusively</w:t>
      </w:r>
      <w:r w:rsidR="3255C221" w:rsidRPr="003B11BD">
        <w:rPr>
          <w:noProof/>
          <w:lang w:val="en-IE"/>
        </w:rPr>
        <w:t xml:space="preserve"> </w:t>
      </w:r>
      <w:r w:rsidRPr="003B11BD">
        <w:rPr>
          <w:noProof/>
          <w:lang w:val="en-IE"/>
        </w:rPr>
        <w:t xml:space="preserve">supply national </w:t>
      </w:r>
      <w:r w:rsidR="00782D07" w:rsidRPr="003B11BD">
        <w:rPr>
          <w:noProof/>
          <w:lang w:val="en-IE"/>
        </w:rPr>
        <w:t>territories</w:t>
      </w:r>
      <w:r w:rsidRPr="003B11BD">
        <w:rPr>
          <w:noProof/>
          <w:lang w:val="en-IE"/>
        </w:rPr>
        <w:t xml:space="preserve">. </w:t>
      </w:r>
      <w:r w:rsidR="00FE39DD" w:rsidRPr="003B11BD">
        <w:rPr>
          <w:noProof/>
          <w:lang w:val="en-IE"/>
        </w:rPr>
        <w:t>In other words</w:t>
      </w:r>
      <w:r w:rsidR="00FE39DD" w:rsidRPr="003B11BD">
        <w:rPr>
          <w:b/>
          <w:bCs/>
          <w:noProof/>
          <w:lang w:val="en-IE"/>
        </w:rPr>
        <w:t xml:space="preserve">, </w:t>
      </w:r>
      <w:r w:rsidR="00FE39DD" w:rsidRPr="003B11BD">
        <w:rPr>
          <w:bCs/>
          <w:noProof/>
          <w:lang w:val="en-IE"/>
        </w:rPr>
        <w:t>t</w:t>
      </w:r>
      <w:r w:rsidR="0D0E285F" w:rsidRPr="003B11BD">
        <w:rPr>
          <w:bCs/>
          <w:noProof/>
          <w:lang w:val="en-IE"/>
        </w:rPr>
        <w:t xml:space="preserve">here is </w:t>
      </w:r>
      <w:r w:rsidR="00FE39DD" w:rsidRPr="003B11BD">
        <w:rPr>
          <w:bCs/>
          <w:noProof/>
          <w:lang w:val="en-IE"/>
        </w:rPr>
        <w:t>currently</w:t>
      </w:r>
      <w:r w:rsidR="0D0E285F" w:rsidRPr="003B11BD">
        <w:rPr>
          <w:b/>
          <w:bCs/>
          <w:noProof/>
          <w:lang w:val="en-IE"/>
        </w:rPr>
        <w:t xml:space="preserve"> no </w:t>
      </w:r>
      <w:r w:rsidR="00D43F3F" w:rsidRPr="003B11BD">
        <w:rPr>
          <w:b/>
          <w:bCs/>
          <w:noProof/>
          <w:lang w:val="en-IE"/>
        </w:rPr>
        <w:t>Single Market</w:t>
      </w:r>
      <w:r w:rsidR="0D0E285F" w:rsidRPr="003B11BD">
        <w:rPr>
          <w:b/>
          <w:bCs/>
          <w:noProof/>
          <w:lang w:val="en-IE"/>
        </w:rPr>
        <w:t xml:space="preserve"> </w:t>
      </w:r>
      <w:r w:rsidR="00A65408" w:rsidRPr="003B11BD">
        <w:rPr>
          <w:b/>
          <w:bCs/>
          <w:noProof/>
          <w:lang w:val="en-IE"/>
        </w:rPr>
        <w:t xml:space="preserve">for products </w:t>
      </w:r>
      <w:r w:rsidR="00C77182" w:rsidRPr="003B11BD">
        <w:rPr>
          <w:b/>
          <w:bCs/>
          <w:noProof/>
          <w:lang w:val="en-IE"/>
        </w:rPr>
        <w:t>and no free movement of goods</w:t>
      </w:r>
      <w:r w:rsidR="0D0E285F" w:rsidRPr="003B11BD">
        <w:rPr>
          <w:b/>
          <w:bCs/>
          <w:noProof/>
          <w:lang w:val="en-IE"/>
        </w:rPr>
        <w:t xml:space="preserve"> produced under a compulsory licence.</w:t>
      </w:r>
      <w:r w:rsidR="0D0E285F" w:rsidRPr="003B11BD">
        <w:rPr>
          <w:noProof/>
          <w:lang w:val="en-IE"/>
        </w:rPr>
        <w:t xml:space="preserve"> </w:t>
      </w:r>
    </w:p>
    <w:p w14:paraId="1B751C2B" w14:textId="07DAF78A" w:rsidR="5DFDA028" w:rsidRPr="003B11BD" w:rsidRDefault="00CE39FF" w:rsidP="00480AD8">
      <w:pPr>
        <w:pStyle w:val="Heading3"/>
        <w:rPr>
          <w:noProof/>
        </w:rPr>
      </w:pPr>
      <w:bookmarkStart w:id="133" w:name="_Toc120731201"/>
      <w:bookmarkStart w:id="134" w:name="_Toc121386360"/>
      <w:bookmarkStart w:id="135" w:name="_Toc121489579"/>
      <w:bookmarkStart w:id="136" w:name="_Toc121496331"/>
      <w:bookmarkStart w:id="137" w:name="_Toc121747997"/>
      <w:bookmarkStart w:id="138" w:name="_Toc133435350"/>
      <w:r w:rsidRPr="003B11BD">
        <w:rPr>
          <w:noProof/>
        </w:rPr>
        <w:t xml:space="preserve">No </w:t>
      </w:r>
      <w:r w:rsidR="0018307C" w:rsidRPr="003B11BD">
        <w:rPr>
          <w:noProof/>
        </w:rPr>
        <w:t>dedicated for</w:t>
      </w:r>
      <w:r w:rsidR="00480AD8" w:rsidRPr="003B11BD">
        <w:rPr>
          <w:noProof/>
        </w:rPr>
        <w:t>ums</w:t>
      </w:r>
      <w:r w:rsidR="0018307C" w:rsidRPr="003B11BD">
        <w:rPr>
          <w:noProof/>
        </w:rPr>
        <w:t xml:space="preserve"> to deal with </w:t>
      </w:r>
      <w:r w:rsidRPr="003B11BD">
        <w:rPr>
          <w:noProof/>
        </w:rPr>
        <w:t>c</w:t>
      </w:r>
      <w:r w:rsidR="17E07E3F" w:rsidRPr="003B11BD">
        <w:rPr>
          <w:noProof/>
        </w:rPr>
        <w:t>ompulsory licensing</w:t>
      </w:r>
      <w:r w:rsidRPr="003B11BD">
        <w:rPr>
          <w:noProof/>
        </w:rPr>
        <w:t xml:space="preserve"> </w:t>
      </w:r>
      <w:r w:rsidR="00480AD8" w:rsidRPr="003B11BD">
        <w:rPr>
          <w:noProof/>
        </w:rPr>
        <w:t xml:space="preserve">that could bolster </w:t>
      </w:r>
      <w:r w:rsidR="0018307C" w:rsidRPr="003B11BD">
        <w:rPr>
          <w:noProof/>
        </w:rPr>
        <w:t xml:space="preserve">EU resilience </w:t>
      </w:r>
      <w:bookmarkEnd w:id="133"/>
      <w:bookmarkEnd w:id="134"/>
      <w:bookmarkEnd w:id="135"/>
      <w:bookmarkEnd w:id="136"/>
      <w:bookmarkEnd w:id="137"/>
      <w:r w:rsidR="00480AD8" w:rsidRPr="003B11BD">
        <w:rPr>
          <w:noProof/>
        </w:rPr>
        <w:t>in times of crisis</w:t>
      </w:r>
      <w:bookmarkEnd w:id="138"/>
    </w:p>
    <w:p w14:paraId="52A00F73" w14:textId="46D9248F" w:rsidR="00A65408" w:rsidRPr="003B11BD" w:rsidRDefault="359BB7DE" w:rsidP="00975B12">
      <w:pPr>
        <w:rPr>
          <w:noProof/>
          <w:lang w:val="en-IE"/>
        </w:rPr>
      </w:pPr>
      <w:r w:rsidRPr="003B11BD">
        <w:rPr>
          <w:rFonts w:eastAsia="Times New Roman"/>
          <w:noProof/>
          <w:lang w:val="en-IE"/>
        </w:rPr>
        <w:t>The E</w:t>
      </w:r>
      <w:r w:rsidR="791C8023" w:rsidRPr="003B11BD">
        <w:rPr>
          <w:rFonts w:eastAsia="Times New Roman"/>
          <w:noProof/>
          <w:lang w:val="en-IE"/>
        </w:rPr>
        <w:t>U</w:t>
      </w:r>
      <w:r w:rsidRPr="003B11BD">
        <w:rPr>
          <w:rFonts w:eastAsia="Times New Roman"/>
          <w:noProof/>
          <w:lang w:val="en-IE"/>
        </w:rPr>
        <w:t xml:space="preserve"> has faced numerous crises throughout its history and has gradually implemented </w:t>
      </w:r>
      <w:r w:rsidR="7D076A93" w:rsidRPr="003B11BD">
        <w:rPr>
          <w:rFonts w:eastAsia="Times New Roman"/>
          <w:noProof/>
          <w:lang w:val="en-IE"/>
        </w:rPr>
        <w:t>policy</w:t>
      </w:r>
      <w:r w:rsidRPr="003B11BD">
        <w:rPr>
          <w:rFonts w:eastAsia="Times New Roman"/>
          <w:noProof/>
          <w:lang w:val="en-IE"/>
        </w:rPr>
        <w:t xml:space="preserve"> and institutional changes to enhance its </w:t>
      </w:r>
      <w:r w:rsidR="48C732E8" w:rsidRPr="003B11BD">
        <w:rPr>
          <w:rFonts w:eastAsia="Times New Roman"/>
          <w:noProof/>
          <w:lang w:val="en-IE"/>
        </w:rPr>
        <w:t>resilience</w:t>
      </w:r>
      <w:r w:rsidRPr="003B11BD">
        <w:rPr>
          <w:rFonts w:eastAsia="Times New Roman"/>
          <w:noProof/>
          <w:lang w:val="en-IE"/>
        </w:rPr>
        <w:t xml:space="preserve"> to </w:t>
      </w:r>
      <w:r w:rsidR="5EB153A4" w:rsidRPr="003B11BD">
        <w:rPr>
          <w:rFonts w:eastAsia="Times New Roman"/>
          <w:noProof/>
          <w:lang w:val="en-IE"/>
        </w:rPr>
        <w:t>crises</w:t>
      </w:r>
      <w:r w:rsidR="33231642" w:rsidRPr="003B11BD">
        <w:rPr>
          <w:rFonts w:eastAsia="Times New Roman"/>
          <w:noProof/>
          <w:lang w:val="en-IE"/>
        </w:rPr>
        <w:t xml:space="preserve"> (see Annex </w:t>
      </w:r>
      <w:r w:rsidR="00985209" w:rsidRPr="003B11BD">
        <w:rPr>
          <w:rFonts w:eastAsia="Times New Roman"/>
          <w:noProof/>
          <w:lang w:val="en-IE"/>
        </w:rPr>
        <w:t xml:space="preserve">6, </w:t>
      </w:r>
      <w:r w:rsidR="00CB1B8A" w:rsidRPr="003B11BD">
        <w:rPr>
          <w:rFonts w:eastAsia="Times New Roman"/>
          <w:noProof/>
          <w:lang w:val="en-IE"/>
        </w:rPr>
        <w:fldChar w:fldCharType="begin"/>
      </w:r>
      <w:r w:rsidR="00CB1B8A" w:rsidRPr="003B11BD">
        <w:rPr>
          <w:rFonts w:eastAsia="Times New Roman"/>
          <w:noProof/>
          <w:lang w:val="en-IE"/>
        </w:rPr>
        <w:instrText xml:space="preserve"> REF _Ref122285052 \h  \* MERGEFORMAT </w:instrText>
      </w:r>
      <w:r w:rsidR="00CB1B8A" w:rsidRPr="003B11BD">
        <w:rPr>
          <w:rFonts w:eastAsia="Times New Roman"/>
          <w:noProof/>
          <w:lang w:val="en-IE"/>
        </w:rPr>
      </w:r>
      <w:r w:rsidR="00CB1B8A" w:rsidRPr="003B11BD">
        <w:rPr>
          <w:rFonts w:eastAsia="Times New Roman"/>
          <w:noProof/>
          <w:lang w:val="en-IE"/>
        </w:rPr>
        <w:fldChar w:fldCharType="separate"/>
      </w:r>
      <w:r w:rsidR="00C6592A" w:rsidRPr="003B11BD">
        <w:rPr>
          <w:noProof/>
          <w:lang w:val="en-IE"/>
        </w:rPr>
        <w:t xml:space="preserve">Table </w:t>
      </w:r>
      <w:r w:rsidR="00C6592A">
        <w:rPr>
          <w:noProof/>
          <w:lang w:val="en-IE"/>
        </w:rPr>
        <w:t>22</w:t>
      </w:r>
      <w:r w:rsidR="00CB1B8A" w:rsidRPr="003B11BD">
        <w:rPr>
          <w:rFonts w:eastAsia="Times New Roman"/>
          <w:noProof/>
          <w:lang w:val="en-IE"/>
        </w:rPr>
        <w:fldChar w:fldCharType="end"/>
      </w:r>
      <w:r w:rsidR="33231642" w:rsidRPr="003B11BD">
        <w:rPr>
          <w:rFonts w:eastAsia="Times New Roman"/>
          <w:noProof/>
          <w:lang w:val="en-IE"/>
        </w:rPr>
        <w:t>)</w:t>
      </w:r>
      <w:r w:rsidR="684C68A4" w:rsidRPr="003B11BD">
        <w:rPr>
          <w:rFonts w:eastAsia="Times New Roman"/>
          <w:noProof/>
          <w:lang w:val="en-IE"/>
        </w:rPr>
        <w:t>.</w:t>
      </w:r>
      <w:r w:rsidR="43C310CC" w:rsidRPr="003B11BD">
        <w:rPr>
          <w:rFonts w:eastAsia="Times New Roman"/>
          <w:noProof/>
          <w:lang w:val="en-IE"/>
        </w:rPr>
        <w:t xml:space="preserve"> </w:t>
      </w:r>
      <w:r w:rsidR="4348C12C" w:rsidRPr="003B11BD">
        <w:rPr>
          <w:rFonts w:eastAsia="Times New Roman"/>
          <w:noProof/>
          <w:lang w:val="en-IE"/>
        </w:rPr>
        <w:t xml:space="preserve">This is </w:t>
      </w:r>
      <w:r w:rsidR="5FCBB8DE" w:rsidRPr="003B11BD">
        <w:rPr>
          <w:rFonts w:eastAsia="Times New Roman"/>
          <w:noProof/>
          <w:lang w:val="en-IE"/>
        </w:rPr>
        <w:t>s</w:t>
      </w:r>
      <w:r w:rsidR="4348C12C" w:rsidRPr="003B11BD">
        <w:rPr>
          <w:rFonts w:eastAsia="Times New Roman"/>
          <w:noProof/>
          <w:lang w:val="en-IE"/>
        </w:rPr>
        <w:t xml:space="preserve">till true today with </w:t>
      </w:r>
      <w:r w:rsidR="547D80AD" w:rsidRPr="003B11BD">
        <w:rPr>
          <w:rFonts w:eastAsia="Times New Roman"/>
          <w:noProof/>
          <w:lang w:val="en-IE"/>
        </w:rPr>
        <w:t>t</w:t>
      </w:r>
      <w:r w:rsidR="5D020316" w:rsidRPr="003B11BD">
        <w:rPr>
          <w:rFonts w:eastAsia="Times New Roman"/>
          <w:noProof/>
          <w:lang w:val="en-IE"/>
        </w:rPr>
        <w:t xml:space="preserve">he </w:t>
      </w:r>
      <w:r w:rsidR="635EF331" w:rsidRPr="003B11BD">
        <w:rPr>
          <w:rFonts w:eastAsia="Times New Roman"/>
          <w:noProof/>
          <w:lang w:val="en-IE"/>
        </w:rPr>
        <w:t xml:space="preserve">Union </w:t>
      </w:r>
      <w:r w:rsidR="7D8D44F7" w:rsidRPr="003B11BD">
        <w:rPr>
          <w:rFonts w:eastAsia="Times New Roman"/>
          <w:noProof/>
          <w:lang w:val="en-IE"/>
        </w:rPr>
        <w:t>currently</w:t>
      </w:r>
      <w:r w:rsidR="4348C12C" w:rsidRPr="003B11BD">
        <w:rPr>
          <w:rFonts w:eastAsia="Times New Roman"/>
          <w:noProof/>
          <w:lang w:val="en-IE"/>
        </w:rPr>
        <w:t xml:space="preserve"> </w:t>
      </w:r>
      <w:r w:rsidR="5BC17DB2" w:rsidRPr="003B11BD">
        <w:rPr>
          <w:rFonts w:eastAsia="Times New Roman"/>
          <w:noProof/>
          <w:lang w:val="en-IE"/>
        </w:rPr>
        <w:t xml:space="preserve">working on </w:t>
      </w:r>
      <w:r w:rsidR="4348C12C" w:rsidRPr="003B11BD">
        <w:rPr>
          <w:rFonts w:eastAsia="Times New Roman"/>
          <w:noProof/>
          <w:lang w:val="en-IE"/>
        </w:rPr>
        <w:t>different instruments aiming at tackling crises</w:t>
      </w:r>
      <w:r w:rsidR="59288B61" w:rsidRPr="003B11BD">
        <w:rPr>
          <w:rFonts w:eastAsia="Times New Roman"/>
          <w:noProof/>
          <w:lang w:val="en-IE"/>
        </w:rPr>
        <w:t xml:space="preserve"> (</w:t>
      </w:r>
      <w:r w:rsidR="4348C12C" w:rsidRPr="003B11BD">
        <w:rPr>
          <w:noProof/>
          <w:lang w:val="en-IE"/>
        </w:rPr>
        <w:t xml:space="preserve">e.g. the </w:t>
      </w:r>
      <w:r w:rsidR="2328B725" w:rsidRPr="003B11BD">
        <w:rPr>
          <w:noProof/>
          <w:lang w:val="en-IE"/>
        </w:rPr>
        <w:t>SMEI proposal</w:t>
      </w:r>
      <w:r w:rsidR="4348C12C" w:rsidRPr="003B11BD">
        <w:rPr>
          <w:noProof/>
          <w:lang w:val="en-IE"/>
        </w:rPr>
        <w:t xml:space="preserve"> and the setting-up of </w:t>
      </w:r>
      <w:r w:rsidR="2328B725" w:rsidRPr="003B11BD">
        <w:rPr>
          <w:noProof/>
          <w:lang w:val="en-IE"/>
        </w:rPr>
        <w:t>HERA</w:t>
      </w:r>
      <w:r w:rsidR="4348C12C" w:rsidRPr="003B11BD">
        <w:rPr>
          <w:noProof/>
          <w:lang w:val="en-IE"/>
        </w:rPr>
        <w:t>)</w:t>
      </w:r>
      <w:r w:rsidR="5FCBB8DE" w:rsidRPr="003B11BD">
        <w:rPr>
          <w:noProof/>
          <w:lang w:val="en-IE"/>
        </w:rPr>
        <w:t xml:space="preserve"> </w:t>
      </w:r>
      <w:r w:rsidR="383A13B9" w:rsidRPr="003B11BD">
        <w:rPr>
          <w:noProof/>
          <w:lang w:val="en-IE"/>
        </w:rPr>
        <w:t xml:space="preserve">or including </w:t>
      </w:r>
      <w:r w:rsidR="6F4645E3" w:rsidRPr="003B11BD">
        <w:rPr>
          <w:noProof/>
          <w:lang w:val="en-IE"/>
        </w:rPr>
        <w:t>crisis-</w:t>
      </w:r>
      <w:r w:rsidR="1868C962" w:rsidRPr="003B11BD">
        <w:rPr>
          <w:noProof/>
          <w:lang w:val="en-IE"/>
        </w:rPr>
        <w:t>specific provisions</w:t>
      </w:r>
      <w:r w:rsidR="567ABB65" w:rsidRPr="003B11BD">
        <w:rPr>
          <w:noProof/>
          <w:lang w:val="en-IE"/>
        </w:rPr>
        <w:t xml:space="preserve"> (e.g. </w:t>
      </w:r>
      <w:r w:rsidR="05E07469" w:rsidRPr="003B11BD">
        <w:rPr>
          <w:noProof/>
          <w:lang w:val="en-IE"/>
        </w:rPr>
        <w:t xml:space="preserve">the </w:t>
      </w:r>
      <w:r w:rsidR="2328B725" w:rsidRPr="003B11BD">
        <w:rPr>
          <w:noProof/>
          <w:lang w:val="en-IE"/>
        </w:rPr>
        <w:t>Chips Act</w:t>
      </w:r>
      <w:r w:rsidR="6DD9D39E" w:rsidRPr="003B11BD">
        <w:rPr>
          <w:noProof/>
          <w:lang w:val="en-IE"/>
        </w:rPr>
        <w:t>).</w:t>
      </w:r>
      <w:r w:rsidR="40563C12" w:rsidRPr="003B11BD">
        <w:rPr>
          <w:noProof/>
          <w:lang w:val="en-IE"/>
        </w:rPr>
        <w:t xml:space="preserve"> </w:t>
      </w:r>
      <w:r w:rsidR="3423E4A1" w:rsidRPr="003B11BD">
        <w:rPr>
          <w:noProof/>
          <w:lang w:val="en-IE"/>
        </w:rPr>
        <w:t xml:space="preserve">The COVID-19 crisis has indeed </w:t>
      </w:r>
      <w:r w:rsidR="3EEA2EC7" w:rsidRPr="003B11BD">
        <w:rPr>
          <w:noProof/>
          <w:lang w:val="en-IE"/>
        </w:rPr>
        <w:t>confirm</w:t>
      </w:r>
      <w:r w:rsidR="5817062B" w:rsidRPr="003B11BD">
        <w:rPr>
          <w:noProof/>
          <w:lang w:val="en-IE"/>
        </w:rPr>
        <w:t>ed</w:t>
      </w:r>
      <w:r w:rsidR="3423E4A1" w:rsidRPr="003B11BD">
        <w:rPr>
          <w:noProof/>
          <w:lang w:val="en-IE"/>
        </w:rPr>
        <w:t xml:space="preserve"> that a</w:t>
      </w:r>
      <w:r w:rsidR="3DE5BA9A" w:rsidRPr="003B11BD">
        <w:rPr>
          <w:noProof/>
          <w:lang w:val="en-IE"/>
        </w:rPr>
        <w:t xml:space="preserve">ction at EU level </w:t>
      </w:r>
      <w:r w:rsidR="045B503F" w:rsidRPr="003B11BD">
        <w:rPr>
          <w:noProof/>
          <w:lang w:val="en-IE"/>
        </w:rPr>
        <w:t>allows a be</w:t>
      </w:r>
      <w:r w:rsidR="34F50778" w:rsidRPr="003B11BD">
        <w:rPr>
          <w:noProof/>
          <w:lang w:val="en-IE"/>
        </w:rPr>
        <w:t xml:space="preserve">tter, </w:t>
      </w:r>
      <w:r w:rsidR="57C1030A" w:rsidRPr="003B11BD">
        <w:rPr>
          <w:noProof/>
          <w:lang w:val="en-IE"/>
        </w:rPr>
        <w:t>faster,</w:t>
      </w:r>
      <w:r w:rsidR="34F50778" w:rsidRPr="003B11BD">
        <w:rPr>
          <w:noProof/>
          <w:lang w:val="en-IE"/>
        </w:rPr>
        <w:t xml:space="preserve"> and more efficient response</w:t>
      </w:r>
      <w:r w:rsidR="7FCE4623" w:rsidRPr="003B11BD">
        <w:rPr>
          <w:noProof/>
          <w:lang w:val="en-IE"/>
        </w:rPr>
        <w:t xml:space="preserve"> to crises.</w:t>
      </w:r>
      <w:r w:rsidR="11D470ED" w:rsidRPr="003B11BD">
        <w:rPr>
          <w:noProof/>
          <w:lang w:val="en-IE"/>
        </w:rPr>
        <w:t xml:space="preserve"> Yet, compulsory licensing schemes remai</w:t>
      </w:r>
      <w:r w:rsidR="59BD7C67" w:rsidRPr="003B11BD">
        <w:rPr>
          <w:noProof/>
          <w:lang w:val="en-IE"/>
        </w:rPr>
        <w:t>n</w:t>
      </w:r>
      <w:r w:rsidR="57C1030A" w:rsidRPr="003B11BD">
        <w:rPr>
          <w:noProof/>
          <w:lang w:val="en-IE"/>
        </w:rPr>
        <w:t xml:space="preserve"> fragmented</w:t>
      </w:r>
      <w:r w:rsidR="4D403A2D" w:rsidRPr="003B11BD">
        <w:rPr>
          <w:noProof/>
          <w:lang w:val="en-IE"/>
        </w:rPr>
        <w:t xml:space="preserve"> </w:t>
      </w:r>
      <w:r w:rsidR="59BD7C67" w:rsidRPr="003B11BD">
        <w:rPr>
          <w:noProof/>
          <w:lang w:val="en-IE"/>
        </w:rPr>
        <w:t>and purely territorial</w:t>
      </w:r>
      <w:r w:rsidR="261F2D0A" w:rsidRPr="003B11BD">
        <w:rPr>
          <w:noProof/>
          <w:lang w:val="en-IE"/>
        </w:rPr>
        <w:t>.</w:t>
      </w:r>
      <w:r w:rsidR="59BD7C67" w:rsidRPr="003B11BD">
        <w:rPr>
          <w:noProof/>
          <w:lang w:val="en-IE"/>
        </w:rPr>
        <w:t xml:space="preserve"> </w:t>
      </w:r>
    </w:p>
    <w:p w14:paraId="552B5286" w14:textId="3004C205" w:rsidR="2ED1E017" w:rsidRPr="003B11BD" w:rsidRDefault="00AD7AEF" w:rsidP="00975B12">
      <w:pPr>
        <w:rPr>
          <w:noProof/>
          <w:lang w:val="en-IE"/>
        </w:rPr>
      </w:pPr>
      <w:r w:rsidRPr="003B11BD">
        <w:rPr>
          <w:noProof/>
          <w:lang w:val="en-IE"/>
        </w:rPr>
        <w:t>T</w:t>
      </w:r>
      <w:r w:rsidR="0F0B1738" w:rsidRPr="003B11BD">
        <w:rPr>
          <w:noProof/>
          <w:lang w:val="en-IE"/>
        </w:rPr>
        <w:t xml:space="preserve">here is currently no </w:t>
      </w:r>
      <w:r w:rsidR="0073509A" w:rsidRPr="003B11BD">
        <w:rPr>
          <w:noProof/>
          <w:lang w:val="en-IE"/>
        </w:rPr>
        <w:t xml:space="preserve">or very limited </w:t>
      </w:r>
      <w:r w:rsidR="5A83CC50" w:rsidRPr="003B11BD">
        <w:rPr>
          <w:noProof/>
          <w:lang w:val="en-IE"/>
        </w:rPr>
        <w:t xml:space="preserve">interplay </w:t>
      </w:r>
      <w:r w:rsidR="0F0B1738" w:rsidRPr="003B11BD">
        <w:rPr>
          <w:noProof/>
          <w:lang w:val="en-IE"/>
        </w:rPr>
        <w:t xml:space="preserve">between </w:t>
      </w:r>
      <w:r w:rsidR="00232875" w:rsidRPr="003B11BD">
        <w:rPr>
          <w:noProof/>
          <w:lang w:val="en-IE"/>
        </w:rPr>
        <w:t xml:space="preserve">compulsory </w:t>
      </w:r>
      <w:r w:rsidR="00C55853" w:rsidRPr="003B11BD">
        <w:rPr>
          <w:noProof/>
          <w:lang w:val="en-IE"/>
        </w:rPr>
        <w:t>licensing</w:t>
      </w:r>
      <w:r w:rsidR="00232875" w:rsidRPr="003B11BD">
        <w:rPr>
          <w:noProof/>
          <w:lang w:val="en-IE"/>
        </w:rPr>
        <w:t xml:space="preserve"> schemes and </w:t>
      </w:r>
      <w:r w:rsidR="72C9576C" w:rsidRPr="003B11BD">
        <w:rPr>
          <w:noProof/>
          <w:lang w:val="en-IE"/>
        </w:rPr>
        <w:t xml:space="preserve">existing and </w:t>
      </w:r>
      <w:r w:rsidR="006200C2" w:rsidRPr="003B11BD">
        <w:rPr>
          <w:noProof/>
          <w:lang w:val="en-IE"/>
        </w:rPr>
        <w:t>envisaged</w:t>
      </w:r>
      <w:r w:rsidR="009D4298" w:rsidRPr="003B11BD">
        <w:rPr>
          <w:noProof/>
          <w:lang w:val="en-IE"/>
        </w:rPr>
        <w:t xml:space="preserve"> </w:t>
      </w:r>
      <w:r w:rsidR="00E15672" w:rsidRPr="003B11BD">
        <w:rPr>
          <w:noProof/>
          <w:lang w:val="en-IE"/>
        </w:rPr>
        <w:t xml:space="preserve">EU </w:t>
      </w:r>
      <w:r w:rsidR="00826569" w:rsidRPr="003B11BD">
        <w:rPr>
          <w:noProof/>
          <w:lang w:val="en-IE"/>
        </w:rPr>
        <w:t>crisis instruments</w:t>
      </w:r>
      <w:r w:rsidR="00900F01" w:rsidRPr="003B11BD">
        <w:rPr>
          <w:noProof/>
          <w:lang w:val="en-IE"/>
        </w:rPr>
        <w:t>:</w:t>
      </w:r>
    </w:p>
    <w:p w14:paraId="3CCC159B" w14:textId="11882E2C" w:rsidR="00900F01" w:rsidRPr="003B11BD" w:rsidRDefault="3937BE9A" w:rsidP="004C618F">
      <w:pPr>
        <w:pStyle w:val="Bullets"/>
        <w:rPr>
          <w:noProof/>
        </w:rPr>
      </w:pPr>
      <w:r w:rsidRPr="003B11BD">
        <w:rPr>
          <w:noProof/>
        </w:rPr>
        <w:t>EU</w:t>
      </w:r>
      <w:r w:rsidR="219CF5FB" w:rsidRPr="003B11BD">
        <w:rPr>
          <w:noProof/>
        </w:rPr>
        <w:t xml:space="preserve"> crisis instruments </w:t>
      </w:r>
      <w:r w:rsidR="008A2168" w:rsidRPr="003B11BD">
        <w:rPr>
          <w:noProof/>
        </w:rPr>
        <w:t>may</w:t>
      </w:r>
      <w:r w:rsidRPr="003B11BD">
        <w:rPr>
          <w:noProof/>
        </w:rPr>
        <w:t xml:space="preserve"> include</w:t>
      </w:r>
      <w:r w:rsidR="219CF5FB" w:rsidRPr="003B11BD">
        <w:rPr>
          <w:noProof/>
        </w:rPr>
        <w:t xml:space="preserve"> a </w:t>
      </w:r>
      <w:r w:rsidR="219CF5FB" w:rsidRPr="003B11BD">
        <w:rPr>
          <w:b/>
          <w:noProof/>
        </w:rPr>
        <w:t>coordination mechanism</w:t>
      </w:r>
      <w:r w:rsidR="219CF5FB" w:rsidRPr="003B11BD">
        <w:rPr>
          <w:noProof/>
        </w:rPr>
        <w:t xml:space="preserve"> </w:t>
      </w:r>
      <w:r w:rsidR="0EB638D6" w:rsidRPr="003B11BD">
        <w:rPr>
          <w:noProof/>
        </w:rPr>
        <w:t xml:space="preserve">providing for </w:t>
      </w:r>
      <w:r w:rsidR="3A76C06C" w:rsidRPr="003B11BD">
        <w:rPr>
          <w:noProof/>
        </w:rPr>
        <w:t>exchange of information</w:t>
      </w:r>
      <w:r w:rsidR="6696A144" w:rsidRPr="003B11BD">
        <w:rPr>
          <w:noProof/>
        </w:rPr>
        <w:t xml:space="preserve">, </w:t>
      </w:r>
      <w:r w:rsidR="3A76C06C" w:rsidRPr="003B11BD">
        <w:rPr>
          <w:noProof/>
        </w:rPr>
        <w:t>coordination</w:t>
      </w:r>
      <w:r w:rsidR="6696A144" w:rsidRPr="003B11BD">
        <w:rPr>
          <w:noProof/>
        </w:rPr>
        <w:t xml:space="preserve"> and monitoring</w:t>
      </w:r>
      <w:r w:rsidR="3A76C06C" w:rsidRPr="003B11BD">
        <w:rPr>
          <w:noProof/>
        </w:rPr>
        <w:t xml:space="preserve"> of </w:t>
      </w:r>
      <w:r w:rsidR="5319BBD5" w:rsidRPr="003B11BD">
        <w:rPr>
          <w:noProof/>
        </w:rPr>
        <w:t>nationa</w:t>
      </w:r>
      <w:r w:rsidR="6696A144" w:rsidRPr="003B11BD">
        <w:rPr>
          <w:noProof/>
        </w:rPr>
        <w:t>l</w:t>
      </w:r>
      <w:r w:rsidR="3A76C06C" w:rsidRPr="003B11BD">
        <w:rPr>
          <w:noProof/>
        </w:rPr>
        <w:t xml:space="preserve"> crisis countermeasures. </w:t>
      </w:r>
      <w:r w:rsidR="51CFD726" w:rsidRPr="003B11BD">
        <w:rPr>
          <w:noProof/>
        </w:rPr>
        <w:t xml:space="preserve">The </w:t>
      </w:r>
      <w:r w:rsidR="615161F4" w:rsidRPr="003B11BD">
        <w:rPr>
          <w:noProof/>
        </w:rPr>
        <w:t xml:space="preserve">objective being to </w:t>
      </w:r>
      <w:r w:rsidR="4C8F25C5" w:rsidRPr="003B11BD">
        <w:rPr>
          <w:noProof/>
        </w:rPr>
        <w:t>enable</w:t>
      </w:r>
      <w:r w:rsidR="51CFD726" w:rsidRPr="003B11BD">
        <w:rPr>
          <w:noProof/>
        </w:rPr>
        <w:t xml:space="preserve"> coordinated decision making</w:t>
      </w:r>
      <w:r w:rsidR="440DE0E4" w:rsidRPr="003B11BD">
        <w:rPr>
          <w:noProof/>
        </w:rPr>
        <w:t xml:space="preserve"> in support of an EU response</w:t>
      </w:r>
      <w:r w:rsidR="51CFD726" w:rsidRPr="003B11BD">
        <w:rPr>
          <w:noProof/>
        </w:rPr>
        <w:t>.</w:t>
      </w:r>
      <w:r w:rsidR="4D9AFA42" w:rsidRPr="003B11BD">
        <w:rPr>
          <w:noProof/>
        </w:rPr>
        <w:t xml:space="preserve"> </w:t>
      </w:r>
      <w:r w:rsidR="56A0CC2D" w:rsidRPr="003B11BD">
        <w:rPr>
          <w:noProof/>
        </w:rPr>
        <w:t>Currently,</w:t>
      </w:r>
      <w:r w:rsidR="6C8D05F7" w:rsidRPr="003B11BD">
        <w:rPr>
          <w:noProof/>
        </w:rPr>
        <w:t xml:space="preserve"> </w:t>
      </w:r>
      <w:r w:rsidR="738B2ACB" w:rsidRPr="003B11BD">
        <w:rPr>
          <w:noProof/>
        </w:rPr>
        <w:t xml:space="preserve">it is </w:t>
      </w:r>
      <w:r w:rsidR="00965A6E" w:rsidRPr="003B11BD">
        <w:rPr>
          <w:noProof/>
        </w:rPr>
        <w:t>uncertain</w:t>
      </w:r>
      <w:r w:rsidR="77E44C9F" w:rsidRPr="003B11BD">
        <w:rPr>
          <w:noProof/>
        </w:rPr>
        <w:t xml:space="preserve"> whether and</w:t>
      </w:r>
      <w:r w:rsidR="738B2ACB" w:rsidRPr="003B11BD">
        <w:rPr>
          <w:noProof/>
        </w:rPr>
        <w:t xml:space="preserve"> how </w:t>
      </w:r>
      <w:r w:rsidR="55947316" w:rsidRPr="003B11BD">
        <w:rPr>
          <w:noProof/>
        </w:rPr>
        <w:t xml:space="preserve">these coordination mechanisms would apply to </w:t>
      </w:r>
      <w:r w:rsidR="7C6FAE77" w:rsidRPr="003B11BD">
        <w:rPr>
          <w:noProof/>
        </w:rPr>
        <w:t>compulsory licensing</w:t>
      </w:r>
      <w:r w:rsidR="77E44C9F" w:rsidRPr="003B11BD">
        <w:rPr>
          <w:noProof/>
        </w:rPr>
        <w:t xml:space="preserve">. </w:t>
      </w:r>
      <w:r w:rsidR="7C6FAE77" w:rsidRPr="003B11BD">
        <w:rPr>
          <w:noProof/>
        </w:rPr>
        <w:t xml:space="preserve"> </w:t>
      </w:r>
    </w:p>
    <w:p w14:paraId="0B0E27F4" w14:textId="4376EBFB" w:rsidR="00900F01" w:rsidRPr="003B11BD" w:rsidRDefault="0016073C" w:rsidP="004C618F">
      <w:pPr>
        <w:pStyle w:val="Bullets"/>
        <w:rPr>
          <w:noProof/>
        </w:rPr>
      </w:pPr>
      <w:r w:rsidRPr="003B11BD">
        <w:rPr>
          <w:noProof/>
        </w:rPr>
        <w:t xml:space="preserve">EU crisis instruments </w:t>
      </w:r>
      <w:r w:rsidR="008A35C8" w:rsidRPr="003B11BD">
        <w:rPr>
          <w:noProof/>
        </w:rPr>
        <w:t>usually</w:t>
      </w:r>
      <w:r w:rsidR="00003600" w:rsidRPr="003B11BD">
        <w:rPr>
          <w:noProof/>
        </w:rPr>
        <w:t xml:space="preserve"> allow the </w:t>
      </w:r>
      <w:r w:rsidR="009A5C79" w:rsidRPr="003B11BD">
        <w:rPr>
          <w:b/>
          <w:noProof/>
        </w:rPr>
        <w:t>declaration or a</w:t>
      </w:r>
      <w:r w:rsidR="00003600" w:rsidRPr="003B11BD">
        <w:rPr>
          <w:b/>
          <w:noProof/>
        </w:rPr>
        <w:t>ctivation of a crisis mode</w:t>
      </w:r>
      <w:r w:rsidR="00003600" w:rsidRPr="003B11BD">
        <w:rPr>
          <w:noProof/>
        </w:rPr>
        <w:t xml:space="preserve">, in the context of which </w:t>
      </w:r>
      <w:r w:rsidR="00900F01" w:rsidRPr="003B11BD">
        <w:rPr>
          <w:noProof/>
        </w:rPr>
        <w:t xml:space="preserve">emergency </w:t>
      </w:r>
      <w:r w:rsidR="00003600" w:rsidRPr="003B11BD">
        <w:rPr>
          <w:noProof/>
        </w:rPr>
        <w:t>measures can be taken</w:t>
      </w:r>
      <w:r w:rsidR="7DE2A64D" w:rsidRPr="003B11BD">
        <w:rPr>
          <w:noProof/>
        </w:rPr>
        <w:t>.</w:t>
      </w:r>
      <w:r w:rsidR="00003600" w:rsidRPr="003B11BD">
        <w:rPr>
          <w:noProof/>
        </w:rPr>
        <w:t xml:space="preserve"> </w:t>
      </w:r>
      <w:r w:rsidR="00900F01" w:rsidRPr="003B11BD">
        <w:rPr>
          <w:noProof/>
        </w:rPr>
        <w:t>Currently</w:t>
      </w:r>
      <w:r w:rsidR="00003600" w:rsidRPr="003B11BD">
        <w:rPr>
          <w:noProof/>
        </w:rPr>
        <w:t>, there is no link between the EU possibility to activate a crisis mode and the trigger at national level to grant a compulsory licence.</w:t>
      </w:r>
    </w:p>
    <w:p w14:paraId="0C4193AC" w14:textId="57C659C4" w:rsidR="00A609D0" w:rsidRPr="003B11BD" w:rsidRDefault="00A609D0" w:rsidP="004C618F">
      <w:pPr>
        <w:pStyle w:val="Bullets"/>
        <w:rPr>
          <w:noProof/>
        </w:rPr>
      </w:pPr>
      <w:r w:rsidRPr="003B11BD">
        <w:rPr>
          <w:noProof/>
        </w:rPr>
        <w:t xml:space="preserve">EU crisis instruments </w:t>
      </w:r>
      <w:r w:rsidR="00F34B5E" w:rsidRPr="003B11BD">
        <w:rPr>
          <w:noProof/>
        </w:rPr>
        <w:t>usually</w:t>
      </w:r>
      <w:r w:rsidRPr="003B11BD">
        <w:rPr>
          <w:noProof/>
        </w:rPr>
        <w:t xml:space="preserve"> </w:t>
      </w:r>
      <w:r w:rsidR="002B3772" w:rsidRPr="003B11BD">
        <w:rPr>
          <w:noProof/>
        </w:rPr>
        <w:t xml:space="preserve">allow </w:t>
      </w:r>
      <w:r w:rsidR="002B3772" w:rsidRPr="003B11BD">
        <w:rPr>
          <w:b/>
          <w:noProof/>
        </w:rPr>
        <w:t>decision-making at EU level</w:t>
      </w:r>
      <w:r w:rsidR="002B3772" w:rsidRPr="003B11BD">
        <w:rPr>
          <w:noProof/>
        </w:rPr>
        <w:t xml:space="preserve">, as a means to more efficiently tackling EU crises. Yet, </w:t>
      </w:r>
      <w:r w:rsidR="007120B0" w:rsidRPr="003B11BD">
        <w:rPr>
          <w:noProof/>
        </w:rPr>
        <w:t>decision-making remains at national level as regards compulsory licensing</w:t>
      </w:r>
      <w:r w:rsidR="00A465F4" w:rsidRPr="003B11BD">
        <w:rPr>
          <w:noProof/>
        </w:rPr>
        <w:t xml:space="preserve">, which can </w:t>
      </w:r>
      <w:r w:rsidR="003302CC" w:rsidRPr="003B11BD">
        <w:rPr>
          <w:noProof/>
        </w:rPr>
        <w:t xml:space="preserve">undermine efforts to </w:t>
      </w:r>
      <w:r w:rsidR="00A465F4" w:rsidRPr="003B11BD">
        <w:rPr>
          <w:noProof/>
        </w:rPr>
        <w:t>build an EU-level crisis response mechanism.</w:t>
      </w:r>
    </w:p>
    <w:p w14:paraId="2C155FE3" w14:textId="71FE9F1A" w:rsidR="00415A93" w:rsidRPr="003B11BD" w:rsidRDefault="000C155F" w:rsidP="004C618F">
      <w:pPr>
        <w:pStyle w:val="Bullets"/>
        <w:rPr>
          <w:noProof/>
        </w:rPr>
      </w:pPr>
      <w:r w:rsidRPr="003B11BD">
        <w:rPr>
          <w:noProof/>
        </w:rPr>
        <w:t>Regulation (EC) No</w:t>
      </w:r>
      <w:r w:rsidR="6C622D8F" w:rsidRPr="003B11BD">
        <w:rPr>
          <w:noProof/>
        </w:rPr>
        <w:t xml:space="preserve"> 816/2006 </w:t>
      </w:r>
      <w:r w:rsidR="222D930A" w:rsidRPr="003B11BD">
        <w:rPr>
          <w:noProof/>
        </w:rPr>
        <w:t xml:space="preserve">harmonises the conditions and procedure for Member States to </w:t>
      </w:r>
      <w:r w:rsidR="250AB334" w:rsidRPr="003B11BD">
        <w:rPr>
          <w:noProof/>
        </w:rPr>
        <w:t xml:space="preserve">grant a </w:t>
      </w:r>
      <w:r w:rsidR="250AB334" w:rsidRPr="003B11BD">
        <w:rPr>
          <w:b/>
          <w:noProof/>
        </w:rPr>
        <w:t>compulsory licence for export purposes</w:t>
      </w:r>
      <w:r w:rsidR="22267E79" w:rsidRPr="003B11BD">
        <w:rPr>
          <w:b/>
          <w:noProof/>
        </w:rPr>
        <w:t xml:space="preserve"> to </w:t>
      </w:r>
      <w:r w:rsidR="002D606C" w:rsidRPr="003B11BD">
        <w:rPr>
          <w:b/>
          <w:noProof/>
        </w:rPr>
        <w:t xml:space="preserve">non-EU </w:t>
      </w:r>
      <w:r w:rsidR="22267E79" w:rsidRPr="003B11BD">
        <w:rPr>
          <w:b/>
          <w:noProof/>
        </w:rPr>
        <w:t>countries</w:t>
      </w:r>
      <w:r w:rsidR="250AB334" w:rsidRPr="003B11BD">
        <w:rPr>
          <w:noProof/>
        </w:rPr>
        <w:t xml:space="preserve">. </w:t>
      </w:r>
      <w:r w:rsidR="31BF9847" w:rsidRPr="003B11BD">
        <w:rPr>
          <w:noProof/>
        </w:rPr>
        <w:t>However, the Regulation does not provide for any coordination nor cooperation between Member States</w:t>
      </w:r>
      <w:r w:rsidR="2F91755C" w:rsidRPr="003B11BD">
        <w:rPr>
          <w:noProof/>
        </w:rPr>
        <w:t>. The Commission also has a limited role</w:t>
      </w:r>
      <w:r w:rsidR="76E0A716" w:rsidRPr="003B11BD">
        <w:rPr>
          <w:noProof/>
        </w:rPr>
        <w:t xml:space="preserve">. This </w:t>
      </w:r>
      <w:r w:rsidR="2897F171" w:rsidRPr="003B11BD">
        <w:rPr>
          <w:noProof/>
        </w:rPr>
        <w:t xml:space="preserve">uncoordinated and purely national process can </w:t>
      </w:r>
      <w:r w:rsidR="00292FAF" w:rsidRPr="003B11BD">
        <w:rPr>
          <w:noProof/>
        </w:rPr>
        <w:t xml:space="preserve">hamper </w:t>
      </w:r>
      <w:r w:rsidR="2897F171" w:rsidRPr="003B11BD">
        <w:rPr>
          <w:noProof/>
        </w:rPr>
        <w:t xml:space="preserve">the </w:t>
      </w:r>
      <w:r w:rsidR="00E540AF" w:rsidRPr="003B11BD">
        <w:rPr>
          <w:noProof/>
        </w:rPr>
        <w:t xml:space="preserve">use of the </w:t>
      </w:r>
      <w:r w:rsidR="2897F171" w:rsidRPr="003B11BD">
        <w:rPr>
          <w:noProof/>
        </w:rPr>
        <w:t xml:space="preserve">mechanism put in place by </w:t>
      </w:r>
      <w:r w:rsidRPr="003B11BD">
        <w:rPr>
          <w:noProof/>
        </w:rPr>
        <w:t>Regulation (EC) No 816/2006</w:t>
      </w:r>
      <w:r w:rsidR="2897F171" w:rsidRPr="003B11BD">
        <w:rPr>
          <w:noProof/>
        </w:rPr>
        <w:t>.</w:t>
      </w:r>
    </w:p>
    <w:p w14:paraId="47D2BFAB" w14:textId="3E21A806" w:rsidR="000321F2" w:rsidRPr="003B11BD" w:rsidRDefault="00F33E5C" w:rsidP="00B47281">
      <w:pPr>
        <w:rPr>
          <w:noProof/>
          <w:lang w:val="en-IE"/>
        </w:rPr>
      </w:pPr>
      <w:r w:rsidRPr="003B11BD">
        <w:rPr>
          <w:noProof/>
          <w:lang w:val="en-IE"/>
        </w:rPr>
        <w:t>In conclusion</w:t>
      </w:r>
      <w:r w:rsidR="00AC4C58" w:rsidRPr="003B11BD">
        <w:rPr>
          <w:noProof/>
          <w:lang w:val="en-IE"/>
        </w:rPr>
        <w:t xml:space="preserve">, </w:t>
      </w:r>
      <w:r w:rsidR="00232875" w:rsidRPr="003B11BD">
        <w:rPr>
          <w:noProof/>
          <w:lang w:val="en-IE"/>
        </w:rPr>
        <w:t xml:space="preserve">the current </w:t>
      </w:r>
      <w:r w:rsidR="00BE076E" w:rsidRPr="003B11BD">
        <w:rPr>
          <w:noProof/>
          <w:lang w:val="en-IE"/>
        </w:rPr>
        <w:t>compulsory licensing</w:t>
      </w:r>
      <w:r w:rsidR="00232875" w:rsidRPr="003B11BD">
        <w:rPr>
          <w:noProof/>
          <w:lang w:val="en-IE"/>
        </w:rPr>
        <w:t xml:space="preserve"> </w:t>
      </w:r>
      <w:r w:rsidR="00AC4C58" w:rsidRPr="003B11BD">
        <w:rPr>
          <w:noProof/>
          <w:lang w:val="en-IE"/>
        </w:rPr>
        <w:t>system that could complement and support the EU</w:t>
      </w:r>
      <w:r w:rsidR="000E12DD" w:rsidRPr="003B11BD">
        <w:rPr>
          <w:noProof/>
          <w:lang w:val="en-IE"/>
        </w:rPr>
        <w:t xml:space="preserve">’s ability to tackle crises </w:t>
      </w:r>
      <w:r w:rsidR="00AC4C58" w:rsidRPr="003B11BD">
        <w:rPr>
          <w:noProof/>
          <w:lang w:val="en-IE"/>
        </w:rPr>
        <w:t>appear</w:t>
      </w:r>
      <w:r w:rsidR="00232875" w:rsidRPr="003B11BD">
        <w:rPr>
          <w:noProof/>
          <w:lang w:val="en-IE"/>
        </w:rPr>
        <w:t>s</w:t>
      </w:r>
      <w:r w:rsidR="00AC4C58" w:rsidRPr="003B11BD">
        <w:rPr>
          <w:noProof/>
          <w:lang w:val="en-IE"/>
        </w:rPr>
        <w:t xml:space="preserve"> disconnected from </w:t>
      </w:r>
      <w:r w:rsidR="005524B7" w:rsidRPr="003B11BD">
        <w:rPr>
          <w:noProof/>
          <w:lang w:val="en-IE"/>
        </w:rPr>
        <w:t>EU crisis</w:t>
      </w:r>
      <w:r w:rsidR="00232875" w:rsidRPr="003B11BD">
        <w:rPr>
          <w:noProof/>
          <w:lang w:val="en-IE"/>
        </w:rPr>
        <w:t xml:space="preserve"> instruments</w:t>
      </w:r>
      <w:r w:rsidR="00CB4894" w:rsidRPr="003B11BD">
        <w:rPr>
          <w:noProof/>
          <w:lang w:val="en-IE"/>
        </w:rPr>
        <w:t>.</w:t>
      </w:r>
      <w:r w:rsidR="001E0078" w:rsidRPr="003B11BD">
        <w:rPr>
          <w:noProof/>
          <w:lang w:val="en-IE"/>
        </w:rPr>
        <w:t xml:space="preserve"> In addition, there is no </w:t>
      </w:r>
      <w:r w:rsidR="009961C6" w:rsidRPr="003B11BD">
        <w:rPr>
          <w:noProof/>
          <w:lang w:val="en-IE"/>
        </w:rPr>
        <w:t xml:space="preserve">coordination at EU level should </w:t>
      </w:r>
      <w:r w:rsidR="00A11ED3" w:rsidRPr="003B11BD">
        <w:rPr>
          <w:noProof/>
          <w:lang w:val="en-IE"/>
        </w:rPr>
        <w:t>several Member States wish to coordinate their national actions as regards compulsory licensing.</w:t>
      </w:r>
      <w:r w:rsidR="00FC68ED" w:rsidRPr="003B11BD">
        <w:rPr>
          <w:noProof/>
          <w:lang w:val="en-IE"/>
        </w:rPr>
        <w:t xml:space="preserve"> </w:t>
      </w:r>
      <w:r w:rsidR="00125D0F" w:rsidRPr="003B11BD">
        <w:rPr>
          <w:noProof/>
          <w:lang w:val="en-IE"/>
        </w:rPr>
        <w:t xml:space="preserve">This is also not in line with </w:t>
      </w:r>
      <w:r w:rsidR="008326FB" w:rsidRPr="003B11BD">
        <w:rPr>
          <w:noProof/>
          <w:lang w:val="en-IE"/>
        </w:rPr>
        <w:t>the i</w:t>
      </w:r>
      <w:r w:rsidR="008B3465" w:rsidRPr="003B11BD">
        <w:rPr>
          <w:noProof/>
          <w:lang w:val="en-IE"/>
        </w:rPr>
        <w:t xml:space="preserve">ncreased harmonisation of EU patent law, and in particular the upcoming launch of the </w:t>
      </w:r>
      <w:r w:rsidR="00A65408" w:rsidRPr="003B11BD">
        <w:rPr>
          <w:b/>
          <w:bCs/>
          <w:noProof/>
          <w:lang w:val="en-IE"/>
        </w:rPr>
        <w:t>unitary p</w:t>
      </w:r>
      <w:r w:rsidR="430011A3" w:rsidRPr="003B11BD">
        <w:rPr>
          <w:b/>
          <w:bCs/>
          <w:noProof/>
          <w:lang w:val="en-IE"/>
        </w:rPr>
        <w:t xml:space="preserve">atent </w:t>
      </w:r>
      <w:r w:rsidR="00BF79AF" w:rsidRPr="003B11BD">
        <w:rPr>
          <w:b/>
          <w:bCs/>
          <w:noProof/>
          <w:lang w:val="en-IE"/>
        </w:rPr>
        <w:t>s</w:t>
      </w:r>
      <w:r w:rsidR="430011A3" w:rsidRPr="003B11BD">
        <w:rPr>
          <w:b/>
          <w:bCs/>
          <w:noProof/>
          <w:lang w:val="en-IE"/>
        </w:rPr>
        <w:t>ystem</w:t>
      </w:r>
      <w:r w:rsidR="00265F79" w:rsidRPr="003B11BD">
        <w:rPr>
          <w:rStyle w:val="FootnoteReference"/>
          <w:noProof/>
          <w:lang w:val="en-IE"/>
        </w:rPr>
        <w:footnoteReference w:id="75"/>
      </w:r>
      <w:r w:rsidR="00232875" w:rsidRPr="003B11BD">
        <w:rPr>
          <w:noProof/>
          <w:lang w:val="en-IE"/>
        </w:rPr>
        <w:t>, which will</w:t>
      </w:r>
      <w:r w:rsidR="00B05AFB" w:rsidRPr="003B11BD">
        <w:rPr>
          <w:noProof/>
          <w:lang w:val="en-IE"/>
        </w:rPr>
        <w:t xml:space="preserve"> </w:t>
      </w:r>
      <w:r w:rsidR="001309D9" w:rsidRPr="003B11BD">
        <w:rPr>
          <w:noProof/>
          <w:lang w:val="en-IE"/>
        </w:rPr>
        <w:t>mak</w:t>
      </w:r>
      <w:r w:rsidR="00232875" w:rsidRPr="003B11BD">
        <w:rPr>
          <w:noProof/>
          <w:lang w:val="en-IE"/>
        </w:rPr>
        <w:t>e</w:t>
      </w:r>
      <w:r w:rsidR="001309D9" w:rsidRPr="003B11BD">
        <w:rPr>
          <w:noProof/>
          <w:lang w:val="en-IE"/>
        </w:rPr>
        <w:t xml:space="preserve"> unitary </w:t>
      </w:r>
      <w:r w:rsidR="004F6D4B" w:rsidRPr="003B11BD">
        <w:rPr>
          <w:noProof/>
          <w:lang w:val="en-IE"/>
        </w:rPr>
        <w:t xml:space="preserve">patent </w:t>
      </w:r>
      <w:r w:rsidR="001309D9" w:rsidRPr="003B11BD">
        <w:rPr>
          <w:noProof/>
          <w:lang w:val="en-IE"/>
        </w:rPr>
        <w:t xml:space="preserve">protection much easier than before </w:t>
      </w:r>
      <w:r w:rsidR="004F6D4B" w:rsidRPr="003B11BD">
        <w:rPr>
          <w:noProof/>
          <w:lang w:val="en-IE"/>
        </w:rPr>
        <w:t>in a large portion of the EU</w:t>
      </w:r>
      <w:r w:rsidR="00B870A6" w:rsidRPr="003B11BD">
        <w:rPr>
          <w:rStyle w:val="FootnoteReference"/>
          <w:noProof/>
          <w:lang w:val="en-IE"/>
        </w:rPr>
        <w:footnoteReference w:id="76"/>
      </w:r>
      <w:r w:rsidR="004F6D4B" w:rsidRPr="003B11BD">
        <w:rPr>
          <w:noProof/>
          <w:lang w:val="en-IE"/>
        </w:rPr>
        <w:t xml:space="preserve">. </w:t>
      </w:r>
      <w:r w:rsidR="009B7E20" w:rsidRPr="003B11BD">
        <w:rPr>
          <w:noProof/>
          <w:lang w:val="en-IE"/>
        </w:rPr>
        <w:t xml:space="preserve">In </w:t>
      </w:r>
      <w:r w:rsidR="009F043B" w:rsidRPr="003B11BD">
        <w:rPr>
          <w:noProof/>
          <w:lang w:val="en-IE"/>
        </w:rPr>
        <w:t>contrast</w:t>
      </w:r>
      <w:r w:rsidR="009B7E20" w:rsidRPr="003B11BD">
        <w:rPr>
          <w:noProof/>
          <w:lang w:val="en-IE"/>
        </w:rPr>
        <w:t xml:space="preserve">, </w:t>
      </w:r>
      <w:r w:rsidR="000321F2" w:rsidRPr="003B11BD">
        <w:rPr>
          <w:noProof/>
          <w:lang w:val="en-IE"/>
        </w:rPr>
        <w:t xml:space="preserve">purely national </w:t>
      </w:r>
      <w:r w:rsidR="00A12684" w:rsidRPr="003B11BD">
        <w:rPr>
          <w:noProof/>
          <w:lang w:val="en-IE"/>
        </w:rPr>
        <w:t>c</w:t>
      </w:r>
      <w:r w:rsidR="004631FF" w:rsidRPr="003B11BD">
        <w:rPr>
          <w:noProof/>
          <w:lang w:val="en-IE"/>
        </w:rPr>
        <w:t>ompulsory licensing</w:t>
      </w:r>
      <w:r w:rsidR="000321F2" w:rsidRPr="003B11BD">
        <w:rPr>
          <w:noProof/>
          <w:lang w:val="en-IE"/>
        </w:rPr>
        <w:t xml:space="preserve"> systems </w:t>
      </w:r>
      <w:r w:rsidR="003F4173" w:rsidRPr="003B11BD">
        <w:rPr>
          <w:noProof/>
          <w:lang w:val="en-IE"/>
        </w:rPr>
        <w:t xml:space="preserve">and their resulting divergences </w:t>
      </w:r>
      <w:r w:rsidR="000321F2" w:rsidRPr="003B11BD">
        <w:rPr>
          <w:noProof/>
          <w:lang w:val="en-IE"/>
        </w:rPr>
        <w:t xml:space="preserve">would </w:t>
      </w:r>
      <w:r w:rsidR="00E128DD" w:rsidRPr="003B11BD">
        <w:rPr>
          <w:noProof/>
          <w:lang w:val="en-IE"/>
        </w:rPr>
        <w:t xml:space="preserve">conflict with </w:t>
      </w:r>
      <w:r w:rsidR="0059685E" w:rsidRPr="003B11BD">
        <w:rPr>
          <w:noProof/>
          <w:lang w:val="en-IE"/>
        </w:rPr>
        <w:t xml:space="preserve">the increasing European </w:t>
      </w:r>
      <w:r w:rsidR="00332D07" w:rsidRPr="003B11BD">
        <w:rPr>
          <w:noProof/>
          <w:lang w:val="en-IE"/>
        </w:rPr>
        <w:t>integration of patent law</w:t>
      </w:r>
      <w:r w:rsidR="00332B78" w:rsidRPr="003B11BD">
        <w:rPr>
          <w:noProof/>
          <w:lang w:val="en-IE"/>
        </w:rPr>
        <w:t>.</w:t>
      </w:r>
      <w:r w:rsidR="00DD07D3" w:rsidRPr="003B11BD">
        <w:rPr>
          <w:noProof/>
          <w:lang w:val="en-IE"/>
        </w:rPr>
        <w:t xml:space="preserve"> </w:t>
      </w:r>
    </w:p>
    <w:p w14:paraId="5D53AA2B" w14:textId="31D3213C" w:rsidR="00D0488A" w:rsidRPr="003B11BD" w:rsidRDefault="00D0488A" w:rsidP="00DE6C92">
      <w:pPr>
        <w:pStyle w:val="Heading2"/>
        <w:rPr>
          <w:noProof/>
          <w:lang w:val="en-IE"/>
        </w:rPr>
      </w:pPr>
      <w:bookmarkStart w:id="139" w:name="_Toc120731202"/>
      <w:bookmarkStart w:id="140" w:name="_Toc121386361"/>
      <w:bookmarkStart w:id="141" w:name="_Toc121489580"/>
      <w:bookmarkStart w:id="142" w:name="_Toc121496332"/>
      <w:bookmarkStart w:id="143" w:name="_Toc121747998"/>
      <w:bookmarkStart w:id="144" w:name="_Toc133435351"/>
      <w:r w:rsidRPr="003B11BD">
        <w:rPr>
          <w:noProof/>
          <w:lang w:val="en-IE"/>
        </w:rPr>
        <w:t>Consequences of the problem</w:t>
      </w:r>
      <w:bookmarkEnd w:id="139"/>
      <w:bookmarkEnd w:id="140"/>
      <w:bookmarkEnd w:id="141"/>
      <w:bookmarkEnd w:id="142"/>
      <w:bookmarkEnd w:id="143"/>
      <w:bookmarkEnd w:id="144"/>
    </w:p>
    <w:p w14:paraId="3736E53B" w14:textId="2C959EAF" w:rsidR="00326F02" w:rsidRPr="003B11BD" w:rsidRDefault="005A1207" w:rsidP="00CF1ECB">
      <w:pPr>
        <w:spacing w:after="120"/>
        <w:rPr>
          <w:noProof/>
          <w:lang w:val="en-IE"/>
        </w:rPr>
      </w:pPr>
      <w:r w:rsidRPr="003B11BD">
        <w:rPr>
          <w:noProof/>
          <w:color w:val="000000" w:themeColor="text1"/>
          <w:lang w:val="en-IE"/>
        </w:rPr>
        <w:t>A</w:t>
      </w:r>
      <w:r w:rsidR="56604845" w:rsidRPr="003B11BD">
        <w:rPr>
          <w:noProof/>
          <w:color w:val="000000" w:themeColor="text1"/>
          <w:lang w:val="en-IE"/>
        </w:rPr>
        <w:t xml:space="preserve"> coherent </w:t>
      </w:r>
      <w:r w:rsidR="005B4189" w:rsidRPr="003B11BD">
        <w:rPr>
          <w:noProof/>
          <w:color w:val="000000" w:themeColor="text1"/>
          <w:lang w:val="en-IE"/>
        </w:rPr>
        <w:t>compulsory licensing</w:t>
      </w:r>
      <w:r w:rsidR="56604845" w:rsidRPr="003B11BD">
        <w:rPr>
          <w:noProof/>
          <w:color w:val="000000" w:themeColor="text1"/>
          <w:lang w:val="en-IE"/>
        </w:rPr>
        <w:t xml:space="preserve"> system </w:t>
      </w:r>
      <w:r w:rsidRPr="003B11BD">
        <w:rPr>
          <w:noProof/>
          <w:color w:val="000000" w:themeColor="text1"/>
          <w:lang w:val="en-IE"/>
        </w:rPr>
        <w:t xml:space="preserve">for crisis management </w:t>
      </w:r>
      <w:r w:rsidR="56604845" w:rsidRPr="003B11BD">
        <w:rPr>
          <w:noProof/>
          <w:color w:val="000000" w:themeColor="text1"/>
          <w:lang w:val="en-IE"/>
        </w:rPr>
        <w:t xml:space="preserve">does not currently exist in the EU. </w:t>
      </w:r>
      <w:r w:rsidR="00326239" w:rsidRPr="003B11BD">
        <w:rPr>
          <w:noProof/>
          <w:color w:val="000000" w:themeColor="text1"/>
          <w:lang w:val="en-IE"/>
        </w:rPr>
        <w:t>Instead,</w:t>
      </w:r>
      <w:r w:rsidR="56604845" w:rsidRPr="003B11BD">
        <w:rPr>
          <w:noProof/>
          <w:color w:val="000000" w:themeColor="text1"/>
          <w:lang w:val="en-IE"/>
        </w:rPr>
        <w:t xml:space="preserve"> a patchwork of national laws with different triggers, scope, conditions, and procedures</w:t>
      </w:r>
      <w:r w:rsidR="006D2334" w:rsidRPr="003B11BD">
        <w:rPr>
          <w:noProof/>
          <w:color w:val="000000" w:themeColor="text1"/>
          <w:lang w:val="en-IE"/>
        </w:rPr>
        <w:t xml:space="preserve"> on </w:t>
      </w:r>
      <w:r w:rsidR="00D830E1" w:rsidRPr="003B11BD">
        <w:rPr>
          <w:noProof/>
          <w:color w:val="000000" w:themeColor="text1"/>
          <w:lang w:val="en-IE"/>
        </w:rPr>
        <w:t xml:space="preserve">compulsory licensing </w:t>
      </w:r>
      <w:r w:rsidR="006D2334" w:rsidRPr="003B11BD">
        <w:rPr>
          <w:noProof/>
          <w:color w:val="000000" w:themeColor="text1"/>
          <w:lang w:val="en-IE"/>
        </w:rPr>
        <w:t>makes it</w:t>
      </w:r>
      <w:r w:rsidR="00DF34F4" w:rsidRPr="003B11BD">
        <w:rPr>
          <w:noProof/>
          <w:lang w:val="en-IE"/>
        </w:rPr>
        <w:t xml:space="preserve"> difficult for a Member State with manufacturing capaciti</w:t>
      </w:r>
      <w:r w:rsidR="006D2334" w:rsidRPr="003B11BD">
        <w:rPr>
          <w:noProof/>
          <w:lang w:val="en-IE"/>
        </w:rPr>
        <w:t xml:space="preserve">es in critical goods to </w:t>
      </w:r>
      <w:r w:rsidR="00DF34F4" w:rsidRPr="003B11BD">
        <w:rPr>
          <w:noProof/>
          <w:lang w:val="en-IE"/>
        </w:rPr>
        <w:t>help another Member State</w:t>
      </w:r>
      <w:r w:rsidR="006D2334" w:rsidRPr="003B11BD">
        <w:rPr>
          <w:noProof/>
          <w:lang w:val="en-IE"/>
        </w:rPr>
        <w:t xml:space="preserve"> (</w:t>
      </w:r>
      <w:r w:rsidR="00DF34F4" w:rsidRPr="003B11BD">
        <w:rPr>
          <w:noProof/>
          <w:lang w:val="en-IE"/>
        </w:rPr>
        <w:t>without such manufacturing capacities</w:t>
      </w:r>
      <w:r w:rsidR="006D2334" w:rsidRPr="003B11BD">
        <w:rPr>
          <w:noProof/>
          <w:lang w:val="en-IE"/>
        </w:rPr>
        <w:t>)</w:t>
      </w:r>
      <w:r w:rsidR="00DF34F4" w:rsidRPr="003B11BD">
        <w:rPr>
          <w:noProof/>
          <w:lang w:val="en-IE"/>
        </w:rPr>
        <w:t xml:space="preserve">. </w:t>
      </w:r>
      <w:r w:rsidR="00D35C51" w:rsidRPr="003B11BD">
        <w:rPr>
          <w:noProof/>
          <w:lang w:val="en-IE"/>
        </w:rPr>
        <w:t>Likewise, in</w:t>
      </w:r>
      <w:r w:rsidR="004A6037" w:rsidRPr="003B11BD">
        <w:rPr>
          <w:noProof/>
          <w:lang w:val="en-IE"/>
        </w:rPr>
        <w:t xml:space="preserve"> case of a manufacturing process spanning across several EU countries</w:t>
      </w:r>
      <w:r w:rsidR="00326239" w:rsidRPr="003B11BD">
        <w:rPr>
          <w:noProof/>
          <w:lang w:val="en-IE"/>
        </w:rPr>
        <w:t xml:space="preserve"> (e.g. components sourced from other countries)</w:t>
      </w:r>
      <w:r w:rsidR="004A6037" w:rsidRPr="003B11BD">
        <w:rPr>
          <w:noProof/>
          <w:lang w:val="en-IE"/>
        </w:rPr>
        <w:t xml:space="preserve">, the current licensing scheme in the EU </w:t>
      </w:r>
      <w:r w:rsidR="00326239" w:rsidRPr="003B11BD">
        <w:rPr>
          <w:noProof/>
          <w:lang w:val="en-IE"/>
        </w:rPr>
        <w:t xml:space="preserve">is </w:t>
      </w:r>
      <w:r w:rsidR="00FA6EF4" w:rsidRPr="003B11BD">
        <w:rPr>
          <w:noProof/>
          <w:lang w:val="en-IE"/>
        </w:rPr>
        <w:t>unfit to</w:t>
      </w:r>
      <w:r w:rsidR="00326239" w:rsidRPr="003B11BD">
        <w:rPr>
          <w:noProof/>
          <w:lang w:val="en-IE"/>
        </w:rPr>
        <w:t xml:space="preserve"> match its complex cross-border nature</w:t>
      </w:r>
      <w:r w:rsidR="004A6037" w:rsidRPr="003B11BD">
        <w:rPr>
          <w:noProof/>
          <w:lang w:val="en-IE"/>
        </w:rPr>
        <w:t>.</w:t>
      </w:r>
      <w:r w:rsidR="00907CBC" w:rsidRPr="003B11BD">
        <w:rPr>
          <w:noProof/>
          <w:lang w:val="en-IE"/>
        </w:rPr>
        <w:t xml:space="preserve"> The above fragmented architecture leaves the EU more fragile in terms of resilience, as </w:t>
      </w:r>
      <w:r w:rsidR="005B317B" w:rsidRPr="003B11BD">
        <w:rPr>
          <w:noProof/>
          <w:lang w:val="en-IE"/>
        </w:rPr>
        <w:t>Member States</w:t>
      </w:r>
      <w:r w:rsidR="00907CBC" w:rsidRPr="003B11BD">
        <w:rPr>
          <w:noProof/>
          <w:lang w:val="en-IE"/>
        </w:rPr>
        <w:t xml:space="preserve"> cannot effectively cooperate in cross-border cris</w:t>
      </w:r>
      <w:r w:rsidR="005B317B" w:rsidRPr="003B11BD">
        <w:rPr>
          <w:noProof/>
          <w:lang w:val="en-IE"/>
        </w:rPr>
        <w:t>e</w:t>
      </w:r>
      <w:r w:rsidR="00907CBC" w:rsidRPr="003B11BD">
        <w:rPr>
          <w:noProof/>
          <w:lang w:val="en-IE"/>
        </w:rPr>
        <w:t>s</w:t>
      </w:r>
      <w:r w:rsidR="005B317B" w:rsidRPr="003B11BD">
        <w:rPr>
          <w:noProof/>
          <w:lang w:val="en-IE"/>
        </w:rPr>
        <w:t xml:space="preserve">. </w:t>
      </w:r>
      <w:r w:rsidR="00326239" w:rsidRPr="003B11BD">
        <w:rPr>
          <w:noProof/>
          <w:lang w:val="en-IE"/>
        </w:rPr>
        <w:t xml:space="preserve">Furthermore, Member States are not able to leverage their bargaining position based on an optimal compulsory licensing scheme. </w:t>
      </w:r>
      <w:r w:rsidR="004436BB" w:rsidRPr="003B11BD">
        <w:rPr>
          <w:noProof/>
          <w:lang w:val="en-IE"/>
        </w:rPr>
        <w:t xml:space="preserve">As </w:t>
      </w:r>
      <w:r w:rsidR="00326239" w:rsidRPr="003B11BD">
        <w:rPr>
          <w:noProof/>
          <w:lang w:val="en-IE"/>
        </w:rPr>
        <w:t>a result</w:t>
      </w:r>
      <w:r w:rsidR="004436BB" w:rsidRPr="003B11BD">
        <w:rPr>
          <w:noProof/>
          <w:lang w:val="en-IE"/>
        </w:rPr>
        <w:t xml:space="preserve">, </w:t>
      </w:r>
      <w:r w:rsidR="00326239" w:rsidRPr="003B11BD">
        <w:rPr>
          <w:noProof/>
          <w:lang w:val="en-IE"/>
        </w:rPr>
        <w:t>they</w:t>
      </w:r>
      <w:r w:rsidR="004436BB" w:rsidRPr="003B11BD">
        <w:rPr>
          <w:noProof/>
          <w:lang w:val="en-IE"/>
        </w:rPr>
        <w:t xml:space="preserve"> may have no choice but to rely on voluntary agreements only</w:t>
      </w:r>
      <w:r w:rsidR="008A5EAE" w:rsidRPr="003B11BD">
        <w:rPr>
          <w:noProof/>
          <w:lang w:val="en-IE"/>
        </w:rPr>
        <w:t>.</w:t>
      </w:r>
      <w:r w:rsidR="004776AE" w:rsidRPr="003B11BD">
        <w:rPr>
          <w:noProof/>
          <w:lang w:val="en-IE"/>
        </w:rPr>
        <w:t xml:space="preserve"> </w:t>
      </w:r>
      <w:r w:rsidR="00A11C9F" w:rsidRPr="003B11BD">
        <w:rPr>
          <w:noProof/>
          <w:lang w:val="en-IE"/>
        </w:rPr>
        <w:t>The fragmented system also results in</w:t>
      </w:r>
      <w:r w:rsidR="004776AE" w:rsidRPr="003B11BD">
        <w:rPr>
          <w:noProof/>
          <w:lang w:val="en-IE"/>
        </w:rPr>
        <w:t xml:space="preserve"> </w:t>
      </w:r>
      <w:r w:rsidR="00EA27D9" w:rsidRPr="003B11BD">
        <w:rPr>
          <w:noProof/>
          <w:lang w:val="en-IE"/>
        </w:rPr>
        <w:t xml:space="preserve">administrative costs for public authorities </w:t>
      </w:r>
      <w:r w:rsidR="00A11C9F" w:rsidRPr="003B11BD">
        <w:rPr>
          <w:noProof/>
          <w:lang w:val="en-IE"/>
        </w:rPr>
        <w:t xml:space="preserve">granting the </w:t>
      </w:r>
      <w:r w:rsidR="008D51FE" w:rsidRPr="003B11BD">
        <w:rPr>
          <w:noProof/>
          <w:lang w:val="en-IE"/>
        </w:rPr>
        <w:t>compulsory licence</w:t>
      </w:r>
      <w:r w:rsidR="00DD3732" w:rsidRPr="003B11BD">
        <w:rPr>
          <w:noProof/>
          <w:lang w:val="en-IE"/>
        </w:rPr>
        <w:t>, potential licensees,</w:t>
      </w:r>
      <w:r w:rsidR="00A11C9F" w:rsidRPr="003B11BD">
        <w:rPr>
          <w:noProof/>
          <w:lang w:val="en-IE"/>
        </w:rPr>
        <w:t xml:space="preserve"> and patent </w:t>
      </w:r>
      <w:r w:rsidR="008C7550" w:rsidRPr="003B11BD">
        <w:rPr>
          <w:noProof/>
          <w:lang w:val="en-IE"/>
        </w:rPr>
        <w:t>owners</w:t>
      </w:r>
      <w:r w:rsidR="004776AE" w:rsidRPr="003B11BD">
        <w:rPr>
          <w:noProof/>
          <w:lang w:val="en-IE"/>
        </w:rPr>
        <w:t>, in a sense that</w:t>
      </w:r>
      <w:r w:rsidR="00A11C9F" w:rsidRPr="003B11BD">
        <w:rPr>
          <w:noProof/>
          <w:lang w:val="en-IE"/>
        </w:rPr>
        <w:t xml:space="preserve"> </w:t>
      </w:r>
      <w:r w:rsidR="000E0718" w:rsidRPr="003B11BD">
        <w:rPr>
          <w:noProof/>
          <w:lang w:val="en-IE"/>
        </w:rPr>
        <w:t xml:space="preserve">multiple procedures </w:t>
      </w:r>
      <w:r w:rsidR="00326239" w:rsidRPr="003B11BD">
        <w:rPr>
          <w:noProof/>
          <w:lang w:val="en-IE"/>
        </w:rPr>
        <w:t>might</w:t>
      </w:r>
      <w:r w:rsidR="00A11C9F" w:rsidRPr="003B11BD">
        <w:rPr>
          <w:noProof/>
          <w:lang w:val="en-IE"/>
        </w:rPr>
        <w:t xml:space="preserve"> be </w:t>
      </w:r>
      <w:r w:rsidR="000E0718" w:rsidRPr="003B11BD">
        <w:rPr>
          <w:noProof/>
          <w:lang w:val="en-IE"/>
        </w:rPr>
        <w:t xml:space="preserve">initiated </w:t>
      </w:r>
      <w:r w:rsidR="00A11C9F" w:rsidRPr="003B11BD">
        <w:rPr>
          <w:noProof/>
          <w:lang w:val="en-IE"/>
        </w:rPr>
        <w:t>across several jurisdictions.</w:t>
      </w:r>
      <w:r w:rsidR="00326F02" w:rsidRPr="003B11BD">
        <w:rPr>
          <w:noProof/>
          <w:lang w:val="en-IE"/>
        </w:rPr>
        <w:t xml:space="preserve"> </w:t>
      </w:r>
    </w:p>
    <w:p w14:paraId="47C78DEF" w14:textId="6AE097EA" w:rsidR="00514634" w:rsidRPr="003B11BD" w:rsidRDefault="00C1697B" w:rsidP="00907CBC">
      <w:pPr>
        <w:pStyle w:val="Text2"/>
        <w:ind w:left="0"/>
        <w:rPr>
          <w:noProof/>
          <w:lang w:val="en-IE"/>
        </w:rPr>
      </w:pPr>
      <w:r w:rsidRPr="003B11BD">
        <w:rPr>
          <w:noProof/>
          <w:lang w:val="en-IE"/>
        </w:rPr>
        <w:t xml:space="preserve">The next link in the chain of consequences </w:t>
      </w:r>
      <w:r w:rsidR="00326239" w:rsidRPr="003B11BD">
        <w:rPr>
          <w:noProof/>
          <w:lang w:val="en-IE"/>
        </w:rPr>
        <w:t xml:space="preserve">affects </w:t>
      </w:r>
      <w:r w:rsidRPr="003B11BD">
        <w:rPr>
          <w:noProof/>
          <w:lang w:val="en-IE"/>
        </w:rPr>
        <w:t>the c</w:t>
      </w:r>
      <w:r w:rsidR="00907CBC" w:rsidRPr="003B11BD">
        <w:rPr>
          <w:noProof/>
          <w:lang w:val="en-IE"/>
        </w:rPr>
        <w:t>itizen</w:t>
      </w:r>
      <w:r w:rsidRPr="003B11BD">
        <w:rPr>
          <w:noProof/>
          <w:lang w:val="en-IE"/>
        </w:rPr>
        <w:t xml:space="preserve">s and/or </w:t>
      </w:r>
      <w:r w:rsidR="00907CBC" w:rsidRPr="003B11BD">
        <w:rPr>
          <w:noProof/>
          <w:lang w:val="en-IE"/>
        </w:rPr>
        <w:t>firm</w:t>
      </w:r>
      <w:r w:rsidRPr="003B11BD">
        <w:rPr>
          <w:noProof/>
          <w:lang w:val="en-IE"/>
        </w:rPr>
        <w:t>s</w:t>
      </w:r>
      <w:r w:rsidR="00907CBC" w:rsidRPr="003B11BD">
        <w:rPr>
          <w:noProof/>
          <w:lang w:val="en-IE"/>
        </w:rPr>
        <w:t xml:space="preserve"> </w:t>
      </w:r>
      <w:r w:rsidRPr="003B11BD">
        <w:rPr>
          <w:noProof/>
          <w:lang w:val="en-IE"/>
        </w:rPr>
        <w:t xml:space="preserve">that </w:t>
      </w:r>
      <w:r w:rsidR="00326239" w:rsidRPr="003B11BD">
        <w:rPr>
          <w:noProof/>
          <w:lang w:val="en-IE"/>
        </w:rPr>
        <w:t>might</w:t>
      </w:r>
      <w:r w:rsidR="00907CBC" w:rsidRPr="003B11BD">
        <w:rPr>
          <w:noProof/>
          <w:lang w:val="en-IE"/>
        </w:rPr>
        <w:t xml:space="preserve"> </w:t>
      </w:r>
      <w:r w:rsidR="00326239" w:rsidRPr="003B11BD">
        <w:rPr>
          <w:noProof/>
          <w:lang w:val="en-IE"/>
        </w:rPr>
        <w:t>have no</w:t>
      </w:r>
      <w:r w:rsidR="00907CBC" w:rsidRPr="003B11BD">
        <w:rPr>
          <w:noProof/>
          <w:lang w:val="en-IE"/>
        </w:rPr>
        <w:t xml:space="preserve"> access to critical goods in crisis, </w:t>
      </w:r>
      <w:r w:rsidRPr="003B11BD">
        <w:rPr>
          <w:noProof/>
          <w:lang w:val="en-IE"/>
        </w:rPr>
        <w:t>as pr</w:t>
      </w:r>
      <w:r w:rsidR="00907CBC" w:rsidRPr="003B11BD">
        <w:rPr>
          <w:noProof/>
          <w:lang w:val="en-IE"/>
        </w:rPr>
        <w:t>oducts cannot be manufactured or supplied from another country</w:t>
      </w:r>
      <w:r w:rsidRPr="003B11BD">
        <w:rPr>
          <w:noProof/>
          <w:lang w:val="en-IE"/>
        </w:rPr>
        <w:t xml:space="preserve">. This consequence </w:t>
      </w:r>
      <w:r w:rsidR="00514634" w:rsidRPr="003B11BD">
        <w:rPr>
          <w:noProof/>
          <w:lang w:val="en-IE"/>
        </w:rPr>
        <w:t>could</w:t>
      </w:r>
      <w:r w:rsidR="00BE4355" w:rsidRPr="003B11BD">
        <w:rPr>
          <w:noProof/>
          <w:lang w:val="en-IE"/>
        </w:rPr>
        <w:t xml:space="preserve"> aversively impact citizens’ well-being and/or firms’ economic standing</w:t>
      </w:r>
      <w:r w:rsidR="00514634" w:rsidRPr="003B11BD">
        <w:rPr>
          <w:noProof/>
          <w:lang w:val="en-IE"/>
        </w:rPr>
        <w:t>, especially if</w:t>
      </w:r>
      <w:r w:rsidR="00D6715D" w:rsidRPr="003B11BD">
        <w:rPr>
          <w:noProof/>
          <w:lang w:val="en-IE"/>
        </w:rPr>
        <w:t xml:space="preserve"> a particular crisis is </w:t>
      </w:r>
      <w:r w:rsidR="00907CBC" w:rsidRPr="003B11BD">
        <w:rPr>
          <w:noProof/>
          <w:lang w:val="en-IE"/>
        </w:rPr>
        <w:t xml:space="preserve">larger </w:t>
      </w:r>
      <w:r w:rsidR="00D6715D" w:rsidRPr="003B11BD">
        <w:rPr>
          <w:noProof/>
          <w:lang w:val="en-IE"/>
        </w:rPr>
        <w:t xml:space="preserve">and lasts longer </w:t>
      </w:r>
      <w:r w:rsidR="00907CBC" w:rsidRPr="003B11BD">
        <w:rPr>
          <w:noProof/>
          <w:lang w:val="en-IE"/>
        </w:rPr>
        <w:t>than what would have been otherwise</w:t>
      </w:r>
      <w:r w:rsidR="00D6715D" w:rsidRPr="003B11BD">
        <w:rPr>
          <w:noProof/>
          <w:lang w:val="en-IE"/>
        </w:rPr>
        <w:t xml:space="preserve"> (i.e. w</w:t>
      </w:r>
      <w:r w:rsidR="00BE4355" w:rsidRPr="003B11BD">
        <w:rPr>
          <w:noProof/>
          <w:lang w:val="en-IE"/>
        </w:rPr>
        <w:t xml:space="preserve">ith a more efficient </w:t>
      </w:r>
      <w:r w:rsidR="00DA2B39" w:rsidRPr="003B11BD">
        <w:rPr>
          <w:noProof/>
          <w:lang w:val="en-IE"/>
        </w:rPr>
        <w:t>compulsory licensing scheme</w:t>
      </w:r>
      <w:r w:rsidR="00514634" w:rsidRPr="003B11BD">
        <w:rPr>
          <w:noProof/>
          <w:lang w:val="en-IE"/>
        </w:rPr>
        <w:t>)</w:t>
      </w:r>
      <w:r w:rsidR="00BE4355" w:rsidRPr="003B11BD">
        <w:rPr>
          <w:noProof/>
          <w:lang w:val="en-IE"/>
        </w:rPr>
        <w:t>.</w:t>
      </w:r>
      <w:r w:rsidR="00514634" w:rsidRPr="003B11BD">
        <w:rPr>
          <w:noProof/>
          <w:lang w:val="en-IE"/>
        </w:rPr>
        <w:t xml:space="preserve"> In other words, today’s rulebook on compulsory licensing can lead to a situation when access to certain goods in crisis is not secured on time, which may generate broad negative socio-economic consequences.</w:t>
      </w:r>
    </w:p>
    <w:p w14:paraId="627B062B" w14:textId="40EFBB15" w:rsidR="00907CBC" w:rsidRPr="003B11BD" w:rsidRDefault="0A887EBF" w:rsidP="00D6715D">
      <w:pPr>
        <w:pStyle w:val="Text2"/>
        <w:ind w:left="0"/>
        <w:rPr>
          <w:noProof/>
          <w:lang w:val="en-IE"/>
        </w:rPr>
      </w:pPr>
      <w:r w:rsidRPr="003B11BD">
        <w:rPr>
          <w:noProof/>
          <w:lang w:val="en-IE"/>
        </w:rPr>
        <w:t xml:space="preserve">Finally, </w:t>
      </w:r>
      <w:r w:rsidR="002D606C" w:rsidRPr="003B11BD">
        <w:rPr>
          <w:noProof/>
          <w:lang w:val="en-IE"/>
        </w:rPr>
        <w:t xml:space="preserve">non-EU </w:t>
      </w:r>
      <w:r w:rsidR="247B95C6" w:rsidRPr="003B11BD">
        <w:rPr>
          <w:noProof/>
          <w:lang w:val="en-IE"/>
        </w:rPr>
        <w:t xml:space="preserve">countries </w:t>
      </w:r>
      <w:r w:rsidR="440F142F" w:rsidRPr="003B11BD">
        <w:rPr>
          <w:noProof/>
          <w:lang w:val="en-IE"/>
        </w:rPr>
        <w:t>also face a fragmented and complex legal landscape</w:t>
      </w:r>
      <w:r w:rsidR="232EE0F2" w:rsidRPr="003B11BD">
        <w:rPr>
          <w:noProof/>
          <w:lang w:val="en-IE"/>
        </w:rPr>
        <w:t xml:space="preserve">, which can be an important obstacle </w:t>
      </w:r>
      <w:r w:rsidR="11CD16BC" w:rsidRPr="003B11BD">
        <w:rPr>
          <w:noProof/>
          <w:lang w:val="en-IE"/>
        </w:rPr>
        <w:t>when seeking</w:t>
      </w:r>
      <w:r w:rsidR="232EE0F2" w:rsidRPr="003B11BD">
        <w:rPr>
          <w:noProof/>
          <w:lang w:val="en-IE"/>
        </w:rPr>
        <w:t xml:space="preserve"> </w:t>
      </w:r>
      <w:r w:rsidR="11CD16BC" w:rsidRPr="003B11BD">
        <w:rPr>
          <w:noProof/>
          <w:lang w:val="en-IE"/>
        </w:rPr>
        <w:t xml:space="preserve">a CL for </w:t>
      </w:r>
      <w:r w:rsidR="232EE0F2" w:rsidRPr="003B11BD">
        <w:rPr>
          <w:noProof/>
          <w:lang w:val="en-IE"/>
        </w:rPr>
        <w:t>critical pharmaceutical goods</w:t>
      </w:r>
      <w:r w:rsidR="440F142F" w:rsidRPr="003B11BD">
        <w:rPr>
          <w:noProof/>
          <w:lang w:val="en-IE"/>
        </w:rPr>
        <w:t>.</w:t>
      </w:r>
      <w:r w:rsidR="38C70DB1" w:rsidRPr="003B11BD">
        <w:rPr>
          <w:noProof/>
          <w:lang w:val="en-IE"/>
        </w:rPr>
        <w:t xml:space="preserve"> The compulsory licensing scheme </w:t>
      </w:r>
      <w:r w:rsidR="46DF63D1" w:rsidRPr="003B11BD">
        <w:rPr>
          <w:noProof/>
          <w:lang w:val="en-IE"/>
        </w:rPr>
        <w:t xml:space="preserve">for export </w:t>
      </w:r>
      <w:r w:rsidR="6EB58AFD" w:rsidRPr="003B11BD">
        <w:rPr>
          <w:noProof/>
          <w:lang w:val="en-IE"/>
        </w:rPr>
        <w:t xml:space="preserve">to </w:t>
      </w:r>
      <w:r w:rsidR="002D606C" w:rsidRPr="003B11BD">
        <w:rPr>
          <w:noProof/>
          <w:lang w:val="en-IE"/>
        </w:rPr>
        <w:t xml:space="preserve">non-EU </w:t>
      </w:r>
      <w:r w:rsidR="6EB58AFD" w:rsidRPr="003B11BD">
        <w:rPr>
          <w:noProof/>
          <w:lang w:val="en-IE"/>
        </w:rPr>
        <w:t xml:space="preserve">countries </w:t>
      </w:r>
      <w:r w:rsidR="46DF63D1" w:rsidRPr="003B11BD">
        <w:rPr>
          <w:noProof/>
          <w:lang w:val="en-IE"/>
        </w:rPr>
        <w:t xml:space="preserve">is </w:t>
      </w:r>
      <w:r w:rsidR="232EE0F2" w:rsidRPr="003B11BD">
        <w:rPr>
          <w:noProof/>
          <w:lang w:val="en-IE"/>
        </w:rPr>
        <w:t xml:space="preserve">also </w:t>
      </w:r>
      <w:r w:rsidR="46DF63D1" w:rsidRPr="003B11BD">
        <w:rPr>
          <w:noProof/>
          <w:lang w:val="en-IE"/>
        </w:rPr>
        <w:t>not suited to address cross-border supply chain in the EU</w:t>
      </w:r>
      <w:r w:rsidR="11CD16BC" w:rsidRPr="003B11BD">
        <w:rPr>
          <w:noProof/>
          <w:lang w:val="en-IE"/>
        </w:rPr>
        <w:t xml:space="preserve"> and i</w:t>
      </w:r>
      <w:r w:rsidR="46DF63D1" w:rsidRPr="003B11BD">
        <w:rPr>
          <w:noProof/>
          <w:lang w:val="en-IE"/>
        </w:rPr>
        <w:t xml:space="preserve">n that respect, third countries face </w:t>
      </w:r>
      <w:r w:rsidR="11CD16BC" w:rsidRPr="003B11BD">
        <w:rPr>
          <w:noProof/>
          <w:lang w:val="en-IE"/>
        </w:rPr>
        <w:t>similar</w:t>
      </w:r>
      <w:r w:rsidR="46DF63D1" w:rsidRPr="003B11BD">
        <w:rPr>
          <w:noProof/>
          <w:lang w:val="en-IE"/>
        </w:rPr>
        <w:t xml:space="preserve"> problem as EU countries. </w:t>
      </w:r>
    </w:p>
    <w:p w14:paraId="67ADD68D" w14:textId="4F7509D8" w:rsidR="00B05691" w:rsidRPr="003B11BD" w:rsidRDefault="00BE23E5" w:rsidP="000E7430">
      <w:pPr>
        <w:pStyle w:val="Text2"/>
        <w:ind w:left="0"/>
        <w:rPr>
          <w:noProof/>
          <w:lang w:val="en-IE"/>
        </w:rPr>
      </w:pPr>
      <w:r w:rsidRPr="003B11BD">
        <w:rPr>
          <w:noProof/>
          <w:lang w:val="en-IE"/>
        </w:rPr>
        <w:t>To conclude, t</w:t>
      </w:r>
      <w:r w:rsidR="00A11C9F" w:rsidRPr="003B11BD">
        <w:rPr>
          <w:noProof/>
          <w:lang w:val="en-IE"/>
        </w:rPr>
        <w:t xml:space="preserve">he </w:t>
      </w:r>
      <w:r w:rsidR="00A11C9F" w:rsidRPr="003B11BD">
        <w:rPr>
          <w:b/>
          <w:noProof/>
          <w:lang w:val="en-IE"/>
        </w:rPr>
        <w:t>current syste</w:t>
      </w:r>
      <w:r w:rsidRPr="003B11BD">
        <w:rPr>
          <w:b/>
          <w:noProof/>
          <w:lang w:val="en-IE"/>
        </w:rPr>
        <w:t>m</w:t>
      </w:r>
      <w:r w:rsidR="00A11C9F" w:rsidRPr="003B11BD">
        <w:rPr>
          <w:b/>
          <w:noProof/>
          <w:lang w:val="en-IE"/>
        </w:rPr>
        <w:t xml:space="preserve"> </w:t>
      </w:r>
      <w:r w:rsidRPr="003B11BD">
        <w:rPr>
          <w:b/>
          <w:noProof/>
          <w:lang w:val="en-IE"/>
        </w:rPr>
        <w:t>does not provide</w:t>
      </w:r>
      <w:r w:rsidR="00A11C9F" w:rsidRPr="003B11BD">
        <w:rPr>
          <w:b/>
          <w:noProof/>
          <w:lang w:val="en-IE"/>
        </w:rPr>
        <w:t xml:space="preserve"> for an EU-wide compulsory licensing</w:t>
      </w:r>
      <w:r w:rsidR="1179882E" w:rsidRPr="003B11BD">
        <w:rPr>
          <w:b/>
          <w:noProof/>
          <w:lang w:val="en-IE"/>
        </w:rPr>
        <w:t xml:space="preserve"> </w:t>
      </w:r>
      <w:r w:rsidR="46B9DDA5" w:rsidRPr="003B11BD">
        <w:rPr>
          <w:b/>
          <w:noProof/>
          <w:lang w:val="en-IE"/>
        </w:rPr>
        <w:t>m</w:t>
      </w:r>
      <w:r w:rsidR="08AA8B3B" w:rsidRPr="003B11BD">
        <w:rPr>
          <w:b/>
          <w:noProof/>
          <w:lang w:val="en-IE"/>
        </w:rPr>
        <w:t>e</w:t>
      </w:r>
      <w:r w:rsidR="46B9DDA5" w:rsidRPr="003B11BD">
        <w:rPr>
          <w:b/>
          <w:noProof/>
          <w:lang w:val="en-IE"/>
        </w:rPr>
        <w:t>chanism</w:t>
      </w:r>
      <w:r w:rsidR="00A11C9F" w:rsidRPr="003B11BD">
        <w:rPr>
          <w:b/>
          <w:noProof/>
          <w:lang w:val="en-IE"/>
        </w:rPr>
        <w:t xml:space="preserve">, </w:t>
      </w:r>
      <w:r w:rsidR="001E1B50" w:rsidRPr="003B11BD">
        <w:rPr>
          <w:b/>
          <w:noProof/>
          <w:lang w:val="en-IE"/>
        </w:rPr>
        <w:t>as</w:t>
      </w:r>
      <w:r w:rsidR="00A11C9F" w:rsidRPr="003B11BD">
        <w:rPr>
          <w:b/>
          <w:noProof/>
          <w:lang w:val="en-IE"/>
        </w:rPr>
        <w:t xml:space="preserve"> the national legislations are </w:t>
      </w:r>
      <w:r w:rsidR="00BB3868" w:rsidRPr="003B11BD">
        <w:rPr>
          <w:b/>
          <w:noProof/>
          <w:lang w:val="en-IE"/>
        </w:rPr>
        <w:t>heterogeneous</w:t>
      </w:r>
      <w:r w:rsidR="00A11C9F" w:rsidRPr="003B11BD">
        <w:rPr>
          <w:b/>
          <w:noProof/>
          <w:lang w:val="en-IE"/>
        </w:rPr>
        <w:t xml:space="preserve"> and </w:t>
      </w:r>
      <w:r w:rsidR="00BB3868" w:rsidRPr="003B11BD">
        <w:rPr>
          <w:b/>
          <w:noProof/>
          <w:lang w:val="en-IE"/>
        </w:rPr>
        <w:t>would</w:t>
      </w:r>
      <w:r w:rsidR="00646A0C" w:rsidRPr="003B11BD">
        <w:rPr>
          <w:b/>
          <w:noProof/>
          <w:lang w:val="en-IE"/>
        </w:rPr>
        <w:t xml:space="preserve"> not</w:t>
      </w:r>
      <w:r w:rsidR="00A11C9F" w:rsidRPr="003B11BD">
        <w:rPr>
          <w:b/>
          <w:noProof/>
          <w:lang w:val="en-IE"/>
        </w:rPr>
        <w:t xml:space="preserve"> allow a flexible use of production capacities across the </w:t>
      </w:r>
      <w:r w:rsidR="00754D51" w:rsidRPr="003B11BD">
        <w:rPr>
          <w:b/>
          <w:noProof/>
          <w:lang w:val="en-IE"/>
        </w:rPr>
        <w:t>EU</w:t>
      </w:r>
      <w:r w:rsidR="00A11C9F" w:rsidRPr="003B11BD">
        <w:rPr>
          <w:noProof/>
          <w:lang w:val="en-IE"/>
        </w:rPr>
        <w:t>.</w:t>
      </w:r>
      <w:r w:rsidRPr="003B11BD">
        <w:rPr>
          <w:noProof/>
          <w:lang w:val="en-IE"/>
        </w:rPr>
        <w:t xml:space="preserve"> </w:t>
      </w:r>
      <w:r w:rsidR="00AD7AEF" w:rsidRPr="003B11BD">
        <w:rPr>
          <w:noProof/>
          <w:lang w:val="en-IE"/>
        </w:rPr>
        <w:t>When it comes to compu</w:t>
      </w:r>
      <w:r w:rsidR="00BB3868" w:rsidRPr="003B11BD">
        <w:rPr>
          <w:noProof/>
          <w:lang w:val="en-IE"/>
        </w:rPr>
        <w:t>lsory licences there is simply n</w:t>
      </w:r>
      <w:r w:rsidR="00AD7AEF" w:rsidRPr="003B11BD">
        <w:rPr>
          <w:noProof/>
          <w:lang w:val="en-IE"/>
        </w:rPr>
        <w:t>o Single Market. And thus unlike EU main trading partners with unitary</w:t>
      </w:r>
      <w:r w:rsidR="00BB3868" w:rsidRPr="003B11BD">
        <w:rPr>
          <w:noProof/>
          <w:lang w:val="en-IE"/>
        </w:rPr>
        <w:t xml:space="preserve"> regime of</w:t>
      </w:r>
      <w:r w:rsidR="00AD7AEF" w:rsidRPr="003B11BD">
        <w:rPr>
          <w:noProof/>
          <w:lang w:val="en-IE"/>
        </w:rPr>
        <w:t xml:space="preserve"> compulsory licences</w:t>
      </w:r>
      <w:r w:rsidR="000E7430" w:rsidRPr="003B11BD">
        <w:rPr>
          <w:rStyle w:val="FootnoteReference"/>
          <w:noProof/>
          <w:lang w:val="en-IE"/>
        </w:rPr>
        <w:footnoteReference w:id="77"/>
      </w:r>
      <w:r w:rsidR="00AD7AEF" w:rsidRPr="003B11BD">
        <w:rPr>
          <w:noProof/>
          <w:lang w:val="en-IE"/>
        </w:rPr>
        <w:t>,</w:t>
      </w:r>
      <w:r w:rsidR="00CD0F97" w:rsidRPr="003B11BD">
        <w:rPr>
          <w:noProof/>
          <w:lang w:val="en-IE"/>
        </w:rPr>
        <w:t xml:space="preserve"> </w:t>
      </w:r>
      <w:r w:rsidR="00B05691" w:rsidRPr="003B11BD">
        <w:rPr>
          <w:noProof/>
          <w:lang w:val="en-IE"/>
        </w:rPr>
        <w:t>the EU</w:t>
      </w:r>
      <w:r w:rsidR="00AD7AEF" w:rsidRPr="003B11BD">
        <w:rPr>
          <w:noProof/>
          <w:lang w:val="en-IE"/>
        </w:rPr>
        <w:t xml:space="preserve"> would not be able</w:t>
      </w:r>
      <w:r w:rsidR="00B05691" w:rsidRPr="003B11BD">
        <w:rPr>
          <w:noProof/>
          <w:lang w:val="en-IE"/>
        </w:rPr>
        <w:t xml:space="preserve"> to respond in a timely and coherent manner to cross-border cris</w:t>
      </w:r>
      <w:r w:rsidR="004655B6" w:rsidRPr="003B11BD">
        <w:rPr>
          <w:noProof/>
          <w:lang w:val="en-IE"/>
        </w:rPr>
        <w:t>e</w:t>
      </w:r>
      <w:r w:rsidR="00B05691" w:rsidRPr="003B11BD">
        <w:rPr>
          <w:noProof/>
          <w:lang w:val="en-IE"/>
        </w:rPr>
        <w:t>s</w:t>
      </w:r>
      <w:r w:rsidR="00BB3868" w:rsidRPr="003B11BD">
        <w:rPr>
          <w:noProof/>
          <w:lang w:val="en-IE"/>
        </w:rPr>
        <w:t xml:space="preserve"> requiring such a</w:t>
      </w:r>
      <w:r w:rsidR="00AD7AEF" w:rsidRPr="003B11BD">
        <w:rPr>
          <w:noProof/>
          <w:lang w:val="en-IE"/>
        </w:rPr>
        <w:t xml:space="preserve"> compulsory licence</w:t>
      </w:r>
      <w:r w:rsidR="00B05691" w:rsidRPr="003B11BD">
        <w:rPr>
          <w:noProof/>
          <w:lang w:val="en-IE"/>
        </w:rPr>
        <w:t xml:space="preserve"> </w:t>
      </w:r>
      <w:r w:rsidR="004655B6" w:rsidRPr="003B11BD">
        <w:rPr>
          <w:noProof/>
          <w:lang w:val="en-IE"/>
        </w:rPr>
        <w:t>(be it within the EU or</w:t>
      </w:r>
      <w:r w:rsidR="00CD0F97" w:rsidRPr="003B11BD">
        <w:rPr>
          <w:noProof/>
          <w:lang w:val="en-IE"/>
        </w:rPr>
        <w:t xml:space="preserve"> outside the EU)</w:t>
      </w:r>
      <w:r w:rsidR="003B6264" w:rsidRPr="003B11BD">
        <w:rPr>
          <w:noProof/>
          <w:lang w:val="en-IE"/>
        </w:rPr>
        <w:t>.</w:t>
      </w:r>
      <w:r w:rsidR="00B05691" w:rsidRPr="003B11BD">
        <w:rPr>
          <w:noProof/>
          <w:lang w:val="en-IE"/>
        </w:rPr>
        <w:t xml:space="preserve"> </w:t>
      </w:r>
      <w:r w:rsidR="00DD4209" w:rsidRPr="003B11BD">
        <w:rPr>
          <w:noProof/>
          <w:lang w:val="en-IE"/>
        </w:rPr>
        <w:t xml:space="preserve">Finally, the discussion on the scale of the identified problem and the likelihood that a more streamlined compulsory licencing rules could be needed </w:t>
      </w:r>
      <w:r w:rsidR="007976EA" w:rsidRPr="003B11BD">
        <w:rPr>
          <w:noProof/>
          <w:lang w:val="en-IE"/>
        </w:rPr>
        <w:t>in the event of a</w:t>
      </w:r>
      <w:r w:rsidR="00DD4209" w:rsidRPr="003B11BD">
        <w:rPr>
          <w:noProof/>
          <w:lang w:val="en-IE"/>
        </w:rPr>
        <w:t xml:space="preserve"> cross-border crisis are based on the assumption that there is a non-zero chance that such situation could materialise in the future in the EU (e.g. of </w:t>
      </w:r>
      <w:r w:rsidR="004F2825" w:rsidRPr="003B11BD">
        <w:rPr>
          <w:noProof/>
          <w:lang w:val="en-IE"/>
        </w:rPr>
        <w:t xml:space="preserve">a </w:t>
      </w:r>
      <w:r w:rsidR="00DD4209" w:rsidRPr="003B11BD">
        <w:rPr>
          <w:noProof/>
          <w:lang w:val="en-IE"/>
        </w:rPr>
        <w:t xml:space="preserve">similar scale to COVID-19 pandemics). Irrespective of what the future threats might look like (infectious, environmental, affecting IT or energy networks, etc.), in can be assumed that any attempt to strengthen crisis-preparedness and ultimately speed up the response time should be encouraged or at least further investigated. </w:t>
      </w:r>
    </w:p>
    <w:p w14:paraId="49F6DBA2" w14:textId="031A9663" w:rsidR="006B087E" w:rsidRPr="003B11BD" w:rsidRDefault="006B087E" w:rsidP="000E3086">
      <w:pPr>
        <w:pStyle w:val="Heading2"/>
        <w:rPr>
          <w:noProof/>
          <w:lang w:val="en-IE"/>
        </w:rPr>
      </w:pPr>
      <w:bookmarkStart w:id="145" w:name="_Toc119679874"/>
      <w:bookmarkStart w:id="146" w:name="_Toc119684691"/>
      <w:bookmarkStart w:id="147" w:name="_Toc120731203"/>
      <w:bookmarkStart w:id="148" w:name="_Toc121386362"/>
      <w:bookmarkStart w:id="149" w:name="_Toc121489581"/>
      <w:bookmarkStart w:id="150" w:name="_Toc121496333"/>
      <w:bookmarkStart w:id="151" w:name="_Toc121747999"/>
      <w:bookmarkStart w:id="152" w:name="_Toc133435352"/>
      <w:bookmarkEnd w:id="145"/>
      <w:bookmarkEnd w:id="146"/>
      <w:r w:rsidRPr="003B11BD">
        <w:rPr>
          <w:noProof/>
          <w:lang w:val="en-IE"/>
        </w:rPr>
        <w:t xml:space="preserve">How </w:t>
      </w:r>
      <w:r w:rsidR="00CC3AAC" w:rsidRPr="003B11BD">
        <w:rPr>
          <w:noProof/>
          <w:lang w:val="en-IE"/>
        </w:rPr>
        <w:t>likely is the problem to persist?</w:t>
      </w:r>
      <w:bookmarkEnd w:id="147"/>
      <w:bookmarkEnd w:id="148"/>
      <w:bookmarkEnd w:id="149"/>
      <w:bookmarkEnd w:id="150"/>
      <w:bookmarkEnd w:id="151"/>
      <w:bookmarkEnd w:id="152"/>
    </w:p>
    <w:p w14:paraId="74F58E8F" w14:textId="5334D48E" w:rsidR="00A57FA2" w:rsidRPr="003B11BD" w:rsidRDefault="009923EB" w:rsidP="000E3086">
      <w:pPr>
        <w:rPr>
          <w:noProof/>
          <w:lang w:val="en-IE"/>
        </w:rPr>
      </w:pPr>
      <w:r w:rsidRPr="003B11BD">
        <w:rPr>
          <w:noProof/>
          <w:lang w:val="en-IE"/>
        </w:rPr>
        <w:t xml:space="preserve">The problem </w:t>
      </w:r>
      <w:r w:rsidR="00801DB2" w:rsidRPr="003B11BD">
        <w:rPr>
          <w:noProof/>
          <w:lang w:val="en-IE"/>
        </w:rPr>
        <w:t xml:space="preserve">described under 2.1 </w:t>
      </w:r>
      <w:r w:rsidR="00762FF2" w:rsidRPr="003B11BD">
        <w:rPr>
          <w:noProof/>
          <w:lang w:val="en-IE"/>
        </w:rPr>
        <w:t>is</w:t>
      </w:r>
      <w:r w:rsidR="00801DB2" w:rsidRPr="003B11BD">
        <w:rPr>
          <w:noProof/>
          <w:lang w:val="en-IE"/>
        </w:rPr>
        <w:t xml:space="preserve"> most likely to persist. </w:t>
      </w:r>
      <w:r w:rsidR="00B61164" w:rsidRPr="003B11BD">
        <w:rPr>
          <w:noProof/>
          <w:lang w:val="en-IE"/>
        </w:rPr>
        <w:t xml:space="preserve">Some Member States could decide to streamline their national compulsory licensing laws, as </w:t>
      </w:r>
      <w:r w:rsidR="00D52400" w:rsidRPr="003B11BD">
        <w:rPr>
          <w:noProof/>
          <w:lang w:val="en-IE"/>
        </w:rPr>
        <w:t xml:space="preserve">some already did in the aftermath of the COVID-19 crisis but the lack of coherence between </w:t>
      </w:r>
      <w:r w:rsidR="3F84FEA4" w:rsidRPr="003B11BD">
        <w:rPr>
          <w:noProof/>
          <w:lang w:val="en-IE"/>
        </w:rPr>
        <w:t xml:space="preserve">national </w:t>
      </w:r>
      <w:r w:rsidR="00D52400" w:rsidRPr="003B11BD">
        <w:rPr>
          <w:noProof/>
          <w:lang w:val="en-IE"/>
        </w:rPr>
        <w:t xml:space="preserve">compulsory licences </w:t>
      </w:r>
      <w:r w:rsidR="2D6631B2" w:rsidRPr="003B11BD">
        <w:rPr>
          <w:noProof/>
          <w:lang w:val="en-IE"/>
        </w:rPr>
        <w:t>in the EU</w:t>
      </w:r>
      <w:r w:rsidR="710F4F2B" w:rsidRPr="003B11BD">
        <w:rPr>
          <w:noProof/>
          <w:lang w:val="en-IE"/>
        </w:rPr>
        <w:t>,</w:t>
      </w:r>
      <w:r w:rsidR="6CC59A72" w:rsidRPr="003B11BD">
        <w:rPr>
          <w:noProof/>
          <w:lang w:val="en-IE"/>
        </w:rPr>
        <w:t xml:space="preserve"> </w:t>
      </w:r>
      <w:r w:rsidR="00D52400" w:rsidRPr="003B11BD">
        <w:rPr>
          <w:noProof/>
          <w:lang w:val="en-IE"/>
        </w:rPr>
        <w:t>the limited territorial effect of these licences</w:t>
      </w:r>
      <w:r w:rsidR="162511C1" w:rsidRPr="003B11BD">
        <w:rPr>
          <w:noProof/>
          <w:lang w:val="en-IE"/>
        </w:rPr>
        <w:t xml:space="preserve">, the burdensome and lengthy administrative procedures, and the lack of </w:t>
      </w:r>
      <w:r w:rsidR="00D43F3F" w:rsidRPr="003B11BD">
        <w:rPr>
          <w:noProof/>
          <w:lang w:val="en-IE"/>
        </w:rPr>
        <w:t>Single Market</w:t>
      </w:r>
      <w:r w:rsidR="12410EB5" w:rsidRPr="003B11BD">
        <w:rPr>
          <w:noProof/>
          <w:lang w:val="en-IE"/>
        </w:rPr>
        <w:t xml:space="preserve"> for products subject to compulsory licensing</w:t>
      </w:r>
      <w:r w:rsidR="162511C1" w:rsidRPr="003B11BD">
        <w:rPr>
          <w:noProof/>
          <w:lang w:val="en-IE"/>
        </w:rPr>
        <w:t xml:space="preserve"> </w:t>
      </w:r>
      <w:r w:rsidR="6CC59A72" w:rsidRPr="003B11BD">
        <w:rPr>
          <w:noProof/>
          <w:lang w:val="en-IE"/>
        </w:rPr>
        <w:t>would remain.</w:t>
      </w:r>
      <w:r w:rsidR="00921FA3">
        <w:rPr>
          <w:noProof/>
          <w:lang w:val="en-IE"/>
        </w:rPr>
        <w:t xml:space="preserve"> </w:t>
      </w:r>
      <w:r w:rsidR="00FE7DE3" w:rsidRPr="003B11BD">
        <w:rPr>
          <w:noProof/>
          <w:lang w:val="en-IE"/>
        </w:rPr>
        <w:t>Furthermore, recent</w:t>
      </w:r>
      <w:r w:rsidR="73E3E940" w:rsidRPr="003B11BD">
        <w:rPr>
          <w:noProof/>
          <w:lang w:val="en-IE"/>
        </w:rPr>
        <w:t>ly tabled</w:t>
      </w:r>
      <w:r w:rsidR="00921FA3">
        <w:rPr>
          <w:noProof/>
          <w:lang w:val="en-IE"/>
        </w:rPr>
        <w:t xml:space="preserve"> EU crisis </w:t>
      </w:r>
      <w:r w:rsidR="00FE7DE3" w:rsidRPr="003B11BD">
        <w:rPr>
          <w:noProof/>
          <w:lang w:val="en-IE"/>
        </w:rPr>
        <w:t>instruments</w:t>
      </w:r>
      <w:r w:rsidR="6C91886E" w:rsidRPr="003B11BD">
        <w:rPr>
          <w:noProof/>
          <w:lang w:val="en-IE"/>
        </w:rPr>
        <w:t xml:space="preserve">, </w:t>
      </w:r>
      <w:r w:rsidR="34EF0D43" w:rsidRPr="003B11BD">
        <w:rPr>
          <w:noProof/>
          <w:lang w:val="en-IE"/>
        </w:rPr>
        <w:t>such as SMEI, SCBTH or HERA</w:t>
      </w:r>
      <w:r w:rsidR="751EC196" w:rsidRPr="003B11BD">
        <w:rPr>
          <w:noProof/>
          <w:lang w:val="en-IE"/>
        </w:rPr>
        <w:t xml:space="preserve">, </w:t>
      </w:r>
      <w:r w:rsidR="34EF0D43" w:rsidRPr="003B11BD">
        <w:rPr>
          <w:noProof/>
          <w:lang w:val="en-IE"/>
        </w:rPr>
        <w:t xml:space="preserve">do not </w:t>
      </w:r>
      <w:r w:rsidR="006BA076" w:rsidRPr="003B11BD">
        <w:rPr>
          <w:noProof/>
          <w:lang w:val="en-IE"/>
        </w:rPr>
        <w:t>provide for</w:t>
      </w:r>
      <w:r w:rsidR="34EF0D43" w:rsidRPr="003B11BD">
        <w:rPr>
          <w:noProof/>
          <w:lang w:val="en-IE"/>
        </w:rPr>
        <w:t xml:space="preserve"> compulsory licensing within</w:t>
      </w:r>
      <w:r w:rsidR="665AD6D4" w:rsidRPr="003B11BD">
        <w:rPr>
          <w:noProof/>
          <w:lang w:val="en-IE"/>
        </w:rPr>
        <w:t xml:space="preserve"> their framework</w:t>
      </w:r>
      <w:r w:rsidR="026D481E" w:rsidRPr="003B11BD">
        <w:rPr>
          <w:noProof/>
          <w:lang w:val="en-IE"/>
        </w:rPr>
        <w:t xml:space="preserve">. </w:t>
      </w:r>
      <w:r w:rsidR="6475F053" w:rsidRPr="003B11BD">
        <w:rPr>
          <w:noProof/>
          <w:lang w:val="en-IE"/>
        </w:rPr>
        <w:t>As a consequence</w:t>
      </w:r>
      <w:r w:rsidR="2A5574E8" w:rsidRPr="003B11BD">
        <w:rPr>
          <w:noProof/>
          <w:lang w:val="en-IE"/>
        </w:rPr>
        <w:t>,</w:t>
      </w:r>
      <w:r w:rsidR="34EF0D43" w:rsidRPr="003B11BD">
        <w:rPr>
          <w:noProof/>
          <w:lang w:val="en-IE"/>
        </w:rPr>
        <w:t xml:space="preserve"> a gap concerning compulsory licencing </w:t>
      </w:r>
      <w:r w:rsidR="62CCD201" w:rsidRPr="003B11BD">
        <w:rPr>
          <w:noProof/>
          <w:lang w:val="en-IE"/>
        </w:rPr>
        <w:t xml:space="preserve">as a crisis remedy tool </w:t>
      </w:r>
      <w:r w:rsidR="64E4B8FD" w:rsidRPr="003B11BD">
        <w:rPr>
          <w:noProof/>
          <w:lang w:val="en-IE"/>
        </w:rPr>
        <w:t xml:space="preserve">is </w:t>
      </w:r>
      <w:r w:rsidR="0D859B84" w:rsidRPr="003B11BD">
        <w:rPr>
          <w:noProof/>
          <w:lang w:val="en-IE"/>
        </w:rPr>
        <w:t>likely</w:t>
      </w:r>
      <w:r w:rsidR="64E4B8FD" w:rsidRPr="003B11BD">
        <w:rPr>
          <w:noProof/>
          <w:lang w:val="en-IE"/>
        </w:rPr>
        <w:t xml:space="preserve"> to </w:t>
      </w:r>
      <w:r w:rsidR="34EF0D43" w:rsidRPr="003B11BD">
        <w:rPr>
          <w:noProof/>
          <w:lang w:val="en-IE"/>
        </w:rPr>
        <w:t>remain</w:t>
      </w:r>
      <w:r w:rsidR="2F57B977" w:rsidRPr="003B11BD">
        <w:rPr>
          <w:noProof/>
          <w:lang w:val="en-IE"/>
        </w:rPr>
        <w:t>.</w:t>
      </w:r>
      <w:r w:rsidR="34EF0D43" w:rsidRPr="003B11BD">
        <w:rPr>
          <w:noProof/>
          <w:lang w:val="en-IE"/>
        </w:rPr>
        <w:t xml:space="preserve"> </w:t>
      </w:r>
      <w:r w:rsidR="00DD417B" w:rsidRPr="003B11BD">
        <w:rPr>
          <w:noProof/>
          <w:lang w:val="en-IE"/>
        </w:rPr>
        <w:t>Even the f</w:t>
      </w:r>
      <w:r w:rsidR="006021EF" w:rsidRPr="003B11BD">
        <w:rPr>
          <w:noProof/>
          <w:lang w:val="en-IE"/>
        </w:rPr>
        <w:t>orthcoming introduction of the u</w:t>
      </w:r>
      <w:r w:rsidR="00DD417B" w:rsidRPr="003B11BD">
        <w:rPr>
          <w:noProof/>
          <w:lang w:val="en-IE"/>
        </w:rPr>
        <w:t>nitary patent system</w:t>
      </w:r>
      <w:r w:rsidR="006021EF" w:rsidRPr="003B11BD">
        <w:rPr>
          <w:noProof/>
          <w:lang w:val="en-IE"/>
        </w:rPr>
        <w:t xml:space="preserve"> enabling the possibility to obtain</w:t>
      </w:r>
      <w:r w:rsidR="00DD417B" w:rsidRPr="003B11BD">
        <w:rPr>
          <w:noProof/>
          <w:lang w:val="en-IE"/>
        </w:rPr>
        <w:t xml:space="preserve"> </w:t>
      </w:r>
      <w:r w:rsidR="006021EF" w:rsidRPr="003B11BD">
        <w:rPr>
          <w:noProof/>
          <w:lang w:val="en-IE"/>
        </w:rPr>
        <w:t>such</w:t>
      </w:r>
      <w:r w:rsidR="00A65408" w:rsidRPr="003B11BD">
        <w:rPr>
          <w:noProof/>
          <w:lang w:val="en-IE"/>
        </w:rPr>
        <w:t xml:space="preserve"> protection in a large portion of the EU </w:t>
      </w:r>
      <w:r w:rsidR="00DD417B" w:rsidRPr="003B11BD">
        <w:rPr>
          <w:noProof/>
          <w:lang w:val="en-IE"/>
        </w:rPr>
        <w:t xml:space="preserve">will not change </w:t>
      </w:r>
      <w:r w:rsidR="3294AB36" w:rsidRPr="003B11BD">
        <w:rPr>
          <w:noProof/>
          <w:lang w:val="en-IE"/>
        </w:rPr>
        <w:t>the</w:t>
      </w:r>
      <w:r w:rsidR="00DD417B" w:rsidRPr="003B11BD">
        <w:rPr>
          <w:noProof/>
          <w:lang w:val="en-IE"/>
        </w:rPr>
        <w:t xml:space="preserve"> persistence of the problem. Within the legal framework creating </w:t>
      </w:r>
      <w:r w:rsidR="006021EF" w:rsidRPr="003B11BD">
        <w:rPr>
          <w:noProof/>
          <w:lang w:val="en-IE"/>
        </w:rPr>
        <w:t>the</w:t>
      </w:r>
      <w:r w:rsidR="00DD417B" w:rsidRPr="003B11BD">
        <w:rPr>
          <w:noProof/>
          <w:lang w:val="en-IE"/>
        </w:rPr>
        <w:t xml:space="preserve"> unitary effect </w:t>
      </w:r>
      <w:r w:rsidR="0014672F" w:rsidRPr="003B11BD">
        <w:rPr>
          <w:noProof/>
          <w:lang w:val="en-IE"/>
        </w:rPr>
        <w:t xml:space="preserve">it </w:t>
      </w:r>
      <w:r w:rsidR="00DD417B" w:rsidRPr="003B11BD">
        <w:rPr>
          <w:noProof/>
          <w:lang w:val="en-IE"/>
        </w:rPr>
        <w:t xml:space="preserve">is foreseen that </w:t>
      </w:r>
      <w:r w:rsidR="00656883" w:rsidRPr="003B11BD">
        <w:rPr>
          <w:noProof/>
          <w:lang w:val="en-IE"/>
        </w:rPr>
        <w:t>compulsory licences for European patents with unitary effect should be governed by the laws of the participating Member States as regards their respective territories (Recital 10 of Regulation (EU) No 1257/2012</w:t>
      </w:r>
      <w:r w:rsidR="00656883" w:rsidRPr="003B11BD">
        <w:rPr>
          <w:rStyle w:val="FootnoteReference"/>
          <w:noProof/>
          <w:lang w:val="en-IE"/>
        </w:rPr>
        <w:footnoteReference w:id="78"/>
      </w:r>
      <w:r w:rsidR="00656883" w:rsidRPr="003B11BD">
        <w:rPr>
          <w:noProof/>
          <w:lang w:val="en-IE"/>
        </w:rPr>
        <w:t xml:space="preserve">). This </w:t>
      </w:r>
      <w:r w:rsidR="005C7202" w:rsidRPr="003B11BD">
        <w:rPr>
          <w:noProof/>
          <w:lang w:val="en-IE"/>
        </w:rPr>
        <w:t xml:space="preserve">prevents - even in </w:t>
      </w:r>
      <w:r w:rsidR="0069758E" w:rsidRPr="003B11BD">
        <w:rPr>
          <w:noProof/>
          <w:lang w:val="en-IE"/>
        </w:rPr>
        <w:t>a cross-border</w:t>
      </w:r>
      <w:r w:rsidR="005C7202" w:rsidRPr="003B11BD">
        <w:rPr>
          <w:noProof/>
          <w:lang w:val="en-IE"/>
        </w:rPr>
        <w:t xml:space="preserve"> crisis situations -</w:t>
      </w:r>
      <w:r w:rsidR="00656883" w:rsidRPr="003B11BD">
        <w:rPr>
          <w:noProof/>
          <w:lang w:val="en-IE"/>
        </w:rPr>
        <w:t xml:space="preserve"> that the recognition of a</w:t>
      </w:r>
      <w:r w:rsidR="005C7202" w:rsidRPr="003B11BD">
        <w:rPr>
          <w:noProof/>
          <w:lang w:val="en-IE"/>
        </w:rPr>
        <w:t xml:space="preserve">n event triggering a compulsory licence </w:t>
      </w:r>
      <w:r w:rsidR="00656883" w:rsidRPr="003B11BD">
        <w:rPr>
          <w:noProof/>
          <w:lang w:val="en-IE"/>
        </w:rPr>
        <w:t>in one</w:t>
      </w:r>
      <w:r w:rsidR="005C7202" w:rsidRPr="003B11BD">
        <w:rPr>
          <w:noProof/>
          <w:lang w:val="en-IE"/>
        </w:rPr>
        <w:t xml:space="preserve"> participating M</w:t>
      </w:r>
      <w:r w:rsidR="00656883" w:rsidRPr="003B11BD">
        <w:rPr>
          <w:noProof/>
          <w:lang w:val="en-IE"/>
        </w:rPr>
        <w:t xml:space="preserve">ember </w:t>
      </w:r>
      <w:r w:rsidR="005C7202" w:rsidRPr="003B11BD">
        <w:rPr>
          <w:noProof/>
          <w:lang w:val="en-IE"/>
        </w:rPr>
        <w:t>S</w:t>
      </w:r>
      <w:r w:rsidR="00656883" w:rsidRPr="003B11BD">
        <w:rPr>
          <w:noProof/>
          <w:lang w:val="en-IE"/>
        </w:rPr>
        <w:t xml:space="preserve">tate </w:t>
      </w:r>
      <w:r w:rsidR="005C7202" w:rsidRPr="003B11BD">
        <w:rPr>
          <w:noProof/>
          <w:lang w:val="en-IE"/>
        </w:rPr>
        <w:t xml:space="preserve">(for instance a specific public interest) </w:t>
      </w:r>
      <w:r w:rsidR="00656883" w:rsidRPr="003B11BD">
        <w:rPr>
          <w:noProof/>
          <w:lang w:val="en-IE"/>
        </w:rPr>
        <w:t xml:space="preserve">can lead to the granting of a compulsory licence for the territory of all </w:t>
      </w:r>
      <w:r w:rsidR="005C7202" w:rsidRPr="003B11BD">
        <w:rPr>
          <w:noProof/>
          <w:lang w:val="en-IE"/>
        </w:rPr>
        <w:t>participating M</w:t>
      </w:r>
      <w:r w:rsidR="00656883" w:rsidRPr="003B11BD">
        <w:rPr>
          <w:noProof/>
          <w:lang w:val="en-IE"/>
        </w:rPr>
        <w:t xml:space="preserve">ember </w:t>
      </w:r>
      <w:r w:rsidR="005C7202" w:rsidRPr="003B11BD">
        <w:rPr>
          <w:noProof/>
          <w:lang w:val="en-IE"/>
        </w:rPr>
        <w:t>S</w:t>
      </w:r>
      <w:r w:rsidR="00656883" w:rsidRPr="003B11BD">
        <w:rPr>
          <w:noProof/>
          <w:lang w:val="en-IE"/>
        </w:rPr>
        <w:t>tates</w:t>
      </w:r>
      <w:r w:rsidR="005C7202" w:rsidRPr="003B11BD">
        <w:rPr>
          <w:noProof/>
          <w:lang w:val="en-IE"/>
        </w:rPr>
        <w:t>. Consequently, it would mean that in the future, also under the new unitary patent system, the fragmented national regimes and practices for compulsory licensing would remain</w:t>
      </w:r>
      <w:r w:rsidR="00801DB2" w:rsidRPr="003B11BD">
        <w:rPr>
          <w:noProof/>
          <w:lang w:val="en-IE"/>
        </w:rPr>
        <w:t>.</w:t>
      </w:r>
    </w:p>
    <w:p w14:paraId="30949A1B" w14:textId="65E002C1" w:rsidR="006B087E" w:rsidRPr="003B11BD" w:rsidRDefault="006B087E" w:rsidP="000E3086">
      <w:pPr>
        <w:pStyle w:val="Heading1"/>
        <w:rPr>
          <w:noProof/>
          <w:lang w:val="en-IE"/>
        </w:rPr>
      </w:pPr>
      <w:bookmarkStart w:id="153" w:name="_Toc120731204"/>
      <w:bookmarkStart w:id="154" w:name="_Toc121386363"/>
      <w:bookmarkStart w:id="155" w:name="_Toc121489582"/>
      <w:bookmarkStart w:id="156" w:name="_Toc121496334"/>
      <w:bookmarkStart w:id="157" w:name="_Toc121748000"/>
      <w:bookmarkStart w:id="158" w:name="_Toc133435353"/>
      <w:r w:rsidRPr="003B11BD">
        <w:rPr>
          <w:noProof/>
          <w:lang w:val="en-IE"/>
        </w:rPr>
        <w:t>Why should the EU act?</w:t>
      </w:r>
      <w:bookmarkEnd w:id="153"/>
      <w:bookmarkEnd w:id="154"/>
      <w:bookmarkEnd w:id="155"/>
      <w:bookmarkEnd w:id="156"/>
      <w:bookmarkEnd w:id="157"/>
      <w:bookmarkEnd w:id="158"/>
    </w:p>
    <w:p w14:paraId="4FE8C6A3" w14:textId="603BEE42" w:rsidR="006B087E" w:rsidRPr="003B11BD" w:rsidRDefault="006B087E" w:rsidP="000E3086">
      <w:pPr>
        <w:pStyle w:val="Heading2"/>
        <w:rPr>
          <w:noProof/>
          <w:lang w:val="en-IE"/>
        </w:rPr>
      </w:pPr>
      <w:bookmarkStart w:id="159" w:name="_Toc121748001"/>
      <w:bookmarkStart w:id="160" w:name="_Toc120731205"/>
      <w:bookmarkStart w:id="161" w:name="_Toc121386364"/>
      <w:bookmarkStart w:id="162" w:name="_Toc121489583"/>
      <w:bookmarkStart w:id="163" w:name="_Toc121496335"/>
      <w:bookmarkStart w:id="164" w:name="_Toc133435354"/>
      <w:r w:rsidRPr="003B11BD">
        <w:rPr>
          <w:noProof/>
          <w:lang w:val="en-IE"/>
        </w:rPr>
        <w:t>Legal basis</w:t>
      </w:r>
      <w:bookmarkEnd w:id="159"/>
      <w:bookmarkEnd w:id="160"/>
      <w:bookmarkEnd w:id="161"/>
      <w:bookmarkEnd w:id="162"/>
      <w:bookmarkEnd w:id="163"/>
      <w:bookmarkEnd w:id="164"/>
    </w:p>
    <w:p w14:paraId="34C871C0" w14:textId="375DC270" w:rsidR="29A10855" w:rsidRPr="003B11BD" w:rsidRDefault="50160D9C" w:rsidP="29A10855">
      <w:pPr>
        <w:spacing w:after="120"/>
        <w:rPr>
          <w:noProof/>
          <w:color w:val="000000" w:themeColor="text1"/>
          <w:lang w:val="en-IE"/>
        </w:rPr>
      </w:pPr>
      <w:r w:rsidRPr="003B11BD">
        <w:rPr>
          <w:noProof/>
          <w:color w:val="000000" w:themeColor="text1"/>
          <w:lang w:val="en-IE"/>
        </w:rPr>
        <w:t xml:space="preserve">The proposed initiative will be based on Articles 114 and 207 of the Treaty on the Functioning of the EU (‘TFEU’). Article 114 TFEU confers on the EU the power to adopt measures, which have as their object the establishment and functioning of the internal market and has provided legal basis for a wide range of EU instruments in the area of IP rights. Since the envisaged initiative aims at ensuring that compulsory licensing is fit for purposes as regards the </w:t>
      </w:r>
      <w:r w:rsidR="063EB761" w:rsidRPr="003B11BD">
        <w:rPr>
          <w:noProof/>
          <w:color w:val="000000" w:themeColor="text1"/>
          <w:lang w:val="en-IE"/>
        </w:rPr>
        <w:t>Single Market</w:t>
      </w:r>
      <w:r w:rsidRPr="003B11BD">
        <w:rPr>
          <w:noProof/>
          <w:color w:val="000000" w:themeColor="text1"/>
          <w:lang w:val="en-IE"/>
        </w:rPr>
        <w:t>, this initiative should be based on Article 114 TFEU. Article 207 TFEU confers on the EU competence in the field of common commercial policy, including as regards IP rights. Regulation (EC) No 816/2006, relating to the compulsory licensing of medicines for export purposes</w:t>
      </w:r>
      <w:r w:rsidR="226D89F9" w:rsidRPr="003B11BD">
        <w:rPr>
          <w:noProof/>
          <w:color w:val="000000" w:themeColor="text1"/>
          <w:lang w:val="en-IE"/>
        </w:rPr>
        <w:t xml:space="preserve"> to </w:t>
      </w:r>
      <w:r w:rsidR="002D606C" w:rsidRPr="003B11BD">
        <w:rPr>
          <w:noProof/>
          <w:color w:val="000000" w:themeColor="text1"/>
          <w:lang w:val="en-IE"/>
        </w:rPr>
        <w:t xml:space="preserve">non-EU </w:t>
      </w:r>
      <w:r w:rsidR="226D89F9" w:rsidRPr="003B11BD">
        <w:rPr>
          <w:noProof/>
          <w:color w:val="000000" w:themeColor="text1"/>
          <w:lang w:val="en-IE"/>
        </w:rPr>
        <w:t>countries</w:t>
      </w:r>
      <w:r w:rsidRPr="003B11BD">
        <w:rPr>
          <w:noProof/>
          <w:color w:val="000000" w:themeColor="text1"/>
          <w:lang w:val="en-IE"/>
        </w:rPr>
        <w:t xml:space="preserve">, is based on Articles 95 and 133 of the TEC (i.e. Article 114 and 207 of the TFEU). Since the envisaged initiative would have an impact on Regulation (EC) No 816/2006, </w:t>
      </w:r>
      <w:r w:rsidR="4D997B3A" w:rsidRPr="003B11BD">
        <w:rPr>
          <w:noProof/>
          <w:color w:val="000000" w:themeColor="text1"/>
          <w:lang w:val="en-IE"/>
        </w:rPr>
        <w:t xml:space="preserve">and on the possibility to export goods manufactured in the EU, </w:t>
      </w:r>
      <w:r w:rsidRPr="003B11BD">
        <w:rPr>
          <w:noProof/>
          <w:color w:val="000000" w:themeColor="text1"/>
          <w:lang w:val="en-IE"/>
        </w:rPr>
        <w:t>the initiative should also take article 207 TFEU as a basis. Insofar as derogations from regulatory pharmaceutical protections are concerned, the latter are mainly regulated by Directive 2001/83, based on Article 95 TEC (i.e. Article 114 TFEU). Internationally, any new EU initiative should take place against the backdrop of, and in compliance with the TRIPS Agreement, and in particular its Articles 30, 31 and 31 bis.</w:t>
      </w:r>
    </w:p>
    <w:p w14:paraId="55458707" w14:textId="68717D1E" w:rsidR="006B087E" w:rsidRPr="003B11BD" w:rsidRDefault="006B087E" w:rsidP="000E3086">
      <w:pPr>
        <w:pStyle w:val="Heading2"/>
        <w:rPr>
          <w:noProof/>
          <w:lang w:val="en-IE"/>
        </w:rPr>
      </w:pPr>
      <w:bookmarkStart w:id="165" w:name="_Toc120731206"/>
      <w:bookmarkStart w:id="166" w:name="_Toc121386365"/>
      <w:bookmarkStart w:id="167" w:name="_Toc121489584"/>
      <w:bookmarkStart w:id="168" w:name="_Toc121496336"/>
      <w:bookmarkStart w:id="169" w:name="_Toc121748002"/>
      <w:bookmarkStart w:id="170" w:name="_Toc133435355"/>
      <w:r w:rsidRPr="003B11BD">
        <w:rPr>
          <w:noProof/>
          <w:lang w:val="en-IE"/>
        </w:rPr>
        <w:t>Subsidiarity: Necessity of EU action</w:t>
      </w:r>
      <w:bookmarkEnd w:id="165"/>
      <w:bookmarkEnd w:id="166"/>
      <w:bookmarkEnd w:id="167"/>
      <w:bookmarkEnd w:id="168"/>
      <w:bookmarkEnd w:id="169"/>
      <w:bookmarkEnd w:id="170"/>
    </w:p>
    <w:p w14:paraId="447B6DFA" w14:textId="76BA891F" w:rsidR="008069F6" w:rsidRPr="003B11BD" w:rsidRDefault="001A1BDB" w:rsidP="001A1BDB">
      <w:pPr>
        <w:rPr>
          <w:noProof/>
          <w:color w:val="000000" w:themeColor="text1"/>
          <w:lang w:val="en-IE"/>
        </w:rPr>
      </w:pPr>
      <w:r w:rsidRPr="003B11BD">
        <w:rPr>
          <w:noProof/>
          <w:color w:val="000000" w:themeColor="text1"/>
          <w:lang w:val="en-IE"/>
        </w:rPr>
        <w:t xml:space="preserve">Action at EU level is justified to ensure the smooth functioning of the </w:t>
      </w:r>
      <w:r w:rsidR="00D43F3F" w:rsidRPr="003B11BD">
        <w:rPr>
          <w:noProof/>
          <w:color w:val="000000" w:themeColor="text1"/>
          <w:lang w:val="en-IE"/>
        </w:rPr>
        <w:t>Single Market</w:t>
      </w:r>
      <w:r w:rsidR="004C4A5D" w:rsidRPr="003B11BD">
        <w:rPr>
          <w:noProof/>
          <w:color w:val="000000" w:themeColor="text1"/>
          <w:lang w:val="en-IE"/>
        </w:rPr>
        <w:t xml:space="preserve"> in crises</w:t>
      </w:r>
      <w:r w:rsidRPr="003B11BD">
        <w:rPr>
          <w:noProof/>
          <w:color w:val="000000" w:themeColor="text1"/>
          <w:lang w:val="en-IE"/>
        </w:rPr>
        <w:t xml:space="preserve">. </w:t>
      </w:r>
      <w:r w:rsidR="00004E00" w:rsidRPr="003B11BD">
        <w:rPr>
          <w:noProof/>
          <w:color w:val="000000" w:themeColor="text1"/>
          <w:lang w:val="en-IE"/>
        </w:rPr>
        <w:t>Currently</w:t>
      </w:r>
      <w:r w:rsidR="002A0261" w:rsidRPr="003B11BD">
        <w:rPr>
          <w:noProof/>
          <w:color w:val="000000" w:themeColor="text1"/>
          <w:lang w:val="en-IE"/>
        </w:rPr>
        <w:t xml:space="preserve">, </w:t>
      </w:r>
      <w:r w:rsidR="008F4783" w:rsidRPr="003B11BD">
        <w:rPr>
          <w:noProof/>
          <w:color w:val="000000" w:themeColor="text1"/>
          <w:lang w:val="en-IE"/>
        </w:rPr>
        <w:t xml:space="preserve">Member States </w:t>
      </w:r>
      <w:r w:rsidR="00CD65BD" w:rsidRPr="003B11BD">
        <w:rPr>
          <w:noProof/>
          <w:color w:val="000000" w:themeColor="text1"/>
          <w:lang w:val="en-IE"/>
        </w:rPr>
        <w:t xml:space="preserve">can </w:t>
      </w:r>
      <w:r w:rsidR="009D3BEF" w:rsidRPr="003B11BD">
        <w:rPr>
          <w:noProof/>
          <w:color w:val="000000" w:themeColor="text1"/>
          <w:lang w:val="en-IE"/>
        </w:rPr>
        <w:t>only act national</w:t>
      </w:r>
      <w:r w:rsidR="004740A7" w:rsidRPr="003B11BD">
        <w:rPr>
          <w:noProof/>
          <w:color w:val="000000" w:themeColor="text1"/>
          <w:lang w:val="en-IE"/>
        </w:rPr>
        <w:t>ly</w:t>
      </w:r>
      <w:r w:rsidR="009B158A" w:rsidRPr="003B11BD">
        <w:rPr>
          <w:noProof/>
          <w:color w:val="000000" w:themeColor="text1"/>
          <w:lang w:val="en-IE"/>
        </w:rPr>
        <w:t xml:space="preserve"> meaning that they can grant a compulsory licence for their own territory</w:t>
      </w:r>
      <w:r w:rsidR="009D3BEF" w:rsidRPr="003B11BD">
        <w:rPr>
          <w:noProof/>
          <w:color w:val="000000" w:themeColor="text1"/>
          <w:lang w:val="en-IE"/>
        </w:rPr>
        <w:t>.</w:t>
      </w:r>
      <w:r w:rsidR="00504A4D" w:rsidRPr="003B11BD">
        <w:rPr>
          <w:noProof/>
          <w:color w:val="000000" w:themeColor="text1"/>
          <w:lang w:val="en-IE"/>
        </w:rPr>
        <w:t xml:space="preserve"> This can be sufficient for purely national crises, where </w:t>
      </w:r>
      <w:r w:rsidR="006E1252" w:rsidRPr="003B11BD">
        <w:rPr>
          <w:noProof/>
          <w:color w:val="000000" w:themeColor="text1"/>
          <w:lang w:val="en-IE"/>
        </w:rPr>
        <w:t xml:space="preserve">both the crisis and the manufacturing capacities </w:t>
      </w:r>
      <w:r w:rsidR="00B35B54" w:rsidRPr="003B11BD">
        <w:rPr>
          <w:noProof/>
          <w:color w:val="000000" w:themeColor="text1"/>
          <w:lang w:val="en-IE"/>
        </w:rPr>
        <w:t>are in</w:t>
      </w:r>
      <w:r w:rsidR="006E1252" w:rsidRPr="003B11BD">
        <w:rPr>
          <w:noProof/>
          <w:color w:val="000000" w:themeColor="text1"/>
          <w:lang w:val="en-IE"/>
        </w:rPr>
        <w:t xml:space="preserve"> the same Member State. </w:t>
      </w:r>
      <w:r w:rsidR="00BA7918" w:rsidRPr="003B11BD">
        <w:rPr>
          <w:noProof/>
          <w:color w:val="000000" w:themeColor="text1"/>
          <w:lang w:val="en-IE"/>
        </w:rPr>
        <w:t>However,</w:t>
      </w:r>
      <w:r w:rsidR="000B27A7" w:rsidRPr="003B11BD">
        <w:rPr>
          <w:noProof/>
          <w:color w:val="000000" w:themeColor="text1"/>
          <w:lang w:val="en-IE"/>
        </w:rPr>
        <w:t xml:space="preserve"> this will </w:t>
      </w:r>
      <w:r w:rsidR="00CF575A" w:rsidRPr="003B11BD">
        <w:rPr>
          <w:noProof/>
          <w:color w:val="000000" w:themeColor="text1"/>
          <w:lang w:val="en-IE"/>
        </w:rPr>
        <w:t>not be sufficient when a crisis has a cross-border dimension</w:t>
      </w:r>
      <w:r w:rsidR="0076402F" w:rsidRPr="003B11BD">
        <w:rPr>
          <w:noProof/>
          <w:color w:val="000000" w:themeColor="text1"/>
          <w:lang w:val="en-IE"/>
        </w:rPr>
        <w:t xml:space="preserve"> </w:t>
      </w:r>
      <w:r w:rsidR="00402655" w:rsidRPr="003B11BD">
        <w:rPr>
          <w:noProof/>
          <w:color w:val="000000" w:themeColor="text1"/>
          <w:lang w:val="en-IE"/>
        </w:rPr>
        <w:t xml:space="preserve">– the latter is highly probable due to prevalence of </w:t>
      </w:r>
      <w:r w:rsidR="00C04FBB" w:rsidRPr="003B11BD">
        <w:rPr>
          <w:noProof/>
          <w:color w:val="000000" w:themeColor="text1"/>
          <w:lang w:val="en-IE"/>
        </w:rPr>
        <w:t>cross-border supply chain</w:t>
      </w:r>
      <w:r w:rsidR="00402655" w:rsidRPr="003B11BD">
        <w:rPr>
          <w:noProof/>
          <w:color w:val="000000" w:themeColor="text1"/>
          <w:lang w:val="en-IE"/>
        </w:rPr>
        <w:t>s</w:t>
      </w:r>
      <w:r w:rsidR="00C04FBB" w:rsidRPr="003B11BD">
        <w:rPr>
          <w:noProof/>
          <w:color w:val="000000" w:themeColor="text1"/>
          <w:lang w:val="en-IE"/>
        </w:rPr>
        <w:t>.</w:t>
      </w:r>
      <w:r w:rsidR="006021EF" w:rsidRPr="003B11BD">
        <w:rPr>
          <w:noProof/>
          <w:color w:val="000000" w:themeColor="text1"/>
          <w:lang w:val="en-IE"/>
        </w:rPr>
        <w:t xml:space="preserve"> </w:t>
      </w:r>
      <w:r w:rsidR="00CB0EC4" w:rsidRPr="003B11BD">
        <w:rPr>
          <w:noProof/>
          <w:color w:val="000000" w:themeColor="text1"/>
          <w:lang w:val="en-IE"/>
        </w:rPr>
        <w:t xml:space="preserve">The incapacity of Member States to properly </w:t>
      </w:r>
      <w:r w:rsidR="007A0D0E" w:rsidRPr="003B11BD">
        <w:rPr>
          <w:noProof/>
          <w:color w:val="000000" w:themeColor="text1"/>
          <w:lang w:val="en-IE"/>
        </w:rPr>
        <w:t>address a crisis with a cross-border dimension</w:t>
      </w:r>
      <w:r w:rsidR="009839B3" w:rsidRPr="003B11BD">
        <w:rPr>
          <w:noProof/>
          <w:color w:val="000000" w:themeColor="text1"/>
          <w:lang w:val="en-IE"/>
        </w:rPr>
        <w:t xml:space="preserve"> </w:t>
      </w:r>
      <w:r w:rsidR="00E74A85" w:rsidRPr="003B11BD">
        <w:rPr>
          <w:noProof/>
          <w:color w:val="000000" w:themeColor="text1"/>
          <w:lang w:val="en-IE"/>
        </w:rPr>
        <w:t>finds its origin in</w:t>
      </w:r>
      <w:r w:rsidR="00D5562A" w:rsidRPr="003B11BD">
        <w:rPr>
          <w:noProof/>
          <w:color w:val="000000" w:themeColor="text1"/>
          <w:lang w:val="en-IE"/>
        </w:rPr>
        <w:t xml:space="preserve"> the territor</w:t>
      </w:r>
      <w:r w:rsidR="008C1888" w:rsidRPr="003B11BD">
        <w:rPr>
          <w:noProof/>
          <w:color w:val="000000" w:themeColor="text1"/>
          <w:lang w:val="en-IE"/>
        </w:rPr>
        <w:t xml:space="preserve">iality of national compulsory licensing schemes and the </w:t>
      </w:r>
      <w:r w:rsidR="00543A94" w:rsidRPr="003B11BD">
        <w:rPr>
          <w:noProof/>
          <w:color w:val="000000" w:themeColor="text1"/>
          <w:lang w:val="en-IE"/>
        </w:rPr>
        <w:t>divergent, sometimes sub-optimal, compulsory licensing schemes in place to tackle a crisis.</w:t>
      </w:r>
      <w:r w:rsidR="00212DBD" w:rsidRPr="003B11BD">
        <w:rPr>
          <w:noProof/>
          <w:color w:val="000000" w:themeColor="text1"/>
          <w:lang w:val="en-IE"/>
        </w:rPr>
        <w:t xml:space="preserve"> </w:t>
      </w:r>
      <w:r w:rsidR="00755F40" w:rsidRPr="003B11BD">
        <w:rPr>
          <w:noProof/>
          <w:color w:val="000000" w:themeColor="text1"/>
          <w:lang w:val="en-IE"/>
        </w:rPr>
        <w:t xml:space="preserve">The proposed </w:t>
      </w:r>
      <w:r w:rsidR="00212DBD" w:rsidRPr="003B11BD">
        <w:rPr>
          <w:noProof/>
          <w:color w:val="000000" w:themeColor="text1"/>
          <w:lang w:val="en-IE"/>
        </w:rPr>
        <w:t xml:space="preserve">EU action </w:t>
      </w:r>
      <w:r w:rsidR="00755F40" w:rsidRPr="003B11BD">
        <w:rPr>
          <w:noProof/>
          <w:color w:val="000000" w:themeColor="text1"/>
          <w:lang w:val="en-IE"/>
        </w:rPr>
        <w:t xml:space="preserve">will act </w:t>
      </w:r>
      <w:r w:rsidR="00624CFB" w:rsidRPr="003B11BD">
        <w:rPr>
          <w:noProof/>
          <w:color w:val="000000" w:themeColor="text1"/>
          <w:lang w:val="en-IE"/>
        </w:rPr>
        <w:t>on these specific points by creating an EU-level compulsory licence with a streamlined procedure.</w:t>
      </w:r>
      <w:r w:rsidR="00684D35" w:rsidRPr="003B11BD">
        <w:rPr>
          <w:noProof/>
          <w:color w:val="000000" w:themeColor="text1"/>
          <w:lang w:val="en-IE"/>
        </w:rPr>
        <w:t xml:space="preserve"> </w:t>
      </w:r>
      <w:r w:rsidR="00E6313F" w:rsidRPr="003B11BD">
        <w:rPr>
          <w:noProof/>
          <w:color w:val="000000" w:themeColor="text1"/>
          <w:lang w:val="en-IE"/>
        </w:rPr>
        <w:t xml:space="preserve">Without action at EU level, Member States would remain vulnerable </w:t>
      </w:r>
      <w:r w:rsidR="00EB526B" w:rsidRPr="003B11BD">
        <w:rPr>
          <w:noProof/>
          <w:color w:val="000000" w:themeColor="text1"/>
          <w:lang w:val="en-IE"/>
        </w:rPr>
        <w:t>to</w:t>
      </w:r>
      <w:r w:rsidR="00E6313F" w:rsidRPr="003B11BD">
        <w:rPr>
          <w:noProof/>
          <w:color w:val="000000" w:themeColor="text1"/>
          <w:lang w:val="en-IE"/>
        </w:rPr>
        <w:t xml:space="preserve"> crises with a cross-border dimension. </w:t>
      </w:r>
      <w:r w:rsidR="00D45744" w:rsidRPr="003B11BD">
        <w:rPr>
          <w:noProof/>
          <w:color w:val="000000" w:themeColor="text1"/>
          <w:lang w:val="en-IE"/>
        </w:rPr>
        <w:t xml:space="preserve">In contrast, </w:t>
      </w:r>
      <w:r w:rsidR="00462B3A" w:rsidRPr="003B11BD">
        <w:rPr>
          <w:noProof/>
          <w:color w:val="000000" w:themeColor="text1"/>
          <w:lang w:val="en-IE"/>
        </w:rPr>
        <w:t>introducing</w:t>
      </w:r>
      <w:r w:rsidR="00B241C9" w:rsidRPr="003B11BD">
        <w:rPr>
          <w:noProof/>
          <w:color w:val="000000" w:themeColor="text1"/>
          <w:lang w:val="en-IE"/>
        </w:rPr>
        <w:t xml:space="preserve"> an EU compulsory licensing scheme will </w:t>
      </w:r>
      <w:r w:rsidR="00653204" w:rsidRPr="003B11BD">
        <w:rPr>
          <w:noProof/>
          <w:color w:val="000000" w:themeColor="text1"/>
          <w:lang w:val="en-IE"/>
        </w:rPr>
        <w:t>contribute to building a more resilient EU by providing an additional collective too</w:t>
      </w:r>
      <w:r w:rsidR="003D3D1E" w:rsidRPr="003B11BD">
        <w:rPr>
          <w:noProof/>
          <w:color w:val="000000" w:themeColor="text1"/>
          <w:lang w:val="en-IE"/>
        </w:rPr>
        <w:t>l</w:t>
      </w:r>
      <w:r w:rsidR="00653204" w:rsidRPr="003B11BD">
        <w:rPr>
          <w:noProof/>
          <w:color w:val="000000" w:themeColor="text1"/>
          <w:lang w:val="en-IE"/>
        </w:rPr>
        <w:t xml:space="preserve"> </w:t>
      </w:r>
      <w:r w:rsidR="003D3D1E" w:rsidRPr="003B11BD">
        <w:rPr>
          <w:noProof/>
          <w:color w:val="000000" w:themeColor="text1"/>
          <w:lang w:val="en-IE"/>
        </w:rPr>
        <w:t>in support of other crisis instruments such as SMEI or HERA.</w:t>
      </w:r>
    </w:p>
    <w:p w14:paraId="03512E77" w14:textId="450F984D" w:rsidR="006B087E" w:rsidRPr="003B11BD" w:rsidRDefault="006B087E" w:rsidP="000E3086">
      <w:pPr>
        <w:pStyle w:val="Heading2"/>
        <w:rPr>
          <w:noProof/>
          <w:lang w:val="en-IE"/>
        </w:rPr>
      </w:pPr>
      <w:bookmarkStart w:id="171" w:name="_Toc120731207"/>
      <w:bookmarkStart w:id="172" w:name="_Toc121386366"/>
      <w:bookmarkStart w:id="173" w:name="_Toc121489585"/>
      <w:bookmarkStart w:id="174" w:name="_Toc121496337"/>
      <w:bookmarkStart w:id="175" w:name="_Toc121748003"/>
      <w:bookmarkStart w:id="176" w:name="_Toc133435356"/>
      <w:r w:rsidRPr="003B11BD">
        <w:rPr>
          <w:noProof/>
          <w:lang w:val="en-IE"/>
        </w:rPr>
        <w:t>Subsidiarity: Added value of EU action</w:t>
      </w:r>
      <w:bookmarkEnd w:id="171"/>
      <w:bookmarkEnd w:id="172"/>
      <w:bookmarkEnd w:id="173"/>
      <w:bookmarkEnd w:id="174"/>
      <w:bookmarkEnd w:id="175"/>
      <w:bookmarkEnd w:id="176"/>
    </w:p>
    <w:p w14:paraId="7D3E2BBD" w14:textId="58E0A1D5" w:rsidR="0034569E" w:rsidRPr="003B11BD" w:rsidRDefault="00C03884" w:rsidP="0034569E">
      <w:pPr>
        <w:rPr>
          <w:noProof/>
          <w:lang w:val="en-IE"/>
        </w:rPr>
      </w:pPr>
      <w:r w:rsidRPr="003B11BD">
        <w:rPr>
          <w:noProof/>
          <w:lang w:val="en-IE"/>
        </w:rPr>
        <w:t xml:space="preserve">The </w:t>
      </w:r>
      <w:r w:rsidR="00557BC2" w:rsidRPr="003B11BD">
        <w:rPr>
          <w:noProof/>
          <w:lang w:val="en-IE"/>
        </w:rPr>
        <w:t xml:space="preserve">objective of the initiative </w:t>
      </w:r>
      <w:r w:rsidR="00432C90" w:rsidRPr="003B11BD">
        <w:rPr>
          <w:noProof/>
          <w:lang w:val="en-IE"/>
        </w:rPr>
        <w:t xml:space="preserve">is to build an EU-level compulsory licensing scheme able to </w:t>
      </w:r>
      <w:r w:rsidR="001F3B5E" w:rsidRPr="003B11BD">
        <w:rPr>
          <w:noProof/>
          <w:lang w:val="en-IE"/>
        </w:rPr>
        <w:t>tackle crises with a cross-border dimension</w:t>
      </w:r>
      <w:r w:rsidR="001F668B" w:rsidRPr="003B11BD">
        <w:rPr>
          <w:noProof/>
          <w:lang w:val="en-IE"/>
        </w:rPr>
        <w:t>, in addition to the existing compulsory licensing national schemes for grounds other than crises.</w:t>
      </w:r>
      <w:r w:rsidR="007174BF" w:rsidRPr="003B11BD">
        <w:rPr>
          <w:noProof/>
          <w:lang w:val="en-IE"/>
        </w:rPr>
        <w:t xml:space="preserve"> </w:t>
      </w:r>
      <w:r w:rsidR="00D41E80" w:rsidRPr="003B11BD">
        <w:rPr>
          <w:noProof/>
          <w:lang w:val="en-IE"/>
        </w:rPr>
        <w:t xml:space="preserve">Any instrument that is to be considered in this impact assessment would be limited to what is necessary </w:t>
      </w:r>
      <w:r w:rsidR="003047BE" w:rsidRPr="003B11BD">
        <w:rPr>
          <w:noProof/>
          <w:lang w:val="en-IE"/>
        </w:rPr>
        <w:t>to tackle crisis with a cross-border dimension</w:t>
      </w:r>
      <w:r w:rsidR="00D41E80" w:rsidRPr="003B11BD">
        <w:rPr>
          <w:noProof/>
          <w:lang w:val="en-IE"/>
        </w:rPr>
        <w:t>,</w:t>
      </w:r>
      <w:r w:rsidR="003047BE" w:rsidRPr="003B11BD">
        <w:rPr>
          <w:noProof/>
          <w:lang w:val="en-IE"/>
        </w:rPr>
        <w:t xml:space="preserve"> </w:t>
      </w:r>
      <w:r w:rsidR="00D41E80" w:rsidRPr="003B11BD">
        <w:rPr>
          <w:noProof/>
          <w:lang w:val="en-IE"/>
        </w:rPr>
        <w:t xml:space="preserve">only when such action </w:t>
      </w:r>
      <w:r w:rsidR="003047BE" w:rsidRPr="003B11BD">
        <w:rPr>
          <w:noProof/>
          <w:lang w:val="en-IE"/>
        </w:rPr>
        <w:t xml:space="preserve">cannot be </w:t>
      </w:r>
      <w:r w:rsidR="00D41E80" w:rsidRPr="003B11BD">
        <w:rPr>
          <w:noProof/>
          <w:lang w:val="en-IE"/>
        </w:rPr>
        <w:t>implemented</w:t>
      </w:r>
      <w:r w:rsidR="003047BE" w:rsidRPr="003B11BD">
        <w:rPr>
          <w:noProof/>
          <w:lang w:val="en-IE"/>
        </w:rPr>
        <w:t xml:space="preserve"> at national level</w:t>
      </w:r>
      <w:r w:rsidR="00D41E80" w:rsidRPr="003B11BD">
        <w:rPr>
          <w:noProof/>
          <w:lang w:val="en-IE"/>
        </w:rPr>
        <w:t xml:space="preserve"> or when such implementation would be inefficient</w:t>
      </w:r>
      <w:r w:rsidR="003047BE" w:rsidRPr="003B11BD">
        <w:rPr>
          <w:noProof/>
          <w:lang w:val="en-IE"/>
        </w:rPr>
        <w:t>.</w:t>
      </w:r>
      <w:r w:rsidR="00B919C6" w:rsidRPr="003B11BD">
        <w:rPr>
          <w:noProof/>
          <w:lang w:val="en-IE"/>
        </w:rPr>
        <w:t xml:space="preserve"> </w:t>
      </w:r>
      <w:r w:rsidR="00D41E80" w:rsidRPr="003B11BD">
        <w:rPr>
          <w:noProof/>
          <w:lang w:val="en-IE"/>
        </w:rPr>
        <w:t>Ultimately, the proposed instrument</w:t>
      </w:r>
      <w:r w:rsidR="00B919C6" w:rsidRPr="003B11BD">
        <w:rPr>
          <w:noProof/>
          <w:lang w:val="en-IE"/>
        </w:rPr>
        <w:t xml:space="preserve"> </w:t>
      </w:r>
      <w:r w:rsidR="00D41E80" w:rsidRPr="003B11BD">
        <w:rPr>
          <w:noProof/>
          <w:lang w:val="en-IE"/>
        </w:rPr>
        <w:t>would be also complementary to t</w:t>
      </w:r>
      <w:r w:rsidR="00B919C6" w:rsidRPr="003B11BD">
        <w:rPr>
          <w:noProof/>
          <w:lang w:val="en-IE"/>
        </w:rPr>
        <w:t xml:space="preserve">he </w:t>
      </w:r>
      <w:r w:rsidR="00D41E80" w:rsidRPr="003B11BD">
        <w:rPr>
          <w:noProof/>
          <w:lang w:val="en-IE"/>
        </w:rPr>
        <w:t xml:space="preserve">other crisis instruments aimed at strengthening the </w:t>
      </w:r>
      <w:r w:rsidR="00B919C6" w:rsidRPr="003B11BD">
        <w:rPr>
          <w:noProof/>
          <w:lang w:val="en-IE"/>
        </w:rPr>
        <w:t xml:space="preserve">resilience of the </w:t>
      </w:r>
      <w:r w:rsidR="00D43F3F" w:rsidRPr="003B11BD">
        <w:rPr>
          <w:noProof/>
          <w:lang w:val="en-IE"/>
        </w:rPr>
        <w:t>Single Market</w:t>
      </w:r>
      <w:r w:rsidR="00B919C6" w:rsidRPr="003B11BD">
        <w:rPr>
          <w:noProof/>
          <w:lang w:val="en-IE"/>
        </w:rPr>
        <w:t>.</w:t>
      </w:r>
    </w:p>
    <w:p w14:paraId="569E9465" w14:textId="7DB04657" w:rsidR="006B087E" w:rsidRPr="003B11BD" w:rsidRDefault="006B087E" w:rsidP="000E3086">
      <w:pPr>
        <w:pStyle w:val="Heading1"/>
        <w:rPr>
          <w:noProof/>
          <w:lang w:val="en-IE"/>
        </w:rPr>
      </w:pPr>
      <w:bookmarkStart w:id="177" w:name="_Toc120731208"/>
      <w:bookmarkStart w:id="178" w:name="_Toc121386367"/>
      <w:bookmarkStart w:id="179" w:name="_Toc121489586"/>
      <w:bookmarkStart w:id="180" w:name="_Toc121496338"/>
      <w:bookmarkStart w:id="181" w:name="_Toc121748004"/>
      <w:bookmarkStart w:id="182" w:name="_Toc133435357"/>
      <w:r w:rsidRPr="003B11BD">
        <w:rPr>
          <w:noProof/>
          <w:lang w:val="en-IE"/>
        </w:rPr>
        <w:t>Objectives: What is to be achieved?</w:t>
      </w:r>
      <w:bookmarkEnd w:id="177"/>
      <w:bookmarkEnd w:id="178"/>
      <w:bookmarkEnd w:id="179"/>
      <w:bookmarkEnd w:id="180"/>
      <w:bookmarkEnd w:id="181"/>
      <w:bookmarkEnd w:id="182"/>
    </w:p>
    <w:p w14:paraId="7C421C23" w14:textId="1679106A" w:rsidR="00C15112" w:rsidRPr="003B11BD" w:rsidRDefault="00EB70AE" w:rsidP="00C15112">
      <w:pPr>
        <w:rPr>
          <w:noProof/>
          <w:lang w:val="en-IE"/>
        </w:rPr>
      </w:pPr>
      <w:r w:rsidRPr="003B11BD">
        <w:rPr>
          <w:noProof/>
          <w:lang w:val="en-IE"/>
        </w:rPr>
        <w:t>T</w:t>
      </w:r>
      <w:r w:rsidR="00C15112" w:rsidRPr="003B11BD">
        <w:rPr>
          <w:noProof/>
          <w:lang w:val="en-IE"/>
        </w:rPr>
        <w:t xml:space="preserve">o address problems </w:t>
      </w:r>
      <w:r w:rsidR="00F975B9" w:rsidRPr="003B11BD">
        <w:rPr>
          <w:noProof/>
          <w:lang w:val="en-IE"/>
        </w:rPr>
        <w:t>discussed</w:t>
      </w:r>
      <w:r w:rsidR="00C15112" w:rsidRPr="003B11BD">
        <w:rPr>
          <w:noProof/>
          <w:lang w:val="en-IE"/>
        </w:rPr>
        <w:t xml:space="preserve"> in section 2, t</w:t>
      </w:r>
      <w:r w:rsidR="00CF094E" w:rsidRPr="003B11BD">
        <w:rPr>
          <w:noProof/>
          <w:lang w:val="en-IE"/>
        </w:rPr>
        <w:t xml:space="preserve">he proposed initiative aims to create a compulsory licensing system that would be less fragmented and better-suited for EU-wide crises. Since compulsory licensing may have a significant impact on IP holders, this should remain an exceptional measure, applicable in case of </w:t>
      </w:r>
      <w:r w:rsidR="0040621C" w:rsidRPr="003B11BD">
        <w:rPr>
          <w:noProof/>
          <w:lang w:val="en-IE"/>
        </w:rPr>
        <w:t>unavailability or unsuitability</w:t>
      </w:r>
      <w:r w:rsidR="00CF094E" w:rsidRPr="003B11BD">
        <w:rPr>
          <w:noProof/>
          <w:lang w:val="en-IE"/>
        </w:rPr>
        <w:t xml:space="preserve"> of voluntary agreements. Working within the bounds of the TRIP</w:t>
      </w:r>
      <w:r w:rsidRPr="003B11BD">
        <w:rPr>
          <w:noProof/>
          <w:lang w:val="en-IE"/>
        </w:rPr>
        <w:t>S</w:t>
      </w:r>
      <w:r w:rsidR="00CF094E" w:rsidRPr="003B11BD">
        <w:rPr>
          <w:noProof/>
          <w:lang w:val="en-IE"/>
        </w:rPr>
        <w:t xml:space="preserve"> Agreement, the initiative should not lead to higher aggregate burdens or risks for patent holders relative to national regimes, but rather a more convergent, predictable, and workable regime in the exceptional cases where recourse to compulsory licensing at EU scale is necessary.</w:t>
      </w:r>
      <w:r w:rsidR="00C15112" w:rsidRPr="003B11BD">
        <w:rPr>
          <w:noProof/>
          <w:lang w:val="en-IE"/>
        </w:rPr>
        <w:t xml:space="preserve"> </w:t>
      </w:r>
      <w:r w:rsidR="006021EF" w:rsidRPr="003B11BD">
        <w:rPr>
          <w:noProof/>
          <w:lang w:val="en-IE"/>
        </w:rPr>
        <w:t xml:space="preserve">Details of </w:t>
      </w:r>
      <w:r w:rsidR="00C15112" w:rsidRPr="003B11BD">
        <w:rPr>
          <w:noProof/>
          <w:lang w:val="en-IE"/>
        </w:rPr>
        <w:t xml:space="preserve">objectives </w:t>
      </w:r>
      <w:r w:rsidR="006021EF" w:rsidRPr="003B11BD">
        <w:rPr>
          <w:noProof/>
          <w:lang w:val="en-IE"/>
        </w:rPr>
        <w:t>to be achieved are presented</w:t>
      </w:r>
      <w:r w:rsidR="00C15112" w:rsidRPr="003B11BD">
        <w:rPr>
          <w:noProof/>
          <w:lang w:val="en-IE"/>
        </w:rPr>
        <w:t xml:space="preserve"> below:</w:t>
      </w:r>
    </w:p>
    <w:p w14:paraId="513C77FF" w14:textId="422877F7" w:rsidR="00C15112" w:rsidRPr="003B11BD" w:rsidRDefault="00C15112" w:rsidP="00C15112">
      <w:pPr>
        <w:pStyle w:val="Caption"/>
        <w:keepNext/>
        <w:rPr>
          <w:noProof/>
          <w:lang w:val="en-IE"/>
        </w:rPr>
      </w:pPr>
      <w:r w:rsidRPr="003B11BD">
        <w:rPr>
          <w:noProof/>
          <w:lang w:val="en-IE"/>
        </w:rPr>
        <w:t xml:space="preserve">Figure </w:t>
      </w:r>
      <w:r w:rsidR="00C6592A">
        <w:rPr>
          <w:noProof/>
          <w:lang w:val="en-IE"/>
        </w:rPr>
        <w:t>5</w:t>
      </w:r>
      <w:r w:rsidRPr="003B11BD">
        <w:rPr>
          <w:noProof/>
          <w:lang w:val="en-IE"/>
        </w:rPr>
        <w:t>: Objectives</w:t>
      </w:r>
    </w:p>
    <w:p w14:paraId="30E25E61" w14:textId="136B5D49" w:rsidR="00284F26" w:rsidRPr="003B11BD" w:rsidRDefault="00284F26" w:rsidP="00C15112">
      <w:pPr>
        <w:rPr>
          <w:noProof/>
          <w:lang w:val="en-IE"/>
        </w:rPr>
      </w:pPr>
      <w:r w:rsidRPr="003B11BD">
        <w:rPr>
          <w:noProof/>
          <w:lang w:eastAsia="en-GB"/>
        </w:rPr>
        <w:drawing>
          <wp:inline distT="0" distB="0" distL="0" distR="0" wp14:anchorId="25F3B7F6" wp14:editId="3F926D2A">
            <wp:extent cx="5452487" cy="161281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3607" cy="1624982"/>
                    </a:xfrm>
                    <a:prstGeom prst="rect">
                      <a:avLst/>
                    </a:prstGeom>
                    <a:noFill/>
                  </pic:spPr>
                </pic:pic>
              </a:graphicData>
            </a:graphic>
          </wp:inline>
        </w:drawing>
      </w:r>
    </w:p>
    <w:p w14:paraId="21372804" w14:textId="683F1998" w:rsidR="006B087E" w:rsidRPr="003B11BD" w:rsidRDefault="006B087E" w:rsidP="000E3086">
      <w:pPr>
        <w:pStyle w:val="Heading2"/>
        <w:rPr>
          <w:noProof/>
          <w:lang w:val="en-IE"/>
        </w:rPr>
      </w:pPr>
      <w:bookmarkStart w:id="183" w:name="_Toc120731209"/>
      <w:bookmarkStart w:id="184" w:name="_Toc121386368"/>
      <w:bookmarkStart w:id="185" w:name="_Toc121489587"/>
      <w:bookmarkStart w:id="186" w:name="_Toc121496339"/>
      <w:bookmarkStart w:id="187" w:name="_Toc121748005"/>
      <w:bookmarkStart w:id="188" w:name="_Toc133435358"/>
      <w:r w:rsidRPr="003B11BD">
        <w:rPr>
          <w:noProof/>
          <w:lang w:val="en-IE"/>
        </w:rPr>
        <w:t>General objectives</w:t>
      </w:r>
      <w:bookmarkEnd w:id="183"/>
      <w:bookmarkEnd w:id="184"/>
      <w:bookmarkEnd w:id="185"/>
      <w:bookmarkEnd w:id="186"/>
      <w:bookmarkEnd w:id="187"/>
      <w:bookmarkEnd w:id="188"/>
    </w:p>
    <w:p w14:paraId="691708C3" w14:textId="57C3BABA" w:rsidR="00574675" w:rsidRPr="003B11BD" w:rsidRDefault="006A37D2" w:rsidP="00B132BE">
      <w:pPr>
        <w:rPr>
          <w:noProof/>
          <w:lang w:val="en-IE"/>
        </w:rPr>
      </w:pPr>
      <w:r w:rsidRPr="003B11BD">
        <w:rPr>
          <w:noProof/>
          <w:lang w:val="en-IE"/>
        </w:rPr>
        <w:t>O</w:t>
      </w:r>
      <w:r w:rsidR="0080395D" w:rsidRPr="003B11BD">
        <w:rPr>
          <w:noProof/>
          <w:lang w:val="en-IE"/>
        </w:rPr>
        <w:t>ur general obje</w:t>
      </w:r>
      <w:r w:rsidR="00B132BE" w:rsidRPr="003B11BD">
        <w:rPr>
          <w:noProof/>
          <w:lang w:val="en-IE"/>
        </w:rPr>
        <w:t xml:space="preserve">ctive is to enable the EU to respond to crisis situations in a timely manner using the full potential of the </w:t>
      </w:r>
      <w:r w:rsidR="00D43F3F" w:rsidRPr="003B11BD">
        <w:rPr>
          <w:noProof/>
          <w:lang w:val="en-IE"/>
        </w:rPr>
        <w:t>Single Market</w:t>
      </w:r>
      <w:r w:rsidR="00B132BE" w:rsidRPr="003B11BD">
        <w:rPr>
          <w:noProof/>
          <w:lang w:val="en-IE"/>
        </w:rPr>
        <w:t xml:space="preserve"> and ensure that in time of crisis, critical products and components can be made available across EU countries and supplied without delays to EU citizens and firms or </w:t>
      </w:r>
      <w:r w:rsidR="002D606C" w:rsidRPr="003B11BD">
        <w:rPr>
          <w:noProof/>
          <w:lang w:val="en-IE"/>
        </w:rPr>
        <w:t xml:space="preserve">non-EU </w:t>
      </w:r>
      <w:r w:rsidR="00B132BE" w:rsidRPr="003B11BD">
        <w:rPr>
          <w:noProof/>
          <w:lang w:val="en-IE"/>
        </w:rPr>
        <w:t>countries.</w:t>
      </w:r>
    </w:p>
    <w:p w14:paraId="0F3E77BC" w14:textId="6C3F88C9" w:rsidR="006B087E" w:rsidRPr="003B11BD" w:rsidRDefault="006B087E" w:rsidP="000E3086">
      <w:pPr>
        <w:pStyle w:val="Heading2"/>
        <w:rPr>
          <w:noProof/>
          <w:lang w:val="en-IE"/>
        </w:rPr>
      </w:pPr>
      <w:bookmarkStart w:id="189" w:name="_Toc120731211"/>
      <w:bookmarkStart w:id="190" w:name="_Toc121386369"/>
      <w:bookmarkStart w:id="191" w:name="_Toc121489588"/>
      <w:bookmarkStart w:id="192" w:name="_Toc121496340"/>
      <w:bookmarkStart w:id="193" w:name="_Toc121748006"/>
      <w:bookmarkStart w:id="194" w:name="_Toc133435359"/>
      <w:r w:rsidRPr="003B11BD">
        <w:rPr>
          <w:noProof/>
          <w:lang w:val="en-IE"/>
        </w:rPr>
        <w:t>Specific objectives</w:t>
      </w:r>
      <w:bookmarkEnd w:id="189"/>
      <w:bookmarkEnd w:id="190"/>
      <w:bookmarkEnd w:id="191"/>
      <w:bookmarkEnd w:id="192"/>
      <w:bookmarkEnd w:id="193"/>
      <w:bookmarkEnd w:id="194"/>
    </w:p>
    <w:p w14:paraId="24B2D0CB" w14:textId="77768F4A" w:rsidR="00C15112" w:rsidRPr="003B11BD" w:rsidRDefault="3B26D1B1" w:rsidP="00810A68">
      <w:pPr>
        <w:rPr>
          <w:noProof/>
          <w:lang w:val="en-IE"/>
        </w:rPr>
      </w:pPr>
      <w:r w:rsidRPr="003B11BD">
        <w:rPr>
          <w:noProof/>
          <w:lang w:val="en-IE"/>
        </w:rPr>
        <w:t xml:space="preserve">With a view of creating a convergent, predictable and workable compulsory licensing system in the EU for crisis management, </w:t>
      </w:r>
      <w:r w:rsidR="214AAF8C" w:rsidRPr="003B11BD">
        <w:rPr>
          <w:noProof/>
          <w:lang w:val="en-IE"/>
        </w:rPr>
        <w:t>both for the domestic market and for export purposes</w:t>
      </w:r>
      <w:r w:rsidR="0D07ACB2" w:rsidRPr="003B11BD">
        <w:rPr>
          <w:noProof/>
          <w:lang w:val="en-IE"/>
        </w:rPr>
        <w:t xml:space="preserve"> to </w:t>
      </w:r>
      <w:r w:rsidR="002D606C" w:rsidRPr="003B11BD">
        <w:rPr>
          <w:noProof/>
          <w:lang w:val="en-IE"/>
        </w:rPr>
        <w:t xml:space="preserve">non-EU </w:t>
      </w:r>
      <w:r w:rsidR="0D07ACB2" w:rsidRPr="003B11BD">
        <w:rPr>
          <w:noProof/>
          <w:lang w:val="en-IE"/>
        </w:rPr>
        <w:t>countries</w:t>
      </w:r>
      <w:r w:rsidR="214AAF8C" w:rsidRPr="003B11BD">
        <w:rPr>
          <w:noProof/>
          <w:lang w:val="en-IE"/>
        </w:rPr>
        <w:t xml:space="preserve">, </w:t>
      </w:r>
      <w:r w:rsidRPr="003B11BD">
        <w:rPr>
          <w:noProof/>
          <w:lang w:val="en-IE"/>
        </w:rPr>
        <w:t xml:space="preserve">the </w:t>
      </w:r>
      <w:r w:rsidR="6E013714" w:rsidRPr="003B11BD">
        <w:rPr>
          <w:noProof/>
          <w:lang w:val="en-IE"/>
        </w:rPr>
        <w:t>specific objective</w:t>
      </w:r>
      <w:r w:rsidR="092C46A6" w:rsidRPr="003B11BD">
        <w:rPr>
          <w:noProof/>
          <w:lang w:val="en-IE"/>
        </w:rPr>
        <w:t>s (‘SO’)</w:t>
      </w:r>
      <w:r w:rsidR="6E013714" w:rsidRPr="003B11BD">
        <w:rPr>
          <w:noProof/>
          <w:lang w:val="en-IE"/>
        </w:rPr>
        <w:t xml:space="preserve"> would aim at</w:t>
      </w:r>
      <w:r w:rsidRPr="003B11BD">
        <w:rPr>
          <w:noProof/>
          <w:lang w:val="en-IE"/>
        </w:rPr>
        <w:t>:</w:t>
      </w:r>
    </w:p>
    <w:p w14:paraId="6ABD7CF8" w14:textId="2A8E1585" w:rsidR="00C15112" w:rsidRPr="003B11BD" w:rsidRDefault="3B26D1B1" w:rsidP="004C618F">
      <w:pPr>
        <w:pStyle w:val="Bullets"/>
        <w:rPr>
          <w:noProof/>
        </w:rPr>
      </w:pPr>
      <w:r w:rsidRPr="003B11BD">
        <w:rPr>
          <w:noProof/>
        </w:rPr>
        <w:t xml:space="preserve">SO1: </w:t>
      </w:r>
      <w:r w:rsidR="00C412C4" w:rsidRPr="003B11BD">
        <w:rPr>
          <w:noProof/>
        </w:rPr>
        <w:t xml:space="preserve">Improve the </w:t>
      </w:r>
      <w:r w:rsidR="3587693D" w:rsidRPr="003B11BD">
        <w:rPr>
          <w:noProof/>
        </w:rPr>
        <w:t xml:space="preserve">key features of </w:t>
      </w:r>
      <w:r w:rsidR="6EB20A8C" w:rsidRPr="003B11BD">
        <w:rPr>
          <w:noProof/>
        </w:rPr>
        <w:t>compulsory licensing</w:t>
      </w:r>
      <w:r w:rsidR="3587693D" w:rsidRPr="003B11BD">
        <w:rPr>
          <w:noProof/>
        </w:rPr>
        <w:t xml:space="preserve">, such as </w:t>
      </w:r>
      <w:r w:rsidRPr="003B11BD">
        <w:rPr>
          <w:noProof/>
        </w:rPr>
        <w:t xml:space="preserve">the </w:t>
      </w:r>
      <w:r w:rsidR="3587693D" w:rsidRPr="003B11BD">
        <w:rPr>
          <w:noProof/>
        </w:rPr>
        <w:t xml:space="preserve">trigger, </w:t>
      </w:r>
      <w:r w:rsidRPr="003B11BD">
        <w:rPr>
          <w:noProof/>
        </w:rPr>
        <w:t>scope and conditions</w:t>
      </w:r>
      <w:r w:rsidR="78FFB636" w:rsidRPr="003B11BD">
        <w:rPr>
          <w:noProof/>
        </w:rPr>
        <w:t xml:space="preserve"> of compulsory licen</w:t>
      </w:r>
      <w:r w:rsidR="211F1BB1" w:rsidRPr="003B11BD">
        <w:rPr>
          <w:noProof/>
        </w:rPr>
        <w:t>sing</w:t>
      </w:r>
      <w:r w:rsidRPr="003B11BD">
        <w:rPr>
          <w:noProof/>
        </w:rPr>
        <w:t xml:space="preserve">, </w:t>
      </w:r>
      <w:r w:rsidR="3714DDA2" w:rsidRPr="003B11BD">
        <w:rPr>
          <w:noProof/>
        </w:rPr>
        <w:t xml:space="preserve">as well as </w:t>
      </w:r>
      <w:r w:rsidR="12E28A7F" w:rsidRPr="003B11BD">
        <w:rPr>
          <w:noProof/>
        </w:rPr>
        <w:t>improve</w:t>
      </w:r>
      <w:r w:rsidR="7CA42DF0" w:rsidRPr="003B11BD">
        <w:rPr>
          <w:noProof/>
        </w:rPr>
        <w:t xml:space="preserve"> </w:t>
      </w:r>
      <w:r w:rsidRPr="003B11BD">
        <w:rPr>
          <w:noProof/>
        </w:rPr>
        <w:t xml:space="preserve">the </w:t>
      </w:r>
      <w:r w:rsidR="60FB13E4" w:rsidRPr="003B11BD">
        <w:rPr>
          <w:noProof/>
        </w:rPr>
        <w:t xml:space="preserve">coherence </w:t>
      </w:r>
      <w:r w:rsidRPr="003B11BD">
        <w:rPr>
          <w:noProof/>
        </w:rPr>
        <w:t xml:space="preserve">of compulsory licensing in the EU </w:t>
      </w:r>
      <w:r w:rsidR="3714DDA2" w:rsidRPr="003B11BD">
        <w:rPr>
          <w:noProof/>
        </w:rPr>
        <w:t xml:space="preserve">to improve its effectiveness and efficiency </w:t>
      </w:r>
      <w:r w:rsidRPr="003B11BD">
        <w:rPr>
          <w:noProof/>
        </w:rPr>
        <w:t xml:space="preserve">in a crisis. This objective would </w:t>
      </w:r>
      <w:r w:rsidR="4BDA5910" w:rsidRPr="003B11BD">
        <w:rPr>
          <w:noProof/>
        </w:rPr>
        <w:t>in other words aim</w:t>
      </w:r>
      <w:r w:rsidRPr="003B11BD">
        <w:rPr>
          <w:noProof/>
        </w:rPr>
        <w:t xml:space="preserve"> at reducing the fragmentation</w:t>
      </w:r>
      <w:r w:rsidR="4C5A3BBF" w:rsidRPr="003B11BD">
        <w:rPr>
          <w:noProof/>
        </w:rPr>
        <w:t>. This would mainly concern the domestic market as</w:t>
      </w:r>
      <w:r w:rsidR="3FA11E4D" w:rsidRPr="003B11BD">
        <w:rPr>
          <w:noProof/>
        </w:rPr>
        <w:t xml:space="preserve"> R</w:t>
      </w:r>
      <w:r w:rsidR="6509C59C" w:rsidRPr="003B11BD">
        <w:rPr>
          <w:noProof/>
        </w:rPr>
        <w:t>egulation</w:t>
      </w:r>
      <w:r w:rsidR="3FA11E4D" w:rsidRPr="003B11BD">
        <w:rPr>
          <w:noProof/>
        </w:rPr>
        <w:t xml:space="preserve"> (EC)</w:t>
      </w:r>
      <w:r w:rsidR="6509C59C" w:rsidRPr="003B11BD">
        <w:rPr>
          <w:noProof/>
        </w:rPr>
        <w:t xml:space="preserve"> 816/2006 already provides for harmonisation of compulsory licensing for export purposes</w:t>
      </w:r>
      <w:r w:rsidR="728266A2" w:rsidRPr="003B11BD">
        <w:rPr>
          <w:noProof/>
        </w:rPr>
        <w:t xml:space="preserve"> to </w:t>
      </w:r>
      <w:r w:rsidR="002D606C" w:rsidRPr="003B11BD">
        <w:rPr>
          <w:noProof/>
        </w:rPr>
        <w:t xml:space="preserve">non-EU </w:t>
      </w:r>
      <w:r w:rsidR="728266A2" w:rsidRPr="003B11BD">
        <w:rPr>
          <w:noProof/>
        </w:rPr>
        <w:t>countries</w:t>
      </w:r>
      <w:r w:rsidR="3714DDA2" w:rsidRPr="003B11BD">
        <w:rPr>
          <w:noProof/>
        </w:rPr>
        <w:t>;</w:t>
      </w:r>
      <w:r w:rsidRPr="003B11BD">
        <w:rPr>
          <w:noProof/>
        </w:rPr>
        <w:t xml:space="preserve"> </w:t>
      </w:r>
    </w:p>
    <w:p w14:paraId="282C82F2" w14:textId="31F068D1" w:rsidR="00C15112" w:rsidRPr="003B11BD" w:rsidRDefault="3B26D1B1" w:rsidP="00C412C4">
      <w:pPr>
        <w:pStyle w:val="Bullets"/>
        <w:rPr>
          <w:noProof/>
        </w:rPr>
      </w:pPr>
      <w:r w:rsidRPr="003B11BD">
        <w:rPr>
          <w:noProof/>
        </w:rPr>
        <w:t xml:space="preserve">SO2: </w:t>
      </w:r>
      <w:r w:rsidR="00C412C4" w:rsidRPr="003B11BD">
        <w:rPr>
          <w:noProof/>
        </w:rPr>
        <w:t xml:space="preserve">Ensure that the territorial reach of a compulsory licence, including for export purposes, can accommodate the reality of cross-border value </w:t>
      </w:r>
      <w:r w:rsidR="003B11BD" w:rsidRPr="003B11BD">
        <w:rPr>
          <w:noProof/>
        </w:rPr>
        <w:t>chains operating in the Single M</w:t>
      </w:r>
      <w:r w:rsidR="00C412C4" w:rsidRPr="003B11BD">
        <w:rPr>
          <w:noProof/>
        </w:rPr>
        <w:t>arket</w:t>
      </w:r>
      <w:r w:rsidR="654848DF" w:rsidRPr="003B11BD">
        <w:rPr>
          <w:noProof/>
        </w:rPr>
        <w:t xml:space="preserve">. This objective does not aim at making compulsory licensing more frequent but rather ensuring that </w:t>
      </w:r>
      <w:r w:rsidR="01E3B01D" w:rsidRPr="003B11BD">
        <w:rPr>
          <w:noProof/>
        </w:rPr>
        <w:t>the</w:t>
      </w:r>
      <w:r w:rsidR="654848DF" w:rsidRPr="003B11BD">
        <w:rPr>
          <w:noProof/>
        </w:rPr>
        <w:t xml:space="preserve"> territorial reach </w:t>
      </w:r>
      <w:r w:rsidR="01E3B01D" w:rsidRPr="003B11BD">
        <w:rPr>
          <w:noProof/>
        </w:rPr>
        <w:t>of a compulsory licence</w:t>
      </w:r>
      <w:r w:rsidR="5784284F" w:rsidRPr="003B11BD">
        <w:rPr>
          <w:noProof/>
        </w:rPr>
        <w:t>, including for export purposes</w:t>
      </w:r>
      <w:r w:rsidR="0F091F8B" w:rsidRPr="003B11BD">
        <w:rPr>
          <w:noProof/>
        </w:rPr>
        <w:t xml:space="preserve"> to </w:t>
      </w:r>
      <w:r w:rsidR="002D606C" w:rsidRPr="003B11BD">
        <w:rPr>
          <w:noProof/>
        </w:rPr>
        <w:t xml:space="preserve">non-EU </w:t>
      </w:r>
      <w:r w:rsidR="0F091F8B" w:rsidRPr="003B11BD">
        <w:rPr>
          <w:noProof/>
        </w:rPr>
        <w:t>countries</w:t>
      </w:r>
      <w:r w:rsidR="5784284F" w:rsidRPr="003B11BD">
        <w:rPr>
          <w:noProof/>
        </w:rPr>
        <w:t>,</w:t>
      </w:r>
      <w:r w:rsidR="01E3B01D" w:rsidRPr="003B11BD">
        <w:rPr>
          <w:noProof/>
        </w:rPr>
        <w:t xml:space="preserve"> </w:t>
      </w:r>
      <w:r w:rsidR="654848DF" w:rsidRPr="003B11BD">
        <w:rPr>
          <w:noProof/>
        </w:rPr>
        <w:t>is adequate to the reality of cross-border value chains operating in the Single Market</w:t>
      </w:r>
      <w:r w:rsidR="01E3B01D" w:rsidRPr="003B11BD">
        <w:rPr>
          <w:noProof/>
        </w:rPr>
        <w:t>;</w:t>
      </w:r>
      <w:r w:rsidRPr="003B11BD">
        <w:rPr>
          <w:noProof/>
        </w:rPr>
        <w:t xml:space="preserve"> </w:t>
      </w:r>
    </w:p>
    <w:p w14:paraId="58A815D6" w14:textId="4FBF831C" w:rsidR="009B73F5" w:rsidRPr="003B11BD" w:rsidRDefault="3B26D1B1" w:rsidP="004C618F">
      <w:pPr>
        <w:pStyle w:val="Bullets"/>
        <w:rPr>
          <w:noProof/>
        </w:rPr>
      </w:pPr>
      <w:r w:rsidRPr="003B11BD">
        <w:rPr>
          <w:noProof/>
        </w:rPr>
        <w:t xml:space="preserve">SO3: </w:t>
      </w:r>
      <w:r w:rsidR="00601659" w:rsidRPr="003B11BD">
        <w:rPr>
          <w:noProof/>
        </w:rPr>
        <w:t>Support EU resilience by improving the coordination</w:t>
      </w:r>
      <w:r w:rsidR="002E48F6" w:rsidRPr="003B11BD">
        <w:rPr>
          <w:noProof/>
        </w:rPr>
        <w:t>,</w:t>
      </w:r>
      <w:r w:rsidR="00601659" w:rsidRPr="003B11BD">
        <w:rPr>
          <w:noProof/>
        </w:rPr>
        <w:t xml:space="preserve"> streamlining the decision making and allowing compulsory licences to better complement EU action in crises, </w:t>
      </w:r>
      <w:r w:rsidR="00F70B89" w:rsidRPr="003B11BD">
        <w:rPr>
          <w:noProof/>
        </w:rPr>
        <w:t xml:space="preserve">including for export purposes to </w:t>
      </w:r>
      <w:r w:rsidR="002D606C" w:rsidRPr="003B11BD">
        <w:rPr>
          <w:noProof/>
        </w:rPr>
        <w:t xml:space="preserve">non-EU </w:t>
      </w:r>
      <w:r w:rsidR="00F70B89" w:rsidRPr="003B11BD">
        <w:rPr>
          <w:noProof/>
        </w:rPr>
        <w:t>countries</w:t>
      </w:r>
      <w:r w:rsidR="00F106B7" w:rsidRPr="003B11BD">
        <w:rPr>
          <w:noProof/>
        </w:rPr>
        <w:t xml:space="preserve">. This objective would also </w:t>
      </w:r>
      <w:r w:rsidR="00536E13" w:rsidRPr="003B11BD">
        <w:rPr>
          <w:noProof/>
        </w:rPr>
        <w:t>aim at ensuring</w:t>
      </w:r>
      <w:r w:rsidR="00F106B7" w:rsidRPr="003B11BD">
        <w:rPr>
          <w:noProof/>
        </w:rPr>
        <w:t xml:space="preserve"> </w:t>
      </w:r>
      <w:r w:rsidR="008A3EB6" w:rsidRPr="003B11BD">
        <w:rPr>
          <w:noProof/>
        </w:rPr>
        <w:t xml:space="preserve">adequate </w:t>
      </w:r>
      <w:r w:rsidR="00F106B7" w:rsidRPr="003B11BD">
        <w:rPr>
          <w:noProof/>
        </w:rPr>
        <w:t xml:space="preserve">coherence </w:t>
      </w:r>
      <w:r w:rsidR="008815BC" w:rsidRPr="003B11BD">
        <w:rPr>
          <w:noProof/>
        </w:rPr>
        <w:t xml:space="preserve">between </w:t>
      </w:r>
      <w:r w:rsidR="003F2E3C" w:rsidRPr="003B11BD">
        <w:rPr>
          <w:noProof/>
        </w:rPr>
        <w:t xml:space="preserve">(national) compulsory licensing schemes </w:t>
      </w:r>
      <w:r w:rsidR="008A3EB6" w:rsidRPr="003B11BD">
        <w:rPr>
          <w:noProof/>
        </w:rPr>
        <w:t xml:space="preserve">and </w:t>
      </w:r>
      <w:r w:rsidR="00F106B7" w:rsidRPr="003B11BD">
        <w:rPr>
          <w:noProof/>
        </w:rPr>
        <w:t>EU crisis instruments.</w:t>
      </w:r>
      <w:r w:rsidR="009B73F5" w:rsidRPr="003B11BD">
        <w:rPr>
          <w:noProof/>
        </w:rPr>
        <w:t xml:space="preserve"> </w:t>
      </w:r>
    </w:p>
    <w:p w14:paraId="0EEA1AC2" w14:textId="1BCA0400" w:rsidR="006B087E" w:rsidRPr="003B11BD" w:rsidRDefault="006B087E" w:rsidP="000E3086">
      <w:pPr>
        <w:pStyle w:val="Heading1"/>
        <w:rPr>
          <w:noProof/>
          <w:lang w:val="en-IE"/>
        </w:rPr>
      </w:pPr>
      <w:bookmarkStart w:id="195" w:name="_Toc120731212"/>
      <w:bookmarkStart w:id="196" w:name="_Toc121386371"/>
      <w:bookmarkStart w:id="197" w:name="_Toc121489589"/>
      <w:bookmarkStart w:id="198" w:name="_Toc121496341"/>
      <w:bookmarkStart w:id="199" w:name="_Toc121748007"/>
      <w:bookmarkStart w:id="200" w:name="_Toc133435360"/>
      <w:r w:rsidRPr="003B11BD">
        <w:rPr>
          <w:noProof/>
          <w:lang w:val="en-IE"/>
        </w:rPr>
        <w:t>What are the available policy options?</w:t>
      </w:r>
      <w:bookmarkEnd w:id="195"/>
      <w:bookmarkEnd w:id="196"/>
      <w:bookmarkEnd w:id="197"/>
      <w:bookmarkEnd w:id="198"/>
      <w:bookmarkEnd w:id="199"/>
      <w:bookmarkEnd w:id="200"/>
    </w:p>
    <w:p w14:paraId="202BBFD4" w14:textId="5D788321" w:rsidR="006B087E" w:rsidRPr="003B11BD" w:rsidRDefault="006B087E" w:rsidP="000E3086">
      <w:pPr>
        <w:pStyle w:val="Heading2"/>
        <w:rPr>
          <w:noProof/>
          <w:lang w:val="en-IE"/>
        </w:rPr>
      </w:pPr>
      <w:bookmarkStart w:id="201" w:name="_Toc121748008"/>
      <w:bookmarkStart w:id="202" w:name="_Toc120731213"/>
      <w:bookmarkStart w:id="203" w:name="_Toc121386372"/>
      <w:bookmarkStart w:id="204" w:name="_Toc121489590"/>
      <w:bookmarkStart w:id="205" w:name="_Toc121496342"/>
      <w:bookmarkStart w:id="206" w:name="_Toc133435361"/>
      <w:r w:rsidRPr="003B11BD">
        <w:rPr>
          <w:noProof/>
          <w:lang w:val="en-IE"/>
        </w:rPr>
        <w:t>What is the baseline from which options are assessed?</w:t>
      </w:r>
      <w:bookmarkEnd w:id="201"/>
      <w:bookmarkEnd w:id="202"/>
      <w:bookmarkEnd w:id="203"/>
      <w:bookmarkEnd w:id="204"/>
      <w:bookmarkEnd w:id="205"/>
      <w:bookmarkEnd w:id="206"/>
    </w:p>
    <w:p w14:paraId="7446082A" w14:textId="3FB17B8A" w:rsidR="00775EED" w:rsidRPr="003B11BD" w:rsidRDefault="00810A68" w:rsidP="00C9787B">
      <w:pPr>
        <w:rPr>
          <w:noProof/>
          <w:lang w:val="en-IE"/>
        </w:rPr>
      </w:pPr>
      <w:r w:rsidRPr="003B11BD">
        <w:rPr>
          <w:noProof/>
          <w:lang w:val="en-IE"/>
        </w:rPr>
        <w:t xml:space="preserve">Under the </w:t>
      </w:r>
      <w:r w:rsidR="6FDE3E89" w:rsidRPr="003B11BD">
        <w:rPr>
          <w:noProof/>
          <w:lang w:val="en-IE"/>
        </w:rPr>
        <w:t>baseline scenario</w:t>
      </w:r>
      <w:r w:rsidR="50563705" w:rsidRPr="003B11BD">
        <w:rPr>
          <w:noProof/>
          <w:lang w:val="en-IE"/>
        </w:rPr>
        <w:t xml:space="preserve"> </w:t>
      </w:r>
      <w:r w:rsidRPr="003B11BD">
        <w:rPr>
          <w:noProof/>
          <w:lang w:val="en-IE"/>
        </w:rPr>
        <w:t>(</w:t>
      </w:r>
      <w:r w:rsidR="50563705" w:rsidRPr="003B11BD">
        <w:rPr>
          <w:i/>
          <w:iCs/>
          <w:noProof/>
          <w:lang w:val="en-IE"/>
        </w:rPr>
        <w:t>status quo</w:t>
      </w:r>
      <w:r w:rsidRPr="003B11BD">
        <w:rPr>
          <w:noProof/>
          <w:lang w:val="en-IE"/>
        </w:rPr>
        <w:t>) t</w:t>
      </w:r>
      <w:r w:rsidR="6FDE3E89" w:rsidRPr="003B11BD">
        <w:rPr>
          <w:noProof/>
          <w:lang w:val="en-IE"/>
        </w:rPr>
        <w:t xml:space="preserve">he </w:t>
      </w:r>
      <w:r w:rsidR="00DC860A" w:rsidRPr="003B11BD">
        <w:rPr>
          <w:noProof/>
          <w:lang w:val="en-IE"/>
        </w:rPr>
        <w:t>compulsory licensing</w:t>
      </w:r>
      <w:r w:rsidR="6FDE3E89" w:rsidRPr="003B11BD">
        <w:rPr>
          <w:noProof/>
          <w:lang w:val="en-IE"/>
        </w:rPr>
        <w:t xml:space="preserve"> system in the EU </w:t>
      </w:r>
      <w:r w:rsidR="092C46A6" w:rsidRPr="003B11BD">
        <w:rPr>
          <w:noProof/>
          <w:lang w:val="en-IE"/>
        </w:rPr>
        <w:t xml:space="preserve">would </w:t>
      </w:r>
      <w:r w:rsidR="6FDE3E89" w:rsidRPr="003B11BD">
        <w:rPr>
          <w:noProof/>
          <w:lang w:val="en-IE"/>
        </w:rPr>
        <w:t xml:space="preserve">continue to operate </w:t>
      </w:r>
      <w:r w:rsidR="1EBA0A74" w:rsidRPr="003B11BD">
        <w:rPr>
          <w:noProof/>
          <w:lang w:val="en-IE"/>
        </w:rPr>
        <w:t>based on</w:t>
      </w:r>
      <w:r w:rsidR="6FDE3E89" w:rsidRPr="003B11BD">
        <w:rPr>
          <w:noProof/>
          <w:lang w:val="en-IE"/>
        </w:rPr>
        <w:t xml:space="preserve"> the existing national rules and </w:t>
      </w:r>
      <w:r w:rsidR="2D263C7B" w:rsidRPr="003B11BD">
        <w:rPr>
          <w:noProof/>
          <w:lang w:val="en-IE"/>
        </w:rPr>
        <w:t>Regulation (EC) No 816/2006</w:t>
      </w:r>
      <w:r w:rsidR="6FDE3E89" w:rsidRPr="003B11BD">
        <w:rPr>
          <w:noProof/>
          <w:lang w:val="en-IE"/>
        </w:rPr>
        <w:t>.</w:t>
      </w:r>
      <w:r w:rsidR="5E4734B7" w:rsidRPr="003B11BD">
        <w:rPr>
          <w:noProof/>
          <w:lang w:val="en-IE"/>
        </w:rPr>
        <w:t xml:space="preserve"> As a result, </w:t>
      </w:r>
      <w:r w:rsidR="176EB4B3" w:rsidRPr="003B11BD">
        <w:rPr>
          <w:noProof/>
          <w:lang w:val="en-IE"/>
        </w:rPr>
        <w:t xml:space="preserve">compulsory licensing schemes for crisis management </w:t>
      </w:r>
      <w:r w:rsidR="092C46A6" w:rsidRPr="003B11BD">
        <w:rPr>
          <w:noProof/>
          <w:lang w:val="en-IE"/>
        </w:rPr>
        <w:t>would</w:t>
      </w:r>
      <w:r w:rsidR="176EB4B3" w:rsidRPr="003B11BD">
        <w:rPr>
          <w:noProof/>
          <w:lang w:val="en-IE"/>
        </w:rPr>
        <w:t xml:space="preserve"> remain purely national, </w:t>
      </w:r>
      <w:r w:rsidR="4A9F8642" w:rsidRPr="003B11BD">
        <w:rPr>
          <w:noProof/>
          <w:lang w:val="en-IE"/>
        </w:rPr>
        <w:t>also</w:t>
      </w:r>
      <w:r w:rsidR="176EB4B3" w:rsidRPr="003B11BD">
        <w:rPr>
          <w:noProof/>
          <w:lang w:val="en-IE"/>
        </w:rPr>
        <w:t xml:space="preserve"> for cross-border or EU-wide crises. There w</w:t>
      </w:r>
      <w:r w:rsidR="092C46A6" w:rsidRPr="003B11BD">
        <w:rPr>
          <w:noProof/>
          <w:lang w:val="en-IE"/>
        </w:rPr>
        <w:t xml:space="preserve">ould </w:t>
      </w:r>
      <w:r w:rsidR="176EB4B3" w:rsidRPr="003B11BD">
        <w:rPr>
          <w:noProof/>
          <w:lang w:val="en-IE"/>
        </w:rPr>
        <w:t xml:space="preserve">be no coordination between Member States </w:t>
      </w:r>
      <w:r w:rsidR="5FCA6D0B" w:rsidRPr="003B11BD">
        <w:rPr>
          <w:noProof/>
          <w:lang w:val="en-IE"/>
        </w:rPr>
        <w:t>and</w:t>
      </w:r>
      <w:r w:rsidR="176EB4B3" w:rsidRPr="003B11BD">
        <w:rPr>
          <w:noProof/>
          <w:lang w:val="en-IE"/>
        </w:rPr>
        <w:t xml:space="preserve"> compulsory licensing </w:t>
      </w:r>
      <w:r w:rsidR="5FCA6D0B" w:rsidRPr="003B11BD">
        <w:rPr>
          <w:noProof/>
          <w:lang w:val="en-IE"/>
        </w:rPr>
        <w:t>w</w:t>
      </w:r>
      <w:r w:rsidR="092C46A6" w:rsidRPr="003B11BD">
        <w:rPr>
          <w:noProof/>
          <w:lang w:val="en-IE"/>
        </w:rPr>
        <w:t>ould</w:t>
      </w:r>
      <w:r w:rsidR="5FCA6D0B" w:rsidRPr="003B11BD">
        <w:rPr>
          <w:noProof/>
          <w:lang w:val="en-IE"/>
        </w:rPr>
        <w:t xml:space="preserve"> remain</w:t>
      </w:r>
      <w:r w:rsidR="176EB4B3" w:rsidRPr="003B11BD">
        <w:rPr>
          <w:noProof/>
          <w:lang w:val="en-IE"/>
        </w:rPr>
        <w:t xml:space="preserve"> mainly applicable to national </w:t>
      </w:r>
      <w:r w:rsidR="5FCA6D0B" w:rsidRPr="003B11BD">
        <w:rPr>
          <w:noProof/>
          <w:lang w:val="en-IE"/>
        </w:rPr>
        <w:t xml:space="preserve">territories </w:t>
      </w:r>
      <w:r w:rsidR="176EB4B3" w:rsidRPr="003B11BD">
        <w:rPr>
          <w:noProof/>
          <w:lang w:val="en-IE"/>
        </w:rPr>
        <w:t xml:space="preserve">(and subject to possible restrictions such as embargos). </w:t>
      </w:r>
      <w:r w:rsidR="45C9A5B6" w:rsidRPr="003B11BD">
        <w:rPr>
          <w:noProof/>
          <w:lang w:val="en-IE"/>
        </w:rPr>
        <w:t>T</w:t>
      </w:r>
      <w:r w:rsidR="176EB4B3" w:rsidRPr="003B11BD">
        <w:rPr>
          <w:noProof/>
          <w:lang w:val="en-IE"/>
        </w:rPr>
        <w:t xml:space="preserve">his would result in </w:t>
      </w:r>
      <w:r w:rsidR="2393806D" w:rsidRPr="003B11BD">
        <w:rPr>
          <w:noProof/>
          <w:lang w:val="en-IE"/>
        </w:rPr>
        <w:t xml:space="preserve">maintaining </w:t>
      </w:r>
      <w:r w:rsidR="176EB4B3" w:rsidRPr="003B11BD">
        <w:rPr>
          <w:noProof/>
          <w:lang w:val="en-IE"/>
        </w:rPr>
        <w:t xml:space="preserve">an inefficient tool for addressing crises in the </w:t>
      </w:r>
      <w:r w:rsidR="063EB761" w:rsidRPr="003B11BD">
        <w:rPr>
          <w:noProof/>
          <w:lang w:val="en-IE"/>
        </w:rPr>
        <w:t>Single Market</w:t>
      </w:r>
      <w:r w:rsidR="176EB4B3" w:rsidRPr="003B11BD">
        <w:rPr>
          <w:noProof/>
          <w:lang w:val="en-IE"/>
        </w:rPr>
        <w:t xml:space="preserve">, unfit for the cross-border nature of EU supply chains. This option </w:t>
      </w:r>
      <w:r w:rsidR="4F4703D3" w:rsidRPr="003B11BD">
        <w:rPr>
          <w:noProof/>
          <w:lang w:val="en-IE"/>
        </w:rPr>
        <w:t>may lead to a situation that voluntary agreement is the only viable option</w:t>
      </w:r>
      <w:r w:rsidR="47A03F93" w:rsidRPr="003B11BD">
        <w:rPr>
          <w:noProof/>
          <w:lang w:val="en-IE"/>
        </w:rPr>
        <w:t xml:space="preserve"> or where Member States could only</w:t>
      </w:r>
      <w:r w:rsidR="176EB4B3" w:rsidRPr="003B11BD">
        <w:rPr>
          <w:noProof/>
          <w:lang w:val="en-IE"/>
        </w:rPr>
        <w:t xml:space="preserve"> rely on the goodwill of private economic operators and their willingness to enter into voluntary agreement</w:t>
      </w:r>
      <w:r w:rsidR="6240957D" w:rsidRPr="003B11BD">
        <w:rPr>
          <w:noProof/>
          <w:lang w:val="en-IE"/>
        </w:rPr>
        <w:t>s</w:t>
      </w:r>
      <w:r w:rsidRPr="003B11BD">
        <w:rPr>
          <w:noProof/>
          <w:lang w:val="en-IE"/>
        </w:rPr>
        <w:t xml:space="preserve">, </w:t>
      </w:r>
      <w:r w:rsidR="6AD70146" w:rsidRPr="003B11BD">
        <w:rPr>
          <w:noProof/>
          <w:lang w:val="en-IE"/>
        </w:rPr>
        <w:t>as</w:t>
      </w:r>
      <w:r w:rsidR="6240957D" w:rsidRPr="003B11BD">
        <w:rPr>
          <w:noProof/>
          <w:lang w:val="en-IE"/>
        </w:rPr>
        <w:t xml:space="preserve"> public authorities will not be able to leverage their bargaining position </w:t>
      </w:r>
      <w:r w:rsidR="3D3FBCE2" w:rsidRPr="003B11BD">
        <w:rPr>
          <w:noProof/>
          <w:lang w:val="en-IE"/>
        </w:rPr>
        <w:t>based on an optimal compulsory licensing scheme.</w:t>
      </w:r>
      <w:r w:rsidR="176EB4B3" w:rsidRPr="003B11BD">
        <w:rPr>
          <w:noProof/>
          <w:lang w:val="en-IE"/>
        </w:rPr>
        <w:t xml:space="preserve"> This option would </w:t>
      </w:r>
      <w:r w:rsidR="4A9F8642" w:rsidRPr="003B11BD">
        <w:rPr>
          <w:noProof/>
          <w:lang w:val="en-IE"/>
        </w:rPr>
        <w:t>neither</w:t>
      </w:r>
      <w:r w:rsidR="176EB4B3" w:rsidRPr="003B11BD">
        <w:rPr>
          <w:noProof/>
          <w:lang w:val="en-IE"/>
        </w:rPr>
        <w:t xml:space="preserve"> support the EU’s efforts in building tools to foster its resilience when facing crises</w:t>
      </w:r>
      <w:r w:rsidR="799A235A" w:rsidRPr="003B11BD">
        <w:rPr>
          <w:noProof/>
          <w:lang w:val="en-IE"/>
        </w:rPr>
        <w:t xml:space="preserve"> nor ensur</w:t>
      </w:r>
      <w:r w:rsidR="092C46A6" w:rsidRPr="003B11BD">
        <w:rPr>
          <w:noProof/>
          <w:lang w:val="en-IE"/>
        </w:rPr>
        <w:t>e</w:t>
      </w:r>
      <w:r w:rsidR="799A235A" w:rsidRPr="003B11BD">
        <w:rPr>
          <w:noProof/>
          <w:lang w:val="en-IE"/>
        </w:rPr>
        <w:t xml:space="preserve"> a</w:t>
      </w:r>
      <w:r w:rsidR="176EB4B3" w:rsidRPr="003B11BD">
        <w:rPr>
          <w:noProof/>
          <w:lang w:val="en-IE"/>
        </w:rPr>
        <w:t xml:space="preserve"> link between EU emergency instruments </w:t>
      </w:r>
      <w:r w:rsidRPr="003B11BD">
        <w:rPr>
          <w:noProof/>
          <w:lang w:val="en-IE"/>
        </w:rPr>
        <w:t>and compulsory licensing</w:t>
      </w:r>
      <w:r w:rsidR="176EB4B3" w:rsidRPr="003B11BD">
        <w:rPr>
          <w:noProof/>
          <w:lang w:val="en-IE"/>
        </w:rPr>
        <w:t>.</w:t>
      </w:r>
      <w:r w:rsidR="092C46A6" w:rsidRPr="003B11BD">
        <w:rPr>
          <w:noProof/>
          <w:lang w:val="en-IE"/>
        </w:rPr>
        <w:t xml:space="preserve"> </w:t>
      </w:r>
      <w:r w:rsidR="00981CC6" w:rsidRPr="003B11BD">
        <w:rPr>
          <w:noProof/>
          <w:lang w:val="en-IE"/>
        </w:rPr>
        <w:t>Furthermore, t</w:t>
      </w:r>
      <w:r w:rsidR="092C46A6" w:rsidRPr="003B11BD">
        <w:rPr>
          <w:noProof/>
          <w:lang w:val="en-IE"/>
        </w:rPr>
        <w:t>he following factors would</w:t>
      </w:r>
      <w:r w:rsidR="00981CC6" w:rsidRPr="003B11BD">
        <w:rPr>
          <w:noProof/>
          <w:lang w:val="en-IE"/>
        </w:rPr>
        <w:t xml:space="preserve"> </w:t>
      </w:r>
      <w:r w:rsidR="092C46A6" w:rsidRPr="003B11BD">
        <w:rPr>
          <w:noProof/>
          <w:lang w:val="en-IE"/>
        </w:rPr>
        <w:t xml:space="preserve">continue to affect stakeholders involved in a </w:t>
      </w:r>
      <w:r w:rsidR="717DF233" w:rsidRPr="003B11BD">
        <w:rPr>
          <w:noProof/>
          <w:lang w:val="en-IE"/>
        </w:rPr>
        <w:t>compulsory licensing</w:t>
      </w:r>
      <w:r w:rsidR="0D318565" w:rsidRPr="003B11BD">
        <w:rPr>
          <w:noProof/>
          <w:lang w:val="en-IE"/>
        </w:rPr>
        <w:t xml:space="preserve"> </w:t>
      </w:r>
      <w:r w:rsidR="092C46A6" w:rsidRPr="003B11BD">
        <w:rPr>
          <w:noProof/>
          <w:lang w:val="en-IE"/>
        </w:rPr>
        <w:t>procedure</w:t>
      </w:r>
      <w:r w:rsidR="663852E3" w:rsidRPr="003B11BD">
        <w:rPr>
          <w:noProof/>
          <w:lang w:val="en-IE"/>
        </w:rPr>
        <w:t xml:space="preserve"> </w:t>
      </w:r>
      <w:r w:rsidR="00981CC6" w:rsidRPr="003B11BD">
        <w:rPr>
          <w:noProof/>
          <w:lang w:val="en-IE"/>
        </w:rPr>
        <w:t xml:space="preserve">under the </w:t>
      </w:r>
      <w:r w:rsidR="00981CC6" w:rsidRPr="003B11BD">
        <w:rPr>
          <w:i/>
          <w:iCs/>
          <w:noProof/>
          <w:lang w:val="en-IE"/>
        </w:rPr>
        <w:t>status quo</w:t>
      </w:r>
      <w:r w:rsidR="00981CC6" w:rsidRPr="003B11BD">
        <w:rPr>
          <w:noProof/>
          <w:lang w:val="en-IE"/>
        </w:rPr>
        <w:t xml:space="preserve"> </w:t>
      </w:r>
      <w:r w:rsidR="341256CD" w:rsidRPr="003B11BD">
        <w:rPr>
          <w:noProof/>
          <w:lang w:val="en-IE"/>
        </w:rPr>
        <w:t>(Table 1)</w:t>
      </w:r>
      <w:r w:rsidR="1D7EE2ED" w:rsidRPr="003B11BD">
        <w:rPr>
          <w:noProof/>
          <w:lang w:val="en-IE"/>
        </w:rPr>
        <w:t>.</w:t>
      </w:r>
    </w:p>
    <w:p w14:paraId="60D570B8" w14:textId="7F85D57F" w:rsidR="00925917" w:rsidRPr="003B11BD" w:rsidRDefault="00925917" w:rsidP="00925917">
      <w:pPr>
        <w:pStyle w:val="Caption"/>
        <w:rPr>
          <w:noProof/>
          <w:lang w:val="en-IE"/>
        </w:rPr>
      </w:pPr>
      <w:bookmarkStart w:id="207" w:name="_Ref121240004"/>
      <w:bookmarkStart w:id="208" w:name="_Ref121487748"/>
      <w:r w:rsidRPr="003B11BD">
        <w:rPr>
          <w:noProof/>
          <w:lang w:val="en-IE"/>
        </w:rPr>
        <w:t xml:space="preserve">Table </w:t>
      </w:r>
      <w:bookmarkEnd w:id="207"/>
      <w:r w:rsidR="00C6592A">
        <w:rPr>
          <w:noProof/>
          <w:lang w:val="en-IE"/>
        </w:rPr>
        <w:t>1</w:t>
      </w:r>
      <w:bookmarkEnd w:id="208"/>
      <w:r w:rsidRPr="003B11BD">
        <w:rPr>
          <w:noProof/>
          <w:lang w:val="en-IE"/>
        </w:rPr>
        <w:t xml:space="preserve">: </w:t>
      </w:r>
      <w:r w:rsidR="00A81489" w:rsidRPr="003B11BD">
        <w:rPr>
          <w:noProof/>
          <w:lang w:val="en-IE"/>
        </w:rPr>
        <w:t>Key factors affecting stakeholders involved in</w:t>
      </w:r>
      <w:r w:rsidR="00E22A08" w:rsidRPr="003B11BD">
        <w:rPr>
          <w:noProof/>
          <w:lang w:val="en-IE"/>
        </w:rPr>
        <w:t xml:space="preserve"> </w:t>
      </w:r>
      <w:r w:rsidR="00E6068C" w:rsidRPr="003B11BD">
        <w:rPr>
          <w:noProof/>
          <w:lang w:val="en-IE"/>
        </w:rPr>
        <w:t xml:space="preserve">compulsory licensing </w:t>
      </w:r>
      <w:r w:rsidR="00E22A08" w:rsidRPr="003B11BD">
        <w:rPr>
          <w:noProof/>
          <w:lang w:val="en-IE"/>
        </w:rPr>
        <w:t>procedure</w:t>
      </w:r>
      <w:r w:rsidR="00965CFA" w:rsidRPr="003B11BD">
        <w:rPr>
          <w:noProof/>
          <w:lang w:val="en-IE"/>
        </w:rPr>
        <w:t xml:space="preserve"> </w:t>
      </w:r>
      <w:r w:rsidR="001C10F5" w:rsidRPr="003B11BD">
        <w:rPr>
          <w:noProof/>
          <w:lang w:val="en-IE"/>
        </w:rPr>
        <w:t xml:space="preserve">(relevant in a crisis situation) </w:t>
      </w:r>
      <w:r w:rsidR="00965CFA" w:rsidRPr="003B11BD">
        <w:rPr>
          <w:noProof/>
          <w:lang w:val="en-IE"/>
        </w:rPr>
        <w:t>-</w:t>
      </w:r>
      <w:r w:rsidRPr="003B11BD">
        <w:rPr>
          <w:noProof/>
          <w:lang w:val="en-IE"/>
        </w:rPr>
        <w:t xml:space="preserve"> the baseline</w:t>
      </w:r>
      <w:r w:rsidR="001C10F5" w:rsidRPr="003B11BD">
        <w:rPr>
          <w:noProof/>
          <w:lang w:val="en-IE"/>
        </w:rPr>
        <w:t xml:space="preserve"> </w:t>
      </w:r>
    </w:p>
    <w:tbl>
      <w:tblPr>
        <w:tblStyle w:val="TableGrid"/>
        <w:tblW w:w="8897" w:type="dxa"/>
        <w:tblLayout w:type="fixed"/>
        <w:tblLook w:val="04A0" w:firstRow="1" w:lastRow="0" w:firstColumn="1" w:lastColumn="0" w:noHBand="0" w:noVBand="1"/>
      </w:tblPr>
      <w:tblGrid>
        <w:gridCol w:w="1668"/>
        <w:gridCol w:w="7229"/>
      </w:tblGrid>
      <w:tr w:rsidR="00A81489" w:rsidRPr="003B11BD" w14:paraId="3D37643C" w14:textId="77777777" w:rsidTr="34EF0D43">
        <w:tc>
          <w:tcPr>
            <w:tcW w:w="1668" w:type="dxa"/>
            <w:tcBorders>
              <w:top w:val="single" w:sz="12" w:space="0" w:color="FFFFFF" w:themeColor="background1"/>
              <w:left w:val="single" w:sz="12" w:space="0" w:color="FFFFFF" w:themeColor="background1"/>
            </w:tcBorders>
          </w:tcPr>
          <w:p w14:paraId="77521D21" w14:textId="77777777" w:rsidR="00A81489" w:rsidRPr="003B11BD" w:rsidRDefault="00A81489" w:rsidP="00966222">
            <w:pPr>
              <w:pStyle w:val="NoSpacing"/>
              <w:rPr>
                <w:noProof/>
                <w:lang w:val="en-IE"/>
              </w:rPr>
            </w:pPr>
          </w:p>
        </w:tc>
        <w:tc>
          <w:tcPr>
            <w:tcW w:w="7229" w:type="dxa"/>
          </w:tcPr>
          <w:p w14:paraId="0BB1C0A0" w14:textId="2004D048" w:rsidR="00A81489" w:rsidRPr="003B11BD" w:rsidRDefault="00A81489" w:rsidP="00A81489">
            <w:pPr>
              <w:pStyle w:val="NoSpacing"/>
              <w:rPr>
                <w:b/>
                <w:noProof/>
                <w:lang w:val="en-IE"/>
              </w:rPr>
            </w:pPr>
            <w:r w:rsidRPr="003B11BD">
              <w:rPr>
                <w:b/>
                <w:noProof/>
                <w:lang w:val="en-IE"/>
              </w:rPr>
              <w:t>Key factors affecting stakeholders</w:t>
            </w:r>
          </w:p>
        </w:tc>
      </w:tr>
      <w:tr w:rsidR="00A81489" w:rsidRPr="003B11BD" w14:paraId="1B64964D" w14:textId="77777777" w:rsidTr="34EF0D43">
        <w:tc>
          <w:tcPr>
            <w:tcW w:w="1668" w:type="dxa"/>
          </w:tcPr>
          <w:p w14:paraId="110D2EC9" w14:textId="77777777" w:rsidR="00A81489" w:rsidRPr="003B11BD" w:rsidRDefault="00A81489" w:rsidP="00966222">
            <w:pPr>
              <w:pStyle w:val="NoSpacing"/>
              <w:rPr>
                <w:noProof/>
                <w:lang w:val="en-IE"/>
              </w:rPr>
            </w:pPr>
            <w:r w:rsidRPr="003B11BD">
              <w:rPr>
                <w:noProof/>
                <w:lang w:val="en-IE"/>
              </w:rPr>
              <w:t>Patent owners</w:t>
            </w:r>
          </w:p>
        </w:tc>
        <w:tc>
          <w:tcPr>
            <w:tcW w:w="7229" w:type="dxa"/>
          </w:tcPr>
          <w:p w14:paraId="22EE1939" w14:textId="39E911E6" w:rsidR="00A81489" w:rsidRPr="003B11BD" w:rsidRDefault="00A81489" w:rsidP="00925917">
            <w:pPr>
              <w:pStyle w:val="NoSpacing"/>
              <w:numPr>
                <w:ilvl w:val="0"/>
                <w:numId w:val="137"/>
              </w:numPr>
              <w:ind w:left="323"/>
              <w:rPr>
                <w:noProof/>
                <w:lang w:val="en-IE"/>
              </w:rPr>
            </w:pPr>
            <w:r w:rsidRPr="003B11BD">
              <w:rPr>
                <w:noProof/>
                <w:lang w:val="en-IE"/>
              </w:rPr>
              <w:t xml:space="preserve">Cost to participate in licensing negotiations in each jurisdiction, where the </w:t>
            </w:r>
            <w:r w:rsidR="00D830E1" w:rsidRPr="003B11BD">
              <w:rPr>
                <w:noProof/>
                <w:lang w:val="en-IE"/>
              </w:rPr>
              <w:t xml:space="preserve">compulsory licensing </w:t>
            </w:r>
            <w:r w:rsidRPr="003B11BD">
              <w:rPr>
                <w:noProof/>
                <w:lang w:val="en-IE"/>
              </w:rPr>
              <w:t>may be pending;</w:t>
            </w:r>
          </w:p>
          <w:p w14:paraId="1CD17552" w14:textId="05FEF214" w:rsidR="00634BD0" w:rsidRPr="003B11BD" w:rsidRDefault="00E949F1" w:rsidP="00845030">
            <w:pPr>
              <w:pStyle w:val="NoSpacing"/>
              <w:numPr>
                <w:ilvl w:val="0"/>
                <w:numId w:val="137"/>
              </w:numPr>
              <w:ind w:left="323"/>
              <w:rPr>
                <w:noProof/>
                <w:lang w:val="en-IE"/>
              </w:rPr>
            </w:pPr>
            <w:r w:rsidRPr="003B11BD">
              <w:rPr>
                <w:noProof/>
                <w:lang w:val="en-IE"/>
              </w:rPr>
              <w:t xml:space="preserve">Lack of </w:t>
            </w:r>
            <w:r w:rsidR="00EF4717" w:rsidRPr="003B11BD">
              <w:rPr>
                <w:noProof/>
                <w:lang w:val="en-IE"/>
              </w:rPr>
              <w:t xml:space="preserve">legal </w:t>
            </w:r>
            <w:r w:rsidRPr="003B11BD">
              <w:rPr>
                <w:noProof/>
                <w:lang w:val="en-IE"/>
              </w:rPr>
              <w:t>c</w:t>
            </w:r>
            <w:r w:rsidR="007A2ABE" w:rsidRPr="003B11BD">
              <w:rPr>
                <w:noProof/>
                <w:lang w:val="en-IE"/>
              </w:rPr>
              <w:t xml:space="preserve">ertainty </w:t>
            </w:r>
            <w:r w:rsidR="00EF4717" w:rsidRPr="003B11BD">
              <w:rPr>
                <w:noProof/>
                <w:lang w:val="en-IE"/>
              </w:rPr>
              <w:t xml:space="preserve">(e.g. </w:t>
            </w:r>
            <w:r w:rsidRPr="003B11BD">
              <w:rPr>
                <w:noProof/>
                <w:lang w:val="en-IE"/>
              </w:rPr>
              <w:t xml:space="preserve">on the </w:t>
            </w:r>
            <w:r w:rsidR="000D6BC0" w:rsidRPr="003B11BD">
              <w:rPr>
                <w:noProof/>
                <w:lang w:val="en-IE"/>
              </w:rPr>
              <w:t>scope</w:t>
            </w:r>
            <w:r w:rsidR="002857EE" w:rsidRPr="003B11BD">
              <w:rPr>
                <w:noProof/>
                <w:lang w:val="en-IE"/>
              </w:rPr>
              <w:t xml:space="preserve"> of </w:t>
            </w:r>
            <w:r w:rsidR="002D606C" w:rsidRPr="003B11BD">
              <w:rPr>
                <w:noProof/>
                <w:lang w:val="en-IE"/>
              </w:rPr>
              <w:t>compulsory licensing</w:t>
            </w:r>
            <w:r w:rsidR="000D6BC0" w:rsidRPr="003B11BD">
              <w:rPr>
                <w:noProof/>
                <w:lang w:val="en-IE"/>
              </w:rPr>
              <w:t xml:space="preserve">, </w:t>
            </w:r>
            <w:r w:rsidR="693DFA31" w:rsidRPr="003B11BD">
              <w:rPr>
                <w:noProof/>
                <w:lang w:val="en-IE"/>
              </w:rPr>
              <w:t>amount</w:t>
            </w:r>
            <w:r w:rsidRPr="003B11BD">
              <w:rPr>
                <w:noProof/>
                <w:lang w:val="en-IE"/>
              </w:rPr>
              <w:t xml:space="preserve"> of remuneration</w:t>
            </w:r>
            <w:r w:rsidR="00EF4717" w:rsidRPr="003B11BD">
              <w:rPr>
                <w:noProof/>
                <w:lang w:val="en-IE"/>
              </w:rPr>
              <w:t>)</w:t>
            </w:r>
            <w:r w:rsidRPr="003B11BD">
              <w:rPr>
                <w:noProof/>
                <w:lang w:val="en-IE"/>
              </w:rPr>
              <w:t xml:space="preserve"> </w:t>
            </w:r>
            <w:r w:rsidR="0062380B" w:rsidRPr="003B11BD">
              <w:rPr>
                <w:noProof/>
                <w:lang w:val="en-IE"/>
              </w:rPr>
              <w:t>due to fragmentation</w:t>
            </w:r>
            <w:r w:rsidR="002857EE" w:rsidRPr="003B11BD">
              <w:rPr>
                <w:noProof/>
                <w:lang w:val="en-IE"/>
              </w:rPr>
              <w:t>.</w:t>
            </w:r>
            <w:r w:rsidR="0062380B" w:rsidRPr="003B11BD">
              <w:rPr>
                <w:noProof/>
                <w:lang w:val="en-IE"/>
              </w:rPr>
              <w:t xml:space="preserve"> </w:t>
            </w:r>
          </w:p>
          <w:p w14:paraId="478D8643" w14:textId="691A7B22" w:rsidR="00A81489" w:rsidRPr="003B11BD" w:rsidRDefault="00634BD0" w:rsidP="00A96DF8">
            <w:pPr>
              <w:pStyle w:val="NoSpacing"/>
              <w:numPr>
                <w:ilvl w:val="0"/>
                <w:numId w:val="137"/>
              </w:numPr>
              <w:ind w:left="323"/>
              <w:rPr>
                <w:noProof/>
                <w:lang w:val="en-IE"/>
              </w:rPr>
            </w:pPr>
            <w:r w:rsidRPr="003B11BD">
              <w:rPr>
                <w:noProof/>
                <w:lang w:val="en-IE"/>
              </w:rPr>
              <w:t xml:space="preserve">Loss of control over patent rights in a </w:t>
            </w:r>
            <w:r w:rsidR="005E4F9D" w:rsidRPr="003B11BD">
              <w:rPr>
                <w:noProof/>
                <w:lang w:val="en-IE"/>
              </w:rPr>
              <w:t xml:space="preserve">EU country </w:t>
            </w:r>
            <w:r w:rsidRPr="003B11BD">
              <w:rPr>
                <w:noProof/>
                <w:lang w:val="en-IE"/>
              </w:rPr>
              <w:t>concerned.</w:t>
            </w:r>
          </w:p>
        </w:tc>
      </w:tr>
      <w:tr w:rsidR="00A81489" w:rsidRPr="003B11BD" w14:paraId="0D8E6D8D" w14:textId="77777777" w:rsidTr="34EF0D43">
        <w:tc>
          <w:tcPr>
            <w:tcW w:w="1668" w:type="dxa"/>
          </w:tcPr>
          <w:p w14:paraId="7CE6D944" w14:textId="77DB43D2" w:rsidR="00A81489" w:rsidRPr="003B11BD" w:rsidRDefault="00A81489" w:rsidP="00966222">
            <w:pPr>
              <w:pStyle w:val="NoSpacing"/>
              <w:rPr>
                <w:noProof/>
                <w:lang w:val="en-IE"/>
              </w:rPr>
            </w:pPr>
            <w:r w:rsidRPr="003B11BD">
              <w:rPr>
                <w:noProof/>
                <w:lang w:val="en-IE"/>
              </w:rPr>
              <w:t>Manufacturers – potential licensees</w:t>
            </w:r>
          </w:p>
        </w:tc>
        <w:tc>
          <w:tcPr>
            <w:tcW w:w="7229" w:type="dxa"/>
          </w:tcPr>
          <w:p w14:paraId="59821117" w14:textId="196C85EF" w:rsidR="00A81489" w:rsidRPr="003B11BD" w:rsidRDefault="00A81489" w:rsidP="00966222">
            <w:pPr>
              <w:pStyle w:val="NoSpacing"/>
              <w:numPr>
                <w:ilvl w:val="0"/>
                <w:numId w:val="137"/>
              </w:numPr>
              <w:ind w:left="323"/>
              <w:rPr>
                <w:noProof/>
                <w:lang w:val="en-IE"/>
              </w:rPr>
            </w:pPr>
            <w:r w:rsidRPr="003B11BD">
              <w:rPr>
                <w:noProof/>
                <w:lang w:val="en-IE"/>
              </w:rPr>
              <w:t xml:space="preserve">Cost to participate in licensing negotiations in each jurisdiction, where the </w:t>
            </w:r>
            <w:r w:rsidR="00D830E1" w:rsidRPr="003B11BD">
              <w:rPr>
                <w:noProof/>
                <w:lang w:val="en-IE"/>
              </w:rPr>
              <w:t xml:space="preserve">compulsory licensing </w:t>
            </w:r>
            <w:r w:rsidRPr="003B11BD">
              <w:rPr>
                <w:noProof/>
                <w:lang w:val="en-IE"/>
              </w:rPr>
              <w:t>may be pending.</w:t>
            </w:r>
          </w:p>
          <w:p w14:paraId="4AA741A7" w14:textId="1C4F0AC8" w:rsidR="00A81489" w:rsidRPr="003B11BD" w:rsidRDefault="00A81489" w:rsidP="00E949F1">
            <w:pPr>
              <w:pStyle w:val="NoSpacing"/>
              <w:numPr>
                <w:ilvl w:val="0"/>
                <w:numId w:val="137"/>
              </w:numPr>
              <w:ind w:left="323"/>
              <w:rPr>
                <w:noProof/>
                <w:lang w:val="en-IE"/>
              </w:rPr>
            </w:pPr>
            <w:r w:rsidRPr="003B11BD">
              <w:rPr>
                <w:noProof/>
                <w:lang w:val="en-IE"/>
              </w:rPr>
              <w:t>Cost of adapting the manufacturing facilities to the production of CL-covered item.</w:t>
            </w:r>
          </w:p>
        </w:tc>
      </w:tr>
      <w:tr w:rsidR="00A81489" w:rsidRPr="003B11BD" w14:paraId="28FD090B" w14:textId="77777777" w:rsidTr="34EF0D43">
        <w:tc>
          <w:tcPr>
            <w:tcW w:w="1668" w:type="dxa"/>
          </w:tcPr>
          <w:p w14:paraId="2C0D7172" w14:textId="339BDAAC" w:rsidR="00A81489" w:rsidRPr="003B11BD" w:rsidRDefault="00270487" w:rsidP="00966222">
            <w:pPr>
              <w:pStyle w:val="NoSpacing"/>
              <w:rPr>
                <w:noProof/>
                <w:lang w:val="en-IE"/>
              </w:rPr>
            </w:pPr>
            <w:r w:rsidRPr="003B11BD">
              <w:rPr>
                <w:noProof/>
                <w:lang w:val="en-IE"/>
              </w:rPr>
              <w:t>EU countries</w:t>
            </w:r>
          </w:p>
        </w:tc>
        <w:tc>
          <w:tcPr>
            <w:tcW w:w="7229" w:type="dxa"/>
          </w:tcPr>
          <w:p w14:paraId="5F94D239" w14:textId="2219D60D" w:rsidR="00A81489" w:rsidRPr="003B11BD" w:rsidRDefault="00A81489" w:rsidP="00E949F1">
            <w:pPr>
              <w:pStyle w:val="NoSpacing"/>
              <w:numPr>
                <w:ilvl w:val="0"/>
                <w:numId w:val="137"/>
              </w:numPr>
              <w:ind w:left="323"/>
              <w:rPr>
                <w:noProof/>
                <w:lang w:val="en-IE"/>
              </w:rPr>
            </w:pPr>
            <w:r w:rsidRPr="003B11BD">
              <w:rPr>
                <w:noProof/>
                <w:lang w:val="en-IE"/>
              </w:rPr>
              <w:t xml:space="preserve">Cost of launching and implementing the </w:t>
            </w:r>
            <w:r w:rsidR="00D830E1" w:rsidRPr="003B11BD">
              <w:rPr>
                <w:noProof/>
                <w:lang w:val="en-IE"/>
              </w:rPr>
              <w:t xml:space="preserve">compulsory licensing </w:t>
            </w:r>
            <w:r w:rsidRPr="003B11BD">
              <w:rPr>
                <w:noProof/>
                <w:lang w:val="en-IE"/>
              </w:rPr>
              <w:t>procedure (incl. negotiations with the patent holders and manufacturers).</w:t>
            </w:r>
          </w:p>
          <w:p w14:paraId="21B7F349" w14:textId="7ED38865" w:rsidR="00E22A08" w:rsidRPr="003B11BD" w:rsidRDefault="0BCA3D01" w:rsidP="00E949F1">
            <w:pPr>
              <w:pStyle w:val="NoSpacing"/>
              <w:numPr>
                <w:ilvl w:val="0"/>
                <w:numId w:val="137"/>
              </w:numPr>
              <w:ind w:left="323"/>
              <w:rPr>
                <w:noProof/>
                <w:lang w:val="en-IE"/>
              </w:rPr>
            </w:pPr>
            <w:r w:rsidRPr="003B11BD">
              <w:rPr>
                <w:noProof/>
                <w:lang w:val="en-IE"/>
              </w:rPr>
              <w:t>Crisis tackled individually</w:t>
            </w:r>
            <w:r w:rsidR="2AADCAA4" w:rsidRPr="003B11BD">
              <w:rPr>
                <w:noProof/>
                <w:lang w:val="en-IE"/>
              </w:rPr>
              <w:t xml:space="preserve">, </w:t>
            </w:r>
            <w:r w:rsidRPr="003B11BD">
              <w:rPr>
                <w:noProof/>
                <w:lang w:val="en-IE"/>
              </w:rPr>
              <w:t>less leverage</w:t>
            </w:r>
            <w:r w:rsidR="2AADCAA4" w:rsidRPr="003B11BD">
              <w:rPr>
                <w:noProof/>
                <w:lang w:val="en-IE"/>
              </w:rPr>
              <w:t>.</w:t>
            </w:r>
          </w:p>
        </w:tc>
      </w:tr>
      <w:tr w:rsidR="00A81489" w:rsidRPr="003B11BD" w14:paraId="02AE1CDA" w14:textId="77777777" w:rsidTr="34EF0D43">
        <w:tc>
          <w:tcPr>
            <w:tcW w:w="1668" w:type="dxa"/>
          </w:tcPr>
          <w:p w14:paraId="0E50B674" w14:textId="368B5FCE" w:rsidR="00A81489" w:rsidRPr="003B11BD" w:rsidRDefault="00A81489" w:rsidP="00966222">
            <w:pPr>
              <w:pStyle w:val="NoSpacing"/>
              <w:rPr>
                <w:noProof/>
                <w:lang w:val="en-IE"/>
              </w:rPr>
            </w:pPr>
            <w:r w:rsidRPr="003B11BD">
              <w:rPr>
                <w:noProof/>
                <w:lang w:val="en-IE"/>
              </w:rPr>
              <w:t>EU citizens</w:t>
            </w:r>
            <w:r w:rsidRPr="003B11BD" w:rsidDel="007A2ABE">
              <w:rPr>
                <w:noProof/>
                <w:lang w:val="en-IE"/>
              </w:rPr>
              <w:t xml:space="preserve"> </w:t>
            </w:r>
          </w:p>
        </w:tc>
        <w:tc>
          <w:tcPr>
            <w:tcW w:w="7229" w:type="dxa"/>
          </w:tcPr>
          <w:p w14:paraId="096BABE5" w14:textId="25D299AD" w:rsidR="00A81489" w:rsidRPr="003B11BD" w:rsidRDefault="069D37D9" w:rsidP="00A81489">
            <w:pPr>
              <w:pStyle w:val="NoSpacing"/>
              <w:numPr>
                <w:ilvl w:val="0"/>
                <w:numId w:val="137"/>
              </w:numPr>
              <w:ind w:left="323"/>
              <w:rPr>
                <w:noProof/>
                <w:lang w:val="en-IE"/>
              </w:rPr>
            </w:pPr>
            <w:r w:rsidRPr="003B11BD">
              <w:rPr>
                <w:noProof/>
                <w:lang w:val="en-IE"/>
              </w:rPr>
              <w:t xml:space="preserve">Risk of unavailability </w:t>
            </w:r>
            <w:r w:rsidR="71DA967C" w:rsidRPr="003B11BD">
              <w:rPr>
                <w:noProof/>
                <w:lang w:val="en-IE"/>
              </w:rPr>
              <w:t xml:space="preserve">or delays in supply </w:t>
            </w:r>
            <w:r w:rsidRPr="003B11BD">
              <w:rPr>
                <w:noProof/>
                <w:lang w:val="en-IE"/>
              </w:rPr>
              <w:t>of critical products during crisis.</w:t>
            </w:r>
          </w:p>
        </w:tc>
      </w:tr>
      <w:tr w:rsidR="00A81489" w:rsidRPr="003B11BD" w14:paraId="757990AD" w14:textId="77777777" w:rsidTr="34EF0D43">
        <w:tc>
          <w:tcPr>
            <w:tcW w:w="1668" w:type="dxa"/>
          </w:tcPr>
          <w:p w14:paraId="437DA5D3" w14:textId="11B48DB2" w:rsidR="00A81489" w:rsidRPr="003B11BD" w:rsidRDefault="00EF1136" w:rsidP="00AE2F28">
            <w:pPr>
              <w:pStyle w:val="NoSpacing"/>
              <w:rPr>
                <w:noProof/>
                <w:lang w:val="en-IE"/>
              </w:rPr>
            </w:pPr>
            <w:r w:rsidRPr="003B11BD">
              <w:rPr>
                <w:noProof/>
                <w:lang w:val="en-IE"/>
              </w:rPr>
              <w:t>Non-EU</w:t>
            </w:r>
            <w:r w:rsidR="00A81489" w:rsidRPr="003B11BD">
              <w:rPr>
                <w:noProof/>
                <w:lang w:val="en-IE"/>
              </w:rPr>
              <w:t xml:space="preserve"> countries</w:t>
            </w:r>
            <w:r w:rsidR="0098636D" w:rsidRPr="003B11BD">
              <w:rPr>
                <w:rStyle w:val="FootnoteReference"/>
                <w:noProof/>
                <w:lang w:val="en-IE"/>
              </w:rPr>
              <w:footnoteReference w:id="79"/>
            </w:r>
            <w:r w:rsidR="00A81489" w:rsidRPr="003B11BD">
              <w:rPr>
                <w:noProof/>
                <w:lang w:val="en-IE"/>
              </w:rPr>
              <w:t xml:space="preserve"> </w:t>
            </w:r>
          </w:p>
        </w:tc>
        <w:tc>
          <w:tcPr>
            <w:tcW w:w="7229" w:type="dxa"/>
          </w:tcPr>
          <w:p w14:paraId="702FD133" w14:textId="138AF951" w:rsidR="00A81489" w:rsidRPr="003B11BD" w:rsidRDefault="00E26B26" w:rsidP="00A81489">
            <w:pPr>
              <w:pStyle w:val="NoSpacing"/>
              <w:numPr>
                <w:ilvl w:val="0"/>
                <w:numId w:val="137"/>
              </w:numPr>
              <w:ind w:left="323"/>
              <w:rPr>
                <w:noProof/>
                <w:lang w:val="en-IE"/>
              </w:rPr>
            </w:pPr>
            <w:r>
              <w:rPr>
                <w:noProof/>
                <w:lang w:val="en-IE"/>
              </w:rPr>
              <w:t>C</w:t>
            </w:r>
            <w:r w:rsidR="069D37D9" w:rsidRPr="003B11BD">
              <w:rPr>
                <w:noProof/>
                <w:lang w:val="en-IE"/>
              </w:rPr>
              <w:t>ost and legal uncertain</w:t>
            </w:r>
            <w:r w:rsidR="78DAB060" w:rsidRPr="003B11BD">
              <w:rPr>
                <w:noProof/>
                <w:lang w:val="en-IE"/>
              </w:rPr>
              <w:t xml:space="preserve">ty </w:t>
            </w:r>
            <w:r w:rsidR="000D42C0" w:rsidRPr="003B11BD">
              <w:rPr>
                <w:noProof/>
                <w:lang w:val="en-IE"/>
              </w:rPr>
              <w:t>when</w:t>
            </w:r>
            <w:r w:rsidR="001C4AF4" w:rsidRPr="003B11BD">
              <w:rPr>
                <w:noProof/>
                <w:lang w:val="en-IE"/>
              </w:rPr>
              <w:t xml:space="preserve"> initiat</w:t>
            </w:r>
            <w:r w:rsidR="000D42C0" w:rsidRPr="003B11BD">
              <w:rPr>
                <w:noProof/>
                <w:lang w:val="en-IE"/>
              </w:rPr>
              <w:t>ing</w:t>
            </w:r>
            <w:r w:rsidR="78DAB060" w:rsidRPr="003B11BD">
              <w:rPr>
                <w:noProof/>
                <w:lang w:val="en-IE"/>
              </w:rPr>
              <w:t xml:space="preserve"> the </w:t>
            </w:r>
            <w:r w:rsidR="00D830E1" w:rsidRPr="003B11BD">
              <w:rPr>
                <w:noProof/>
                <w:lang w:val="en-IE"/>
              </w:rPr>
              <w:t xml:space="preserve">compulsory licensing </w:t>
            </w:r>
            <w:r w:rsidR="78DAB060" w:rsidRPr="003B11BD">
              <w:rPr>
                <w:noProof/>
                <w:lang w:val="en-IE"/>
              </w:rPr>
              <w:t>procedure</w:t>
            </w:r>
            <w:r w:rsidR="000D42C0" w:rsidRPr="003B11BD">
              <w:rPr>
                <w:noProof/>
                <w:lang w:val="en-IE"/>
              </w:rPr>
              <w:t xml:space="preserve"> in the EU</w:t>
            </w:r>
            <w:r w:rsidR="069D37D9" w:rsidRPr="003B11BD">
              <w:rPr>
                <w:noProof/>
                <w:lang w:val="en-IE"/>
              </w:rPr>
              <w:t xml:space="preserve">. </w:t>
            </w:r>
          </w:p>
        </w:tc>
      </w:tr>
    </w:tbl>
    <w:p w14:paraId="61AE92E0" w14:textId="48ADB1B2" w:rsidR="005A64A4" w:rsidRPr="003B11BD" w:rsidRDefault="00E54FEA" w:rsidP="005A64A4">
      <w:pPr>
        <w:rPr>
          <w:noProof/>
          <w:lang w:val="en-IE"/>
        </w:rPr>
      </w:pPr>
      <w:r w:rsidRPr="003B11BD">
        <w:rPr>
          <w:noProof/>
          <w:lang w:val="en-IE"/>
        </w:rPr>
        <w:t xml:space="preserve">As </w:t>
      </w:r>
      <w:r w:rsidR="00FC29AE" w:rsidRPr="003B11BD">
        <w:rPr>
          <w:noProof/>
          <w:lang w:val="en-IE"/>
        </w:rPr>
        <w:t xml:space="preserve">compulsory licensing </w:t>
      </w:r>
      <w:r w:rsidRPr="003B11BD">
        <w:rPr>
          <w:noProof/>
          <w:lang w:val="en-IE"/>
        </w:rPr>
        <w:t>is very rare</w:t>
      </w:r>
      <w:r w:rsidR="00B16573" w:rsidRPr="003B11BD">
        <w:rPr>
          <w:rStyle w:val="FootnoteReference"/>
          <w:noProof/>
          <w:lang w:val="en-IE"/>
        </w:rPr>
        <w:footnoteReference w:id="80"/>
      </w:r>
      <w:r w:rsidR="00AE488A" w:rsidRPr="003B11BD">
        <w:rPr>
          <w:noProof/>
          <w:lang w:val="en-IE"/>
        </w:rPr>
        <w:t>,</w:t>
      </w:r>
      <w:r w:rsidRPr="003B11BD">
        <w:rPr>
          <w:noProof/>
          <w:lang w:val="en-IE"/>
        </w:rPr>
        <w:t xml:space="preserve"> data on the actual costs of such procedures is scarce and accessing </w:t>
      </w:r>
      <w:r w:rsidR="009D4809" w:rsidRPr="003B11BD">
        <w:rPr>
          <w:noProof/>
          <w:lang w:val="en-IE"/>
        </w:rPr>
        <w:t>it</w:t>
      </w:r>
      <w:r w:rsidR="005A5F1B" w:rsidRPr="003B11BD">
        <w:rPr>
          <w:noProof/>
          <w:lang w:val="en-IE"/>
        </w:rPr>
        <w:t>s economic impacts</w:t>
      </w:r>
      <w:r w:rsidR="009D4809" w:rsidRPr="003B11BD">
        <w:rPr>
          <w:noProof/>
          <w:lang w:val="en-IE"/>
        </w:rPr>
        <w:t xml:space="preserve"> </w:t>
      </w:r>
      <w:r w:rsidR="00BD14E2" w:rsidRPr="003B11BD">
        <w:rPr>
          <w:noProof/>
          <w:lang w:val="en-IE"/>
        </w:rPr>
        <w:t>proves</w:t>
      </w:r>
      <w:r w:rsidRPr="003B11BD">
        <w:rPr>
          <w:noProof/>
          <w:lang w:val="en-IE"/>
        </w:rPr>
        <w:t xml:space="preserve"> challenging.</w:t>
      </w:r>
      <w:r w:rsidR="00C5379C" w:rsidRPr="003B11BD">
        <w:rPr>
          <w:noProof/>
          <w:lang w:val="en-IE"/>
        </w:rPr>
        <w:t xml:space="preserve"> </w:t>
      </w:r>
      <w:r w:rsidR="00BB39DF" w:rsidRPr="003B11BD">
        <w:rPr>
          <w:noProof/>
          <w:lang w:val="en-IE"/>
        </w:rPr>
        <w:t>Nonetheless, the following characteristics can be attributed to selected</w:t>
      </w:r>
      <w:r w:rsidR="0029172F" w:rsidRPr="003B11BD">
        <w:rPr>
          <w:noProof/>
          <w:lang w:val="en-IE"/>
        </w:rPr>
        <w:t xml:space="preserve"> entries indicated </w:t>
      </w:r>
      <w:r w:rsidR="00BB39DF" w:rsidRPr="003B11BD">
        <w:rPr>
          <w:noProof/>
          <w:lang w:val="en-IE"/>
        </w:rPr>
        <w:t xml:space="preserve">in the </w:t>
      </w:r>
      <w:r w:rsidR="00C97E16" w:rsidRPr="003B11BD">
        <w:rPr>
          <w:noProof/>
          <w:lang w:val="en-IE"/>
        </w:rPr>
        <w:t xml:space="preserve">above </w:t>
      </w:r>
      <w:r w:rsidR="00BB39DF" w:rsidRPr="003B11BD">
        <w:rPr>
          <w:noProof/>
          <w:lang w:val="en-IE"/>
        </w:rPr>
        <w:t>Table</w:t>
      </w:r>
      <w:r w:rsidR="005A64A4" w:rsidRPr="003B11BD">
        <w:rPr>
          <w:noProof/>
          <w:lang w:val="en-IE"/>
        </w:rPr>
        <w:t xml:space="preserve">: </w:t>
      </w:r>
    </w:p>
    <w:p w14:paraId="120EEC5F" w14:textId="1CF56A79" w:rsidR="005A64A4" w:rsidRPr="003B11BD" w:rsidRDefault="004B6864" w:rsidP="004C618F">
      <w:pPr>
        <w:pStyle w:val="Bullets"/>
        <w:rPr>
          <w:noProof/>
        </w:rPr>
      </w:pPr>
      <w:r w:rsidRPr="003B11BD">
        <w:rPr>
          <w:noProof/>
        </w:rPr>
        <w:t>C</w:t>
      </w:r>
      <w:r w:rsidR="00203152" w:rsidRPr="003B11BD">
        <w:rPr>
          <w:noProof/>
        </w:rPr>
        <w:t>urrently</w:t>
      </w:r>
      <w:r w:rsidR="002D212C" w:rsidRPr="003B11BD">
        <w:rPr>
          <w:noProof/>
        </w:rPr>
        <w:t>,</w:t>
      </w:r>
      <w:r w:rsidR="00203152" w:rsidRPr="003B11BD">
        <w:rPr>
          <w:noProof/>
        </w:rPr>
        <w:t xml:space="preserve"> c</w:t>
      </w:r>
      <w:r w:rsidR="005A64A4" w:rsidRPr="003B11BD">
        <w:rPr>
          <w:noProof/>
        </w:rPr>
        <w:t xml:space="preserve">ompulsory </w:t>
      </w:r>
      <w:r w:rsidR="00C55853" w:rsidRPr="003B11BD">
        <w:rPr>
          <w:noProof/>
        </w:rPr>
        <w:t>licensing</w:t>
      </w:r>
      <w:r w:rsidR="005A64A4" w:rsidRPr="003B11BD">
        <w:rPr>
          <w:noProof/>
        </w:rPr>
        <w:t xml:space="preserve"> procedure </w:t>
      </w:r>
      <w:r w:rsidR="00A37CBF" w:rsidRPr="003B11BD">
        <w:rPr>
          <w:noProof/>
        </w:rPr>
        <w:t>is complex</w:t>
      </w:r>
      <w:r w:rsidR="00F70065" w:rsidRPr="003B11BD">
        <w:rPr>
          <w:noProof/>
        </w:rPr>
        <w:t xml:space="preserve"> </w:t>
      </w:r>
      <w:r w:rsidR="00F91A72" w:rsidRPr="003B11BD">
        <w:rPr>
          <w:noProof/>
        </w:rPr>
        <w:t>and</w:t>
      </w:r>
      <w:r w:rsidR="003A34CF" w:rsidRPr="003B11BD">
        <w:rPr>
          <w:noProof/>
        </w:rPr>
        <w:t>,</w:t>
      </w:r>
      <w:r w:rsidR="00F91A72" w:rsidRPr="003B11BD">
        <w:rPr>
          <w:noProof/>
        </w:rPr>
        <w:t xml:space="preserve"> </w:t>
      </w:r>
      <w:r w:rsidR="00203152" w:rsidRPr="003B11BD">
        <w:rPr>
          <w:noProof/>
        </w:rPr>
        <w:t>based on the available examples</w:t>
      </w:r>
      <w:r w:rsidR="003A34CF" w:rsidRPr="003B11BD">
        <w:rPr>
          <w:noProof/>
        </w:rPr>
        <w:t>, it</w:t>
      </w:r>
      <w:r w:rsidR="00203152" w:rsidRPr="003B11BD">
        <w:rPr>
          <w:noProof/>
        </w:rPr>
        <w:t xml:space="preserve"> may </w:t>
      </w:r>
      <w:r w:rsidR="00F91A72" w:rsidRPr="003B11BD">
        <w:rPr>
          <w:noProof/>
        </w:rPr>
        <w:t xml:space="preserve">take </w:t>
      </w:r>
      <w:r w:rsidR="00A3336F" w:rsidRPr="003B11BD">
        <w:rPr>
          <w:noProof/>
        </w:rPr>
        <w:t>a</w:t>
      </w:r>
      <w:r w:rsidR="00F91A72" w:rsidRPr="003B11BD">
        <w:rPr>
          <w:noProof/>
        </w:rPr>
        <w:t xml:space="preserve"> </w:t>
      </w:r>
      <w:r w:rsidR="005A64A4" w:rsidRPr="003B11BD">
        <w:rPr>
          <w:noProof/>
        </w:rPr>
        <w:t>year</w:t>
      </w:r>
      <w:r w:rsidR="00B20D5C" w:rsidRPr="003B11BD">
        <w:rPr>
          <w:noProof/>
        </w:rPr>
        <w:t xml:space="preserve"> or</w:t>
      </w:r>
      <w:r w:rsidR="000B59D6" w:rsidRPr="003B11BD">
        <w:rPr>
          <w:noProof/>
        </w:rPr>
        <w:t xml:space="preserve"> longer</w:t>
      </w:r>
      <w:r w:rsidR="00F91A72" w:rsidRPr="003B11BD">
        <w:rPr>
          <w:noProof/>
        </w:rPr>
        <w:t xml:space="preserve"> to complete, even if carried out only </w:t>
      </w:r>
      <w:r w:rsidRPr="003B11BD">
        <w:rPr>
          <w:noProof/>
        </w:rPr>
        <w:t>at</w:t>
      </w:r>
      <w:r w:rsidR="00F91A72" w:rsidRPr="003B11BD">
        <w:rPr>
          <w:noProof/>
        </w:rPr>
        <w:t xml:space="preserve"> national level</w:t>
      </w:r>
      <w:r w:rsidR="00EF3170" w:rsidRPr="003B11BD">
        <w:rPr>
          <w:noProof/>
        </w:rPr>
        <w:t xml:space="preserve"> (see </w:t>
      </w:r>
      <w:r w:rsidR="00EF3170" w:rsidRPr="003B11BD">
        <w:rPr>
          <w:noProof/>
        </w:rPr>
        <w:fldChar w:fldCharType="begin"/>
      </w:r>
      <w:r w:rsidR="00EF3170" w:rsidRPr="003B11BD">
        <w:rPr>
          <w:noProof/>
        </w:rPr>
        <w:instrText xml:space="preserve"> REF _Ref121730766 \h </w:instrText>
      </w:r>
      <w:r w:rsidR="0010202B" w:rsidRPr="003B11BD">
        <w:rPr>
          <w:noProof/>
        </w:rPr>
        <w:instrText xml:space="preserve"> \* MERGEFORMAT </w:instrText>
      </w:r>
      <w:r w:rsidR="00EF3170" w:rsidRPr="003B11BD">
        <w:rPr>
          <w:noProof/>
        </w:rPr>
      </w:r>
      <w:r w:rsidR="00EF3170" w:rsidRPr="003B11BD">
        <w:rPr>
          <w:noProof/>
        </w:rPr>
        <w:fldChar w:fldCharType="separate"/>
      </w:r>
      <w:r w:rsidR="00C6592A" w:rsidRPr="003B11BD">
        <w:rPr>
          <w:noProof/>
        </w:rPr>
        <w:t xml:space="preserve">Table </w:t>
      </w:r>
      <w:r w:rsidR="00C6592A">
        <w:rPr>
          <w:noProof/>
        </w:rPr>
        <w:t>25</w:t>
      </w:r>
      <w:r w:rsidR="00EF3170" w:rsidRPr="003B11BD">
        <w:rPr>
          <w:noProof/>
        </w:rPr>
        <w:fldChar w:fldCharType="end"/>
      </w:r>
      <w:r w:rsidR="00344A20" w:rsidRPr="003B11BD">
        <w:rPr>
          <w:noProof/>
        </w:rPr>
        <w:t>,</w:t>
      </w:r>
      <w:r w:rsidR="00EF3170" w:rsidRPr="003B11BD">
        <w:rPr>
          <w:noProof/>
        </w:rPr>
        <w:t xml:space="preserve"> </w:t>
      </w:r>
      <w:r w:rsidR="00344A20" w:rsidRPr="003B11BD">
        <w:rPr>
          <w:noProof/>
        </w:rPr>
        <w:t>Annex 6</w:t>
      </w:r>
      <w:r w:rsidR="0045029B" w:rsidRPr="003B11BD">
        <w:rPr>
          <w:noProof/>
        </w:rPr>
        <w:t xml:space="preserve"> </w:t>
      </w:r>
      <w:r w:rsidR="00EF3170" w:rsidRPr="003B11BD">
        <w:rPr>
          <w:noProof/>
        </w:rPr>
        <w:t>– the</w:t>
      </w:r>
      <w:r w:rsidR="00FF76A7" w:rsidRPr="003B11BD">
        <w:rPr>
          <w:noProof/>
        </w:rPr>
        <w:t xml:space="preserve"> duration lasting from </w:t>
      </w:r>
      <w:r w:rsidR="00154C0C" w:rsidRPr="003B11BD">
        <w:rPr>
          <w:noProof/>
        </w:rPr>
        <w:t>at least ca. 1 year and 10 months</w:t>
      </w:r>
      <w:r w:rsidR="00154C0C" w:rsidRPr="003B11BD">
        <w:rPr>
          <w:rStyle w:val="FootnoteReference"/>
          <w:noProof/>
        </w:rPr>
        <w:footnoteReference w:id="81"/>
      </w:r>
      <w:r w:rsidR="00154C0C" w:rsidRPr="003B11BD">
        <w:rPr>
          <w:noProof/>
        </w:rPr>
        <w:t xml:space="preserve">, to </w:t>
      </w:r>
      <w:r w:rsidR="00FF76A7" w:rsidRPr="003B11BD">
        <w:rPr>
          <w:noProof/>
        </w:rPr>
        <w:t>ca</w:t>
      </w:r>
      <w:r w:rsidR="00344A20" w:rsidRPr="003B11BD">
        <w:rPr>
          <w:noProof/>
        </w:rPr>
        <w:t>.</w:t>
      </w:r>
      <w:r w:rsidR="00FF76A7" w:rsidRPr="003B11BD">
        <w:rPr>
          <w:noProof/>
        </w:rPr>
        <w:t xml:space="preserve"> 2 years and 2 months including the negotiation phase</w:t>
      </w:r>
      <w:r w:rsidR="00FF76A7" w:rsidRPr="003B11BD">
        <w:rPr>
          <w:rStyle w:val="FootnoteReference"/>
          <w:noProof/>
        </w:rPr>
        <w:footnoteReference w:id="82"/>
      </w:r>
      <w:r w:rsidR="00FF76A7" w:rsidRPr="003B11BD">
        <w:rPr>
          <w:noProof/>
        </w:rPr>
        <w:t>,</w:t>
      </w:r>
      <w:r w:rsidR="00154C0C" w:rsidRPr="003B11BD">
        <w:rPr>
          <w:noProof/>
        </w:rPr>
        <w:t xml:space="preserve"> or</w:t>
      </w:r>
      <w:r w:rsidR="00FF76A7" w:rsidRPr="003B11BD">
        <w:rPr>
          <w:noProof/>
        </w:rPr>
        <w:t xml:space="preserve"> ca. 2 years and 8 months</w:t>
      </w:r>
      <w:r w:rsidR="00FF76A7" w:rsidRPr="003B11BD">
        <w:rPr>
          <w:rStyle w:val="FootnoteReference"/>
          <w:noProof/>
        </w:rPr>
        <w:footnoteReference w:id="83"/>
      </w:r>
      <w:r w:rsidR="000409BB" w:rsidRPr="003B11BD">
        <w:rPr>
          <w:noProof/>
        </w:rPr>
        <w:t>)</w:t>
      </w:r>
      <w:r w:rsidR="00FF76A7" w:rsidRPr="003B11BD">
        <w:rPr>
          <w:noProof/>
        </w:rPr>
        <w:t>.</w:t>
      </w:r>
      <w:r w:rsidR="00B20D5C" w:rsidRPr="003B11BD">
        <w:rPr>
          <w:noProof/>
        </w:rPr>
        <w:t xml:space="preserve"> </w:t>
      </w:r>
      <w:r w:rsidR="007617BF" w:rsidRPr="003B11BD">
        <w:rPr>
          <w:noProof/>
        </w:rPr>
        <w:t>T</w:t>
      </w:r>
      <w:r w:rsidR="00B20D5C" w:rsidRPr="003B11BD">
        <w:rPr>
          <w:noProof/>
        </w:rPr>
        <w:t xml:space="preserve">he only example </w:t>
      </w:r>
      <w:r w:rsidR="00F91A72" w:rsidRPr="003B11BD">
        <w:rPr>
          <w:noProof/>
        </w:rPr>
        <w:t xml:space="preserve">where a </w:t>
      </w:r>
      <w:r w:rsidR="007E1810" w:rsidRPr="003B11BD">
        <w:rPr>
          <w:noProof/>
        </w:rPr>
        <w:t xml:space="preserve">compulsory licence </w:t>
      </w:r>
      <w:r w:rsidR="00F91A72" w:rsidRPr="003B11BD">
        <w:rPr>
          <w:noProof/>
        </w:rPr>
        <w:t>for export</w:t>
      </w:r>
      <w:r w:rsidR="00B20D5C" w:rsidRPr="003B11BD">
        <w:rPr>
          <w:noProof/>
        </w:rPr>
        <w:t xml:space="preserve"> </w:t>
      </w:r>
      <w:r w:rsidR="00B60AD5" w:rsidRPr="003B11BD">
        <w:rPr>
          <w:noProof/>
        </w:rPr>
        <w:t xml:space="preserve">was successfully issued </w:t>
      </w:r>
      <w:r w:rsidR="00B20D5C" w:rsidRPr="003B11BD">
        <w:rPr>
          <w:noProof/>
        </w:rPr>
        <w:t>(</w:t>
      </w:r>
      <w:r w:rsidR="000B59D6" w:rsidRPr="003B11BD">
        <w:rPr>
          <w:noProof/>
        </w:rPr>
        <w:t>the Canada-R</w:t>
      </w:r>
      <w:r w:rsidR="00F70065" w:rsidRPr="003B11BD">
        <w:rPr>
          <w:noProof/>
        </w:rPr>
        <w:t>wanda</w:t>
      </w:r>
      <w:r w:rsidR="000B59D6" w:rsidRPr="003B11BD">
        <w:rPr>
          <w:noProof/>
        </w:rPr>
        <w:t xml:space="preserve"> case</w:t>
      </w:r>
      <w:r w:rsidR="00B20D5C" w:rsidRPr="003B11BD">
        <w:rPr>
          <w:noProof/>
        </w:rPr>
        <w:t>)</w:t>
      </w:r>
      <w:r w:rsidR="00B96855" w:rsidRPr="003B11BD">
        <w:rPr>
          <w:noProof/>
        </w:rPr>
        <w:t xml:space="preserve"> took</w:t>
      </w:r>
      <w:r w:rsidR="000B59D6" w:rsidRPr="003B11BD">
        <w:rPr>
          <w:noProof/>
        </w:rPr>
        <w:t xml:space="preserve"> </w:t>
      </w:r>
      <w:r w:rsidR="00F70065" w:rsidRPr="003B11BD">
        <w:rPr>
          <w:noProof/>
        </w:rPr>
        <w:t>roughly three</w:t>
      </w:r>
      <w:r w:rsidR="000B59D6" w:rsidRPr="003B11BD">
        <w:rPr>
          <w:noProof/>
        </w:rPr>
        <w:t xml:space="preserve"> years</w:t>
      </w:r>
      <w:r w:rsidR="00800E69" w:rsidRPr="003B11BD">
        <w:rPr>
          <w:rStyle w:val="FootnoteReference"/>
          <w:noProof/>
        </w:rPr>
        <w:footnoteReference w:id="84"/>
      </w:r>
      <w:r w:rsidR="00B96855" w:rsidRPr="003B11BD">
        <w:rPr>
          <w:noProof/>
        </w:rPr>
        <w:t xml:space="preserve"> to complete</w:t>
      </w:r>
      <w:r w:rsidR="00F70065" w:rsidRPr="003B11BD">
        <w:rPr>
          <w:noProof/>
        </w:rPr>
        <w:t>.</w:t>
      </w:r>
      <w:r w:rsidR="005A64A4" w:rsidRPr="003B11BD">
        <w:rPr>
          <w:noProof/>
        </w:rPr>
        <w:t xml:space="preserve"> </w:t>
      </w:r>
      <w:r w:rsidR="002549BD" w:rsidRPr="003B11BD">
        <w:rPr>
          <w:noProof/>
        </w:rPr>
        <w:t>For both, domestic and export markets, t</w:t>
      </w:r>
      <w:r w:rsidR="00203152" w:rsidRPr="003B11BD">
        <w:rPr>
          <w:noProof/>
        </w:rPr>
        <w:t>he length and complexity of procedure has direct influence on cost for all parties involved.</w:t>
      </w:r>
      <w:r w:rsidR="00435C1A" w:rsidRPr="003B11BD">
        <w:rPr>
          <w:noProof/>
        </w:rPr>
        <w:t xml:space="preserve"> The </w:t>
      </w:r>
      <w:r w:rsidR="0045029B" w:rsidRPr="003B11BD">
        <w:rPr>
          <w:noProof/>
        </w:rPr>
        <w:t xml:space="preserve">cross-country differences between </w:t>
      </w:r>
      <w:r w:rsidR="00E6068C" w:rsidRPr="003B11BD">
        <w:rPr>
          <w:noProof/>
        </w:rPr>
        <w:t xml:space="preserve">compulsory licensing </w:t>
      </w:r>
      <w:r w:rsidR="00435C1A" w:rsidRPr="003B11BD">
        <w:rPr>
          <w:noProof/>
        </w:rPr>
        <w:t xml:space="preserve">procedures are </w:t>
      </w:r>
      <w:r w:rsidR="002549BD" w:rsidRPr="003B11BD">
        <w:rPr>
          <w:noProof/>
        </w:rPr>
        <w:t xml:space="preserve">also </w:t>
      </w:r>
      <w:r w:rsidR="0045029B" w:rsidRPr="003B11BD">
        <w:rPr>
          <w:noProof/>
        </w:rPr>
        <w:t xml:space="preserve">source of </w:t>
      </w:r>
      <w:r w:rsidR="00435C1A" w:rsidRPr="003B11BD">
        <w:rPr>
          <w:noProof/>
        </w:rPr>
        <w:t>legal uncertainty.</w:t>
      </w:r>
    </w:p>
    <w:p w14:paraId="58621919" w14:textId="40330F71" w:rsidR="00965CFA" w:rsidRPr="003B11BD" w:rsidRDefault="00965CFA" w:rsidP="004C618F">
      <w:pPr>
        <w:pStyle w:val="Bullets"/>
        <w:rPr>
          <w:noProof/>
        </w:rPr>
      </w:pPr>
      <w:r w:rsidRPr="003B11BD">
        <w:rPr>
          <w:noProof/>
        </w:rPr>
        <w:t xml:space="preserve">Costs are borne </w:t>
      </w:r>
      <w:r w:rsidR="00D127F0" w:rsidRPr="003B11BD">
        <w:rPr>
          <w:noProof/>
        </w:rPr>
        <w:t>separately</w:t>
      </w:r>
      <w:r w:rsidRPr="003B11BD">
        <w:rPr>
          <w:noProof/>
        </w:rPr>
        <w:t xml:space="preserve"> in each jurisdiction </w:t>
      </w:r>
      <w:r w:rsidR="00266D0B" w:rsidRPr="003B11BD">
        <w:rPr>
          <w:noProof/>
        </w:rPr>
        <w:t>–</w:t>
      </w:r>
      <w:r w:rsidRPr="003B11BD">
        <w:rPr>
          <w:noProof/>
        </w:rPr>
        <w:t xml:space="preserve"> as</w:t>
      </w:r>
      <w:r w:rsidR="00266D0B" w:rsidRPr="003B11BD">
        <w:rPr>
          <w:noProof/>
        </w:rPr>
        <w:t xml:space="preserve"> </w:t>
      </w:r>
      <w:r w:rsidR="00C97E16" w:rsidRPr="003B11BD">
        <w:rPr>
          <w:noProof/>
        </w:rPr>
        <w:t>indicated in the problem</w:t>
      </w:r>
      <w:r w:rsidR="000D3464" w:rsidRPr="003B11BD">
        <w:rPr>
          <w:noProof/>
        </w:rPr>
        <w:t xml:space="preserve"> statement</w:t>
      </w:r>
      <w:r w:rsidR="00C97E16" w:rsidRPr="003B11BD">
        <w:rPr>
          <w:noProof/>
        </w:rPr>
        <w:t xml:space="preserve"> </w:t>
      </w:r>
      <w:r w:rsidR="000D3464" w:rsidRPr="003B11BD">
        <w:rPr>
          <w:noProof/>
        </w:rPr>
        <w:t>(</w:t>
      </w:r>
      <w:r w:rsidR="00C97E16" w:rsidRPr="003B11BD">
        <w:rPr>
          <w:noProof/>
        </w:rPr>
        <w:t>section</w:t>
      </w:r>
      <w:r w:rsidR="000D3464" w:rsidRPr="003B11BD">
        <w:rPr>
          <w:noProof/>
        </w:rPr>
        <w:t xml:space="preserve"> 2.1)</w:t>
      </w:r>
      <w:r w:rsidR="00C97E16" w:rsidRPr="003B11BD">
        <w:rPr>
          <w:noProof/>
        </w:rPr>
        <w:t xml:space="preserve">, </w:t>
      </w:r>
      <w:r w:rsidR="00266D0B" w:rsidRPr="003B11BD">
        <w:rPr>
          <w:noProof/>
        </w:rPr>
        <w:t>the average number of Member States in which patent</w:t>
      </w:r>
      <w:r w:rsidR="007826C8" w:rsidRPr="003B11BD">
        <w:rPr>
          <w:noProof/>
        </w:rPr>
        <w:t>s</w:t>
      </w:r>
      <w:r w:rsidR="00266D0B" w:rsidRPr="003B11BD">
        <w:rPr>
          <w:noProof/>
        </w:rPr>
        <w:t xml:space="preserve"> </w:t>
      </w:r>
      <w:r w:rsidR="00C97E16" w:rsidRPr="003B11BD">
        <w:rPr>
          <w:noProof/>
        </w:rPr>
        <w:t xml:space="preserve">for COVID-related products </w:t>
      </w:r>
      <w:r w:rsidR="00266D0B" w:rsidRPr="003B11BD">
        <w:rPr>
          <w:noProof/>
        </w:rPr>
        <w:t>w</w:t>
      </w:r>
      <w:r w:rsidR="007826C8" w:rsidRPr="003B11BD">
        <w:rPr>
          <w:noProof/>
        </w:rPr>
        <w:t xml:space="preserve">ere active was </w:t>
      </w:r>
      <w:r w:rsidR="002D2640" w:rsidRPr="003B11BD">
        <w:rPr>
          <w:noProof/>
        </w:rPr>
        <w:t>around 4 to</w:t>
      </w:r>
      <w:r w:rsidR="007826C8" w:rsidRPr="003B11BD">
        <w:rPr>
          <w:noProof/>
        </w:rPr>
        <w:t xml:space="preserve"> 5</w:t>
      </w:r>
      <w:r w:rsidR="00C97E16" w:rsidRPr="003B11BD">
        <w:rPr>
          <w:noProof/>
        </w:rPr>
        <w:t>. Using this as a proxy for products that can be subject to a CL during a crisis</w:t>
      </w:r>
      <w:r w:rsidR="00266D0B" w:rsidRPr="003B11BD">
        <w:rPr>
          <w:noProof/>
        </w:rPr>
        <w:t>, i</w:t>
      </w:r>
      <w:r w:rsidR="0068242B" w:rsidRPr="003B11BD">
        <w:rPr>
          <w:noProof/>
        </w:rPr>
        <w:t xml:space="preserve">t can be assumed that </w:t>
      </w:r>
      <w:r w:rsidR="007976EA" w:rsidRPr="003B11BD">
        <w:rPr>
          <w:noProof/>
        </w:rPr>
        <w:t>in the event of a</w:t>
      </w:r>
      <w:r w:rsidR="009D3DC6" w:rsidRPr="003B11BD">
        <w:rPr>
          <w:noProof/>
        </w:rPr>
        <w:t xml:space="preserve"> cross-border crisis </w:t>
      </w:r>
      <w:r w:rsidR="00CE4225" w:rsidRPr="003B11BD">
        <w:rPr>
          <w:noProof/>
        </w:rPr>
        <w:t xml:space="preserve">compulsory </w:t>
      </w:r>
      <w:r w:rsidR="00C55853" w:rsidRPr="003B11BD">
        <w:rPr>
          <w:noProof/>
        </w:rPr>
        <w:t>licensing</w:t>
      </w:r>
      <w:r w:rsidR="0068242B" w:rsidRPr="003B11BD">
        <w:rPr>
          <w:noProof/>
        </w:rPr>
        <w:t xml:space="preserve"> </w:t>
      </w:r>
      <w:r w:rsidR="00C97E16" w:rsidRPr="003B11BD">
        <w:rPr>
          <w:noProof/>
        </w:rPr>
        <w:t xml:space="preserve">procedures </w:t>
      </w:r>
      <w:r w:rsidR="00266D0B" w:rsidRPr="003B11BD">
        <w:rPr>
          <w:noProof/>
        </w:rPr>
        <w:t>might</w:t>
      </w:r>
      <w:r w:rsidR="0068242B" w:rsidRPr="003B11BD">
        <w:rPr>
          <w:noProof/>
        </w:rPr>
        <w:t xml:space="preserve"> need to</w:t>
      </w:r>
      <w:r w:rsidR="00266D0B" w:rsidRPr="003B11BD">
        <w:rPr>
          <w:noProof/>
        </w:rPr>
        <w:t xml:space="preserve"> be repeated </w:t>
      </w:r>
      <w:r w:rsidR="00C97E16" w:rsidRPr="003B11BD">
        <w:rPr>
          <w:noProof/>
        </w:rPr>
        <w:t>at least four</w:t>
      </w:r>
      <w:r w:rsidR="00266D0B" w:rsidRPr="003B11BD">
        <w:rPr>
          <w:noProof/>
        </w:rPr>
        <w:t xml:space="preserve"> times</w:t>
      </w:r>
      <w:r w:rsidR="00C97E16" w:rsidRPr="003B11BD">
        <w:rPr>
          <w:noProof/>
        </w:rPr>
        <w:t xml:space="preserve"> for the same product (i.e. separately</w:t>
      </w:r>
      <w:r w:rsidR="00266D0B" w:rsidRPr="003B11BD">
        <w:rPr>
          <w:noProof/>
        </w:rPr>
        <w:t xml:space="preserve"> </w:t>
      </w:r>
      <w:r w:rsidR="009D3DC6" w:rsidRPr="003B11BD">
        <w:rPr>
          <w:noProof/>
        </w:rPr>
        <w:t>in</w:t>
      </w:r>
      <w:r w:rsidR="00266D0B" w:rsidRPr="003B11BD">
        <w:rPr>
          <w:noProof/>
        </w:rPr>
        <w:t xml:space="preserve"> each jurisdiction where the </w:t>
      </w:r>
      <w:r w:rsidR="0068242B" w:rsidRPr="003B11BD">
        <w:rPr>
          <w:noProof/>
        </w:rPr>
        <w:t xml:space="preserve">relevant </w:t>
      </w:r>
      <w:r w:rsidR="00266D0B" w:rsidRPr="003B11BD">
        <w:rPr>
          <w:noProof/>
        </w:rPr>
        <w:t>patent should be lifted</w:t>
      </w:r>
      <w:r w:rsidR="00C97E16" w:rsidRPr="003B11BD">
        <w:rPr>
          <w:noProof/>
        </w:rPr>
        <w:t>)</w:t>
      </w:r>
      <w:r w:rsidR="00266D0B" w:rsidRPr="003B11BD">
        <w:rPr>
          <w:noProof/>
        </w:rPr>
        <w:t xml:space="preserve">. </w:t>
      </w:r>
    </w:p>
    <w:p w14:paraId="05DE1CDD" w14:textId="2D571242" w:rsidR="00925917" w:rsidRPr="003B11BD" w:rsidRDefault="00E54FEA" w:rsidP="00C9787B">
      <w:pPr>
        <w:rPr>
          <w:noProof/>
          <w:lang w:val="en-IE"/>
        </w:rPr>
      </w:pPr>
      <w:r w:rsidRPr="003B11BD">
        <w:rPr>
          <w:noProof/>
          <w:lang w:val="en-IE"/>
        </w:rPr>
        <w:t>The policy</w:t>
      </w:r>
      <w:r w:rsidR="00925917" w:rsidRPr="003B11BD">
        <w:rPr>
          <w:noProof/>
          <w:lang w:val="en-IE"/>
        </w:rPr>
        <w:t xml:space="preserve"> options </w:t>
      </w:r>
      <w:r w:rsidRPr="003B11BD">
        <w:rPr>
          <w:noProof/>
          <w:lang w:val="en-IE"/>
        </w:rPr>
        <w:t xml:space="preserve">proposed in this impact assessment </w:t>
      </w:r>
      <w:r w:rsidR="00925917" w:rsidRPr="003B11BD">
        <w:rPr>
          <w:noProof/>
          <w:lang w:val="en-IE"/>
        </w:rPr>
        <w:t xml:space="preserve">will be evaluated compared to the above </w:t>
      </w:r>
      <w:r w:rsidR="0045029B" w:rsidRPr="003B11BD">
        <w:rPr>
          <w:noProof/>
          <w:lang w:val="en-IE"/>
        </w:rPr>
        <w:t>factors, as</w:t>
      </w:r>
      <w:r w:rsidR="00925917" w:rsidRPr="003B11BD">
        <w:rPr>
          <w:noProof/>
          <w:lang w:val="en-IE"/>
        </w:rPr>
        <w:t xml:space="preserve"> </w:t>
      </w:r>
      <w:r w:rsidR="00114910" w:rsidRPr="003B11BD">
        <w:rPr>
          <w:noProof/>
          <w:lang w:val="en-IE"/>
        </w:rPr>
        <w:t xml:space="preserve">identified </w:t>
      </w:r>
      <w:r w:rsidR="00925917" w:rsidRPr="003B11BD">
        <w:rPr>
          <w:noProof/>
          <w:lang w:val="en-IE"/>
        </w:rPr>
        <w:t>for the baseline.</w:t>
      </w:r>
      <w:r w:rsidR="00E22A08" w:rsidRPr="003B11BD">
        <w:rPr>
          <w:noProof/>
          <w:lang w:val="en-IE"/>
        </w:rPr>
        <w:t xml:space="preserve"> </w:t>
      </w:r>
      <w:r w:rsidR="002857EE" w:rsidRPr="003B11BD">
        <w:rPr>
          <w:noProof/>
          <w:lang w:val="en-IE"/>
        </w:rPr>
        <w:t xml:space="preserve">The general economic and </w:t>
      </w:r>
      <w:r w:rsidR="00CE4738" w:rsidRPr="003B11BD">
        <w:rPr>
          <w:noProof/>
          <w:lang w:val="en-IE"/>
        </w:rPr>
        <w:t>competitiveness</w:t>
      </w:r>
      <w:r w:rsidR="002857EE" w:rsidRPr="003B11BD">
        <w:rPr>
          <w:noProof/>
          <w:lang w:val="en-IE"/>
        </w:rPr>
        <w:t xml:space="preserve"> impacts</w:t>
      </w:r>
      <w:r w:rsidR="0045029B" w:rsidRPr="003B11BD">
        <w:rPr>
          <w:noProof/>
          <w:lang w:val="en-IE"/>
        </w:rPr>
        <w:t xml:space="preserve"> of compulsory licencing</w:t>
      </w:r>
      <w:r w:rsidR="002857EE" w:rsidRPr="003B11BD">
        <w:rPr>
          <w:noProof/>
          <w:lang w:val="en-IE"/>
        </w:rPr>
        <w:t xml:space="preserve"> that are valid irrespective of a crisis incident</w:t>
      </w:r>
      <w:r w:rsidR="00C36F29" w:rsidRPr="003B11BD">
        <w:rPr>
          <w:noProof/>
          <w:lang w:val="en-IE"/>
        </w:rPr>
        <w:t xml:space="preserve"> occurrence</w:t>
      </w:r>
      <w:r w:rsidR="002857EE" w:rsidRPr="003B11BD">
        <w:rPr>
          <w:noProof/>
          <w:lang w:val="en-IE"/>
        </w:rPr>
        <w:t xml:space="preserve"> are discussed in section 6.5.3.</w:t>
      </w:r>
      <w:r w:rsidR="002857EE" w:rsidRPr="003B11BD" w:rsidDel="002857EE">
        <w:rPr>
          <w:noProof/>
          <w:lang w:val="en-IE"/>
        </w:rPr>
        <w:t xml:space="preserve"> </w:t>
      </w:r>
    </w:p>
    <w:p w14:paraId="264D6199" w14:textId="7903B787" w:rsidR="006B087E" w:rsidRPr="003B11BD" w:rsidRDefault="5E602893" w:rsidP="000E3086">
      <w:pPr>
        <w:pStyle w:val="Heading2"/>
        <w:rPr>
          <w:noProof/>
          <w:lang w:val="en-IE"/>
        </w:rPr>
      </w:pPr>
      <w:bookmarkStart w:id="209" w:name="_Toc120731214"/>
      <w:bookmarkStart w:id="210" w:name="_Toc121386373"/>
      <w:bookmarkStart w:id="211" w:name="_Toc121489591"/>
      <w:bookmarkStart w:id="212" w:name="_Toc121496343"/>
      <w:bookmarkStart w:id="213" w:name="_Toc121748009"/>
      <w:bookmarkStart w:id="214" w:name="_Toc133435362"/>
      <w:r w:rsidRPr="003B11BD">
        <w:rPr>
          <w:noProof/>
          <w:lang w:val="en-IE"/>
        </w:rPr>
        <w:t>Description of the policy options</w:t>
      </w:r>
      <w:bookmarkEnd w:id="209"/>
      <w:bookmarkEnd w:id="210"/>
      <w:bookmarkEnd w:id="211"/>
      <w:bookmarkEnd w:id="212"/>
      <w:bookmarkEnd w:id="213"/>
      <w:bookmarkEnd w:id="214"/>
      <w:r w:rsidR="2ACB826E" w:rsidRPr="003B11BD">
        <w:rPr>
          <w:noProof/>
          <w:lang w:val="en-IE"/>
        </w:rPr>
        <w:t xml:space="preserve"> </w:t>
      </w:r>
    </w:p>
    <w:p w14:paraId="778EDFD7" w14:textId="7E55B635" w:rsidR="00673440" w:rsidRPr="003B11BD" w:rsidRDefault="008F4979" w:rsidP="008279F3">
      <w:pPr>
        <w:rPr>
          <w:noProof/>
          <w:lang w:val="en-IE"/>
        </w:rPr>
      </w:pPr>
      <w:r w:rsidRPr="003B11BD">
        <w:rPr>
          <w:noProof/>
          <w:lang w:val="en-IE"/>
        </w:rPr>
        <w:t>E</w:t>
      </w:r>
      <w:r w:rsidR="009B1ADE" w:rsidRPr="003B11BD">
        <w:rPr>
          <w:noProof/>
          <w:lang w:val="en-IE"/>
        </w:rPr>
        <w:t xml:space="preserve">ach </w:t>
      </w:r>
      <w:r w:rsidR="0081205A" w:rsidRPr="003B11BD">
        <w:rPr>
          <w:noProof/>
          <w:lang w:val="en-IE"/>
        </w:rPr>
        <w:t>option</w:t>
      </w:r>
      <w:r w:rsidR="009B1ADE" w:rsidRPr="003B11BD">
        <w:rPr>
          <w:noProof/>
          <w:lang w:val="en-IE"/>
        </w:rPr>
        <w:t xml:space="preserve"> </w:t>
      </w:r>
      <w:r w:rsidR="0045029B" w:rsidRPr="003B11BD">
        <w:rPr>
          <w:noProof/>
          <w:lang w:val="en-IE"/>
        </w:rPr>
        <w:t>will consider</w:t>
      </w:r>
      <w:r w:rsidR="0081205A" w:rsidRPr="003B11BD">
        <w:rPr>
          <w:noProof/>
          <w:lang w:val="en-IE"/>
        </w:rPr>
        <w:t xml:space="preserve"> </w:t>
      </w:r>
      <w:r w:rsidR="00DD0A25" w:rsidRPr="003B11BD">
        <w:rPr>
          <w:noProof/>
          <w:lang w:val="en-IE"/>
        </w:rPr>
        <w:t>the</w:t>
      </w:r>
      <w:r w:rsidR="0045029B" w:rsidRPr="003B11BD">
        <w:rPr>
          <w:noProof/>
          <w:lang w:val="en-IE"/>
        </w:rPr>
        <w:t xml:space="preserve"> ensuing elements, in line with the specific objectives</w:t>
      </w:r>
      <w:r w:rsidR="004405F9" w:rsidRPr="003B11BD">
        <w:rPr>
          <w:noProof/>
          <w:lang w:val="en-IE"/>
        </w:rPr>
        <w:t>:</w:t>
      </w:r>
    </w:p>
    <w:p w14:paraId="349A56BD" w14:textId="7F4CBD81" w:rsidR="00EC7EE5" w:rsidRPr="003B11BD" w:rsidRDefault="00E631A1" w:rsidP="004C618F">
      <w:pPr>
        <w:pStyle w:val="Bullets"/>
        <w:rPr>
          <w:noProof/>
        </w:rPr>
      </w:pPr>
      <w:r>
        <w:rPr>
          <w:b/>
          <w:noProof/>
        </w:rPr>
        <w:t>Improve the</w:t>
      </w:r>
      <w:r w:rsidR="002E3982" w:rsidRPr="003B11BD">
        <w:rPr>
          <w:b/>
          <w:noProof/>
        </w:rPr>
        <w:t xml:space="preserve"> </w:t>
      </w:r>
      <w:r w:rsidR="00003616" w:rsidRPr="003B11BD">
        <w:rPr>
          <w:b/>
          <w:noProof/>
        </w:rPr>
        <w:t xml:space="preserve">key </w:t>
      </w:r>
      <w:r w:rsidR="008629A5" w:rsidRPr="003B11BD">
        <w:rPr>
          <w:b/>
          <w:noProof/>
        </w:rPr>
        <w:t>features</w:t>
      </w:r>
      <w:r w:rsidR="00E24654" w:rsidRPr="003B11BD">
        <w:rPr>
          <w:b/>
          <w:noProof/>
        </w:rPr>
        <w:t xml:space="preserve"> of compulsory licensing</w:t>
      </w:r>
      <w:r w:rsidR="25B6793B" w:rsidRPr="003B11BD">
        <w:rPr>
          <w:b/>
          <w:bCs/>
          <w:noProof/>
        </w:rPr>
        <w:t xml:space="preserve"> (</w:t>
      </w:r>
      <w:r w:rsidR="005B574E" w:rsidRPr="003B11BD">
        <w:rPr>
          <w:b/>
          <w:bCs/>
          <w:noProof/>
        </w:rPr>
        <w:t xml:space="preserve">addressing </w:t>
      </w:r>
      <w:r w:rsidR="25B6793B" w:rsidRPr="003B11BD">
        <w:rPr>
          <w:b/>
          <w:bCs/>
          <w:noProof/>
        </w:rPr>
        <w:t>SO1)</w:t>
      </w:r>
      <w:r w:rsidR="004405F9" w:rsidRPr="003B11BD">
        <w:rPr>
          <w:noProof/>
        </w:rPr>
        <w:t>:</w:t>
      </w:r>
      <w:r w:rsidR="005A7C56" w:rsidRPr="003B11BD">
        <w:rPr>
          <w:noProof/>
        </w:rPr>
        <w:t xml:space="preserve"> </w:t>
      </w:r>
      <w:r w:rsidR="00F06430" w:rsidRPr="003B11BD">
        <w:rPr>
          <w:noProof/>
        </w:rPr>
        <w:t>F</w:t>
      </w:r>
      <w:r w:rsidR="005A7C56" w:rsidRPr="003B11BD">
        <w:rPr>
          <w:noProof/>
        </w:rPr>
        <w:t>eatures of a compulsory licen</w:t>
      </w:r>
      <w:r w:rsidR="00F06430" w:rsidRPr="003B11BD">
        <w:rPr>
          <w:noProof/>
        </w:rPr>
        <w:t>sing scheme</w:t>
      </w:r>
      <w:r w:rsidR="005A7C56" w:rsidRPr="003B11BD">
        <w:rPr>
          <w:noProof/>
        </w:rPr>
        <w:t xml:space="preserve"> play an important role to ensure </w:t>
      </w:r>
      <w:r w:rsidR="002A1426" w:rsidRPr="003B11BD">
        <w:rPr>
          <w:noProof/>
        </w:rPr>
        <w:t>the</w:t>
      </w:r>
      <w:r w:rsidR="005A7C56" w:rsidRPr="003B11BD">
        <w:rPr>
          <w:noProof/>
        </w:rPr>
        <w:t xml:space="preserve"> effectiveness</w:t>
      </w:r>
      <w:r w:rsidR="00760C1C" w:rsidRPr="003B11BD">
        <w:rPr>
          <w:noProof/>
        </w:rPr>
        <w:t xml:space="preserve"> and efficiency</w:t>
      </w:r>
      <w:r w:rsidR="002A1426" w:rsidRPr="003B11BD">
        <w:rPr>
          <w:noProof/>
        </w:rPr>
        <w:t xml:space="preserve"> of a </w:t>
      </w:r>
      <w:r w:rsidR="00ED49E6" w:rsidRPr="003B11BD">
        <w:rPr>
          <w:noProof/>
        </w:rPr>
        <w:t>CL</w:t>
      </w:r>
      <w:r w:rsidR="002A1426" w:rsidRPr="003B11BD">
        <w:rPr>
          <w:noProof/>
        </w:rPr>
        <w:t xml:space="preserve"> for crisis management purposes</w:t>
      </w:r>
      <w:r w:rsidR="005A7C56" w:rsidRPr="003B11BD">
        <w:rPr>
          <w:noProof/>
        </w:rPr>
        <w:t xml:space="preserve">. </w:t>
      </w:r>
      <w:r w:rsidR="00732C48" w:rsidRPr="003B11BD">
        <w:rPr>
          <w:noProof/>
        </w:rPr>
        <w:t xml:space="preserve">As illustrated in the problem definition, </w:t>
      </w:r>
      <w:r w:rsidR="00023504" w:rsidRPr="003B11BD">
        <w:rPr>
          <w:noProof/>
        </w:rPr>
        <w:t xml:space="preserve">shortcomings </w:t>
      </w:r>
      <w:r w:rsidR="00732C48" w:rsidRPr="003B11BD">
        <w:rPr>
          <w:noProof/>
        </w:rPr>
        <w:t xml:space="preserve">currently exist </w:t>
      </w:r>
      <w:r w:rsidR="00023504" w:rsidRPr="003B11BD">
        <w:rPr>
          <w:noProof/>
        </w:rPr>
        <w:t>in the national systems. These shortcomings concern</w:t>
      </w:r>
      <w:r w:rsidR="00EC7EE5" w:rsidRPr="003B11BD">
        <w:rPr>
          <w:noProof/>
        </w:rPr>
        <w:t>:</w:t>
      </w:r>
    </w:p>
    <w:p w14:paraId="6C90117D" w14:textId="40B54B6D" w:rsidR="000D0C7A" w:rsidRPr="003B11BD" w:rsidRDefault="00732C48" w:rsidP="004C618F">
      <w:pPr>
        <w:pStyle w:val="Bulletslevel2"/>
        <w:rPr>
          <w:noProof/>
        </w:rPr>
      </w:pPr>
      <w:r w:rsidRPr="003B11BD">
        <w:rPr>
          <w:noProof/>
          <w:u w:val="dotted"/>
        </w:rPr>
        <w:t>T</w:t>
      </w:r>
      <w:r w:rsidR="00023504" w:rsidRPr="003B11BD">
        <w:rPr>
          <w:noProof/>
          <w:u w:val="dotted"/>
        </w:rPr>
        <w:t>he trigger</w:t>
      </w:r>
      <w:r w:rsidR="00197692" w:rsidRPr="003B11BD">
        <w:rPr>
          <w:noProof/>
        </w:rPr>
        <w:t xml:space="preserve"> (i.e. </w:t>
      </w:r>
      <w:r w:rsidR="00023504" w:rsidRPr="003B11BD">
        <w:rPr>
          <w:noProof/>
        </w:rPr>
        <w:t>possibility to grant a compulsory licence for crisis management</w:t>
      </w:r>
      <w:r w:rsidR="009239AB" w:rsidRPr="003B11BD">
        <w:rPr>
          <w:noProof/>
        </w:rPr>
        <w:t xml:space="preserve"> or only limited to certain types of crises</w:t>
      </w:r>
      <w:r w:rsidR="008F0D90" w:rsidRPr="003B11BD">
        <w:rPr>
          <w:noProof/>
        </w:rPr>
        <w:t>)</w:t>
      </w:r>
      <w:r w:rsidR="00E86AAF" w:rsidRPr="003B11BD">
        <w:rPr>
          <w:noProof/>
        </w:rPr>
        <w:t xml:space="preserve">: </w:t>
      </w:r>
      <w:r w:rsidR="00003616" w:rsidRPr="003B11BD">
        <w:rPr>
          <w:noProof/>
        </w:rPr>
        <w:t>clarifying this aspect is broadly in line with stakeholders opinions as only</w:t>
      </w:r>
      <w:r w:rsidR="00B71741" w:rsidRPr="003B11BD">
        <w:rPr>
          <w:noProof/>
        </w:rPr>
        <w:t xml:space="preserve"> </w:t>
      </w:r>
      <w:r w:rsidR="00BB5041" w:rsidRPr="003B11BD">
        <w:rPr>
          <w:noProof/>
        </w:rPr>
        <w:t xml:space="preserve">few </w:t>
      </w:r>
      <w:r w:rsidR="00003616" w:rsidRPr="003B11BD">
        <w:rPr>
          <w:noProof/>
        </w:rPr>
        <w:t xml:space="preserve">of them </w:t>
      </w:r>
      <w:r w:rsidR="00F26101" w:rsidRPr="003B11BD">
        <w:rPr>
          <w:noProof/>
        </w:rPr>
        <w:t>(5%)</w:t>
      </w:r>
      <w:r w:rsidR="00BB5041" w:rsidRPr="003B11BD">
        <w:rPr>
          <w:noProof/>
        </w:rPr>
        <w:t xml:space="preserve"> are against the use of compulsory licence for crisis management</w:t>
      </w:r>
      <w:r w:rsidR="00003616" w:rsidRPr="003B11BD">
        <w:rPr>
          <w:rStyle w:val="FootnoteReference"/>
          <w:noProof/>
        </w:rPr>
        <w:footnoteReference w:id="85"/>
      </w:r>
      <w:r w:rsidR="00BB5041" w:rsidRPr="003B11BD">
        <w:rPr>
          <w:noProof/>
        </w:rPr>
        <w:t xml:space="preserve">. In addition, those having expressed an opinion are in favour of a compulsory licensing scheme covering a large </w:t>
      </w:r>
      <w:r w:rsidR="00A50530" w:rsidRPr="003B11BD">
        <w:rPr>
          <w:noProof/>
        </w:rPr>
        <w:t>range</w:t>
      </w:r>
      <w:r w:rsidR="00BB5041" w:rsidRPr="003B11BD">
        <w:rPr>
          <w:noProof/>
        </w:rPr>
        <w:t xml:space="preserve"> of crises. For this reason, </w:t>
      </w:r>
      <w:r w:rsidR="00BB5041" w:rsidRPr="003B11BD">
        <w:rPr>
          <w:i/>
          <w:iCs/>
          <w:noProof/>
        </w:rPr>
        <w:t xml:space="preserve">the different options provide for </w:t>
      </w:r>
      <w:r w:rsidR="00E65FFD" w:rsidRPr="003B11BD">
        <w:rPr>
          <w:i/>
          <w:iCs/>
          <w:noProof/>
        </w:rPr>
        <w:t>the granting of a compulsory licence for crisis management, covering all types of crises</w:t>
      </w:r>
      <w:r w:rsidR="00E65FFD" w:rsidRPr="003B11BD">
        <w:rPr>
          <w:noProof/>
        </w:rPr>
        <w:t>.</w:t>
      </w:r>
    </w:p>
    <w:p w14:paraId="1BE75A8E" w14:textId="4CCF9129" w:rsidR="00DD1E64" w:rsidRPr="003B11BD" w:rsidRDefault="00DD1E64" w:rsidP="004C618F">
      <w:pPr>
        <w:pStyle w:val="Bulletslevel2"/>
        <w:rPr>
          <w:b/>
          <w:noProof/>
        </w:rPr>
      </w:pPr>
      <w:r w:rsidRPr="003B11BD">
        <w:rPr>
          <w:noProof/>
          <w:u w:val="dotted"/>
        </w:rPr>
        <w:t>The scope</w:t>
      </w:r>
      <w:r w:rsidRPr="003B11BD">
        <w:rPr>
          <w:noProof/>
        </w:rPr>
        <w:t xml:space="preserve"> </w:t>
      </w:r>
      <w:r w:rsidR="00E86AAF" w:rsidRPr="003B11BD">
        <w:rPr>
          <w:noProof/>
        </w:rPr>
        <w:t>(i.e. covering or not patent applications, SPCs, RDP and know-how)</w:t>
      </w:r>
      <w:r w:rsidR="00B83C93" w:rsidRPr="003B11BD">
        <w:rPr>
          <w:noProof/>
        </w:rPr>
        <w:t xml:space="preserve">: as illustrated in the problem definition, a limited scope can seriously limit the efficiency </w:t>
      </w:r>
      <w:r w:rsidR="0070580A" w:rsidRPr="003B11BD">
        <w:rPr>
          <w:noProof/>
        </w:rPr>
        <w:t xml:space="preserve">and effectiveness of a compulsory licence. Not covering </w:t>
      </w:r>
      <w:r w:rsidR="00C518EB" w:rsidRPr="003B11BD">
        <w:rPr>
          <w:noProof/>
        </w:rPr>
        <w:t xml:space="preserve">patent applications could prevent the use of critical new </w:t>
      </w:r>
      <w:r w:rsidR="00527908" w:rsidRPr="003B11BD">
        <w:rPr>
          <w:noProof/>
        </w:rPr>
        <w:t xml:space="preserve">products or </w:t>
      </w:r>
      <w:r w:rsidR="00C518EB" w:rsidRPr="003B11BD">
        <w:rPr>
          <w:noProof/>
        </w:rPr>
        <w:t>technologies to tackle a crisis. Not covering SPC and RDP could</w:t>
      </w:r>
      <w:r w:rsidR="00585034" w:rsidRPr="003B11BD">
        <w:rPr>
          <w:noProof/>
        </w:rPr>
        <w:t xml:space="preserve"> maintain protection other than IP, </w:t>
      </w:r>
      <w:r w:rsidR="002775D6" w:rsidRPr="003B11BD">
        <w:rPr>
          <w:noProof/>
        </w:rPr>
        <w:t>making the compulsory licence useless.</w:t>
      </w:r>
      <w:r w:rsidR="00AF1098" w:rsidRPr="003B11BD">
        <w:rPr>
          <w:noProof/>
        </w:rPr>
        <w:t xml:space="preserve"> This is acknowledged by </w:t>
      </w:r>
      <w:r w:rsidR="00140041" w:rsidRPr="003B11BD">
        <w:rPr>
          <w:noProof/>
        </w:rPr>
        <w:t xml:space="preserve">many </w:t>
      </w:r>
      <w:r w:rsidR="00757653" w:rsidRPr="003B11BD">
        <w:rPr>
          <w:noProof/>
        </w:rPr>
        <w:t>categories of stakeholders</w:t>
      </w:r>
      <w:r w:rsidR="00150798" w:rsidRPr="003B11BD">
        <w:rPr>
          <w:noProof/>
        </w:rPr>
        <w:t xml:space="preserve">, </w:t>
      </w:r>
      <w:r w:rsidR="002B50E5" w:rsidRPr="003B11BD">
        <w:rPr>
          <w:noProof/>
        </w:rPr>
        <w:t>as far as</w:t>
      </w:r>
      <w:r w:rsidR="00150798" w:rsidRPr="003B11BD">
        <w:rPr>
          <w:noProof/>
        </w:rPr>
        <w:t xml:space="preserve"> patents</w:t>
      </w:r>
      <w:r w:rsidR="008C30CF">
        <w:rPr>
          <w:rStyle w:val="FootnoteReference"/>
          <w:noProof/>
        </w:rPr>
        <w:footnoteReference w:id="86"/>
      </w:r>
      <w:r w:rsidR="00150798" w:rsidRPr="003B11BD">
        <w:rPr>
          <w:noProof/>
        </w:rPr>
        <w:t>, SPC</w:t>
      </w:r>
      <w:r w:rsidR="00150798" w:rsidRPr="003B11BD">
        <w:rPr>
          <w:rStyle w:val="FootnoteReference"/>
          <w:noProof/>
        </w:rPr>
        <w:footnoteReference w:id="87"/>
      </w:r>
      <w:r w:rsidR="00150798" w:rsidRPr="003B11BD">
        <w:rPr>
          <w:noProof/>
        </w:rPr>
        <w:t xml:space="preserve">, </w:t>
      </w:r>
      <w:r w:rsidR="00D50AF7" w:rsidRPr="003B11BD">
        <w:rPr>
          <w:noProof/>
        </w:rPr>
        <w:t>RDP</w:t>
      </w:r>
      <w:r w:rsidR="00D50AF7" w:rsidRPr="003B11BD">
        <w:rPr>
          <w:rStyle w:val="FootnoteReference"/>
          <w:noProof/>
        </w:rPr>
        <w:footnoteReference w:id="88"/>
      </w:r>
      <w:r w:rsidR="00685A36" w:rsidRPr="003B11BD">
        <w:rPr>
          <w:noProof/>
        </w:rPr>
        <w:t xml:space="preserve"> are concerned</w:t>
      </w:r>
      <w:r w:rsidR="00987D4B" w:rsidRPr="003B11BD">
        <w:rPr>
          <w:noProof/>
        </w:rPr>
        <w:t>.</w:t>
      </w:r>
      <w:r w:rsidR="00685A36" w:rsidRPr="003B11BD">
        <w:rPr>
          <w:noProof/>
        </w:rPr>
        <w:t xml:space="preserve"> </w:t>
      </w:r>
      <w:r w:rsidR="00987D4B" w:rsidRPr="003B11BD">
        <w:rPr>
          <w:noProof/>
        </w:rPr>
        <w:t>I</w:t>
      </w:r>
      <w:r w:rsidR="00685A36" w:rsidRPr="003B11BD">
        <w:rPr>
          <w:noProof/>
        </w:rPr>
        <w:t xml:space="preserve">n contrast </w:t>
      </w:r>
      <w:r w:rsidR="00987D4B" w:rsidRPr="003B11BD">
        <w:rPr>
          <w:noProof/>
        </w:rPr>
        <w:t xml:space="preserve">only </w:t>
      </w:r>
      <w:r w:rsidR="007C6484" w:rsidRPr="003B11BD">
        <w:rPr>
          <w:noProof/>
        </w:rPr>
        <w:t>a third of</w:t>
      </w:r>
      <w:r w:rsidR="00987D4B" w:rsidRPr="003B11BD">
        <w:rPr>
          <w:noProof/>
        </w:rPr>
        <w:t xml:space="preserve"> stakeholders are in favour of </w:t>
      </w:r>
      <w:r w:rsidR="005229BF" w:rsidRPr="003B11BD">
        <w:rPr>
          <w:noProof/>
        </w:rPr>
        <w:t xml:space="preserve">including </w:t>
      </w:r>
      <w:r w:rsidR="00685A36" w:rsidRPr="003B11BD">
        <w:rPr>
          <w:noProof/>
        </w:rPr>
        <w:t>know-how</w:t>
      </w:r>
      <w:r w:rsidR="00685A36" w:rsidRPr="003B11BD">
        <w:rPr>
          <w:rStyle w:val="FootnoteReference"/>
          <w:noProof/>
        </w:rPr>
        <w:footnoteReference w:id="89"/>
      </w:r>
      <w:r w:rsidR="005229BF" w:rsidRPr="003B11BD">
        <w:rPr>
          <w:noProof/>
        </w:rPr>
        <w:t xml:space="preserve"> in the scope of compulsory licensing</w:t>
      </w:r>
      <w:r w:rsidR="00281C28" w:rsidRPr="003B11BD">
        <w:rPr>
          <w:noProof/>
        </w:rPr>
        <w:t>.</w:t>
      </w:r>
      <w:r w:rsidR="005229BF" w:rsidRPr="003B11BD">
        <w:rPr>
          <w:noProof/>
        </w:rPr>
        <w:t xml:space="preserve"> However, </w:t>
      </w:r>
      <w:r w:rsidR="0042257C" w:rsidRPr="003B11BD">
        <w:rPr>
          <w:noProof/>
        </w:rPr>
        <w:t xml:space="preserve">good collaboration from the patent owner, including </w:t>
      </w:r>
      <w:r w:rsidR="00B30842" w:rsidRPr="003B11BD">
        <w:rPr>
          <w:noProof/>
        </w:rPr>
        <w:t>in some</w:t>
      </w:r>
      <w:r w:rsidR="002036EA" w:rsidRPr="003B11BD">
        <w:rPr>
          <w:noProof/>
        </w:rPr>
        <w:t xml:space="preserve"> circumstance</w:t>
      </w:r>
      <w:r w:rsidR="00B30842" w:rsidRPr="003B11BD">
        <w:rPr>
          <w:noProof/>
        </w:rPr>
        <w:t>s</w:t>
      </w:r>
      <w:r w:rsidR="002036EA" w:rsidRPr="003B11BD">
        <w:rPr>
          <w:noProof/>
        </w:rPr>
        <w:t xml:space="preserve"> </w:t>
      </w:r>
      <w:r w:rsidR="005229BF" w:rsidRPr="003B11BD">
        <w:rPr>
          <w:noProof/>
        </w:rPr>
        <w:t xml:space="preserve">access </w:t>
      </w:r>
      <w:r w:rsidR="00685A36" w:rsidRPr="003B11BD">
        <w:rPr>
          <w:noProof/>
        </w:rPr>
        <w:t>to know-how</w:t>
      </w:r>
      <w:r w:rsidR="002036EA" w:rsidRPr="003B11BD">
        <w:rPr>
          <w:noProof/>
        </w:rPr>
        <w:t>,</w:t>
      </w:r>
      <w:r w:rsidR="005229BF" w:rsidRPr="003B11BD">
        <w:rPr>
          <w:noProof/>
        </w:rPr>
        <w:t xml:space="preserve"> may </w:t>
      </w:r>
      <w:r w:rsidR="00BA39F7" w:rsidRPr="003B11BD">
        <w:rPr>
          <w:noProof/>
        </w:rPr>
        <w:t>be necessary to ensure the success of a compulsory licence</w:t>
      </w:r>
      <w:r w:rsidR="006E7BED" w:rsidRPr="003B11BD">
        <w:rPr>
          <w:rStyle w:val="FootnoteReference"/>
          <w:noProof/>
        </w:rPr>
        <w:footnoteReference w:id="90"/>
      </w:r>
      <w:r w:rsidR="00BA39F7" w:rsidRPr="003B11BD">
        <w:rPr>
          <w:noProof/>
        </w:rPr>
        <w:t xml:space="preserve">. In that context, all the options </w:t>
      </w:r>
      <w:r w:rsidR="002036EA" w:rsidRPr="003B11BD">
        <w:rPr>
          <w:noProof/>
        </w:rPr>
        <w:t>include a good cooperation obligation for patent owners.</w:t>
      </w:r>
      <w:r w:rsidR="00087C13" w:rsidRPr="003B11BD">
        <w:rPr>
          <w:noProof/>
        </w:rPr>
        <w:t xml:space="preserve"> For this reason, </w:t>
      </w:r>
      <w:r w:rsidR="00087C13" w:rsidRPr="003B11BD">
        <w:rPr>
          <w:i/>
          <w:iCs/>
          <w:noProof/>
        </w:rPr>
        <w:t>all options include a scope covering patents</w:t>
      </w:r>
      <w:r w:rsidR="00FB0420" w:rsidRPr="003B11BD">
        <w:rPr>
          <w:i/>
          <w:iCs/>
          <w:noProof/>
        </w:rPr>
        <w:t xml:space="preserve"> (unitary and national patents)</w:t>
      </w:r>
      <w:r w:rsidR="00087C13" w:rsidRPr="003B11BD">
        <w:rPr>
          <w:i/>
          <w:iCs/>
          <w:noProof/>
        </w:rPr>
        <w:t xml:space="preserve">, patent applications, </w:t>
      </w:r>
      <w:r w:rsidR="00957EC3" w:rsidRPr="003B11BD">
        <w:rPr>
          <w:i/>
          <w:iCs/>
          <w:noProof/>
        </w:rPr>
        <w:t xml:space="preserve">(unitary) </w:t>
      </w:r>
      <w:r w:rsidR="00EC5010" w:rsidRPr="003B11BD">
        <w:rPr>
          <w:i/>
          <w:iCs/>
          <w:noProof/>
        </w:rPr>
        <w:t>SPCs and RDP</w:t>
      </w:r>
      <w:r w:rsidR="00854257" w:rsidRPr="003B11BD">
        <w:rPr>
          <w:rStyle w:val="FootnoteReference"/>
          <w:i/>
          <w:iCs/>
          <w:noProof/>
        </w:rPr>
        <w:footnoteReference w:id="91"/>
      </w:r>
      <w:r w:rsidR="008D278E" w:rsidRPr="003B11BD">
        <w:rPr>
          <w:i/>
          <w:iCs/>
          <w:noProof/>
        </w:rPr>
        <w:t xml:space="preserve"> as well as a good collaboration obligation</w:t>
      </w:r>
      <w:r w:rsidR="00EC5010" w:rsidRPr="003B11BD">
        <w:rPr>
          <w:noProof/>
        </w:rPr>
        <w:t>.</w:t>
      </w:r>
      <w:r w:rsidR="00870F91" w:rsidRPr="003B11BD">
        <w:rPr>
          <w:noProof/>
        </w:rPr>
        <w:t xml:space="preserve"> Other IP rights would not be covered (see discarded option</w:t>
      </w:r>
      <w:r w:rsidR="0045029B" w:rsidRPr="003B11BD">
        <w:rPr>
          <w:noProof/>
        </w:rPr>
        <w:t>s</w:t>
      </w:r>
      <w:r w:rsidR="00870F91" w:rsidRPr="003B11BD">
        <w:rPr>
          <w:noProof/>
        </w:rPr>
        <w:t>).</w:t>
      </w:r>
    </w:p>
    <w:p w14:paraId="56E07691" w14:textId="45084D93" w:rsidR="005F7BC2" w:rsidRPr="003B11BD" w:rsidRDefault="005F7BC2" w:rsidP="004C618F">
      <w:pPr>
        <w:pStyle w:val="Bulletslevel2"/>
        <w:rPr>
          <w:b/>
          <w:noProof/>
        </w:rPr>
      </w:pPr>
      <w:r w:rsidRPr="003B11BD">
        <w:rPr>
          <w:noProof/>
          <w:u w:val="dotted"/>
        </w:rPr>
        <w:t>The procedure</w:t>
      </w:r>
      <w:r w:rsidRPr="003B11BD">
        <w:rPr>
          <w:noProof/>
        </w:rPr>
        <w:t xml:space="preserve"> (i.e. absence of an accelerated procedure): as illustrated </w:t>
      </w:r>
      <w:r w:rsidR="0064463C" w:rsidRPr="003B11BD">
        <w:rPr>
          <w:noProof/>
        </w:rPr>
        <w:t>in the problem defin</w:t>
      </w:r>
      <w:r w:rsidR="00FB29A2" w:rsidRPr="003B11BD">
        <w:rPr>
          <w:noProof/>
        </w:rPr>
        <w:t>i</w:t>
      </w:r>
      <w:r w:rsidR="0064463C" w:rsidRPr="003B11BD">
        <w:rPr>
          <w:noProof/>
        </w:rPr>
        <w:t>tion</w:t>
      </w:r>
      <w:r w:rsidR="00FB29A2" w:rsidRPr="003B11BD">
        <w:rPr>
          <w:noProof/>
        </w:rPr>
        <w:t>, the absence of an accelerated procedure can delay the granting of a compulsory licence. Yet, a large majority of respondents (74%</w:t>
      </w:r>
      <w:r w:rsidR="001C4AF4" w:rsidRPr="003B11BD">
        <w:rPr>
          <w:noProof/>
        </w:rPr>
        <w:t>,</w:t>
      </w:r>
      <w:r w:rsidR="00FB29A2" w:rsidRPr="003B11BD">
        <w:rPr>
          <w:noProof/>
        </w:rPr>
        <w:t xml:space="preserve"> N= 55) consider the speed of ensuring access to the required products and/ or technologies as a high priority for compulsory licensing in crisis</w:t>
      </w:r>
      <w:r w:rsidR="00873E7E" w:rsidRPr="003B11BD">
        <w:rPr>
          <w:rStyle w:val="FootnoteReference"/>
          <w:noProof/>
        </w:rPr>
        <w:footnoteReference w:id="92"/>
      </w:r>
      <w:r w:rsidR="00FB29A2" w:rsidRPr="003B11BD">
        <w:rPr>
          <w:noProof/>
        </w:rPr>
        <w:t>.</w:t>
      </w:r>
      <w:r w:rsidR="008437A2" w:rsidRPr="003B11BD">
        <w:rPr>
          <w:noProof/>
        </w:rPr>
        <w:t xml:space="preserve"> For this reason, </w:t>
      </w:r>
      <w:r w:rsidR="008437A2" w:rsidRPr="003B11BD">
        <w:rPr>
          <w:i/>
          <w:iCs/>
          <w:noProof/>
        </w:rPr>
        <w:t>all options include an accelerated procedure.</w:t>
      </w:r>
    </w:p>
    <w:p w14:paraId="4F7DDAA5" w14:textId="77292F32" w:rsidR="008437A2" w:rsidRPr="003B11BD" w:rsidRDefault="008437A2" w:rsidP="004C618F">
      <w:pPr>
        <w:pStyle w:val="Bulletslevel2"/>
        <w:rPr>
          <w:b/>
          <w:noProof/>
        </w:rPr>
      </w:pPr>
      <w:r w:rsidRPr="003B11BD">
        <w:rPr>
          <w:noProof/>
          <w:u w:val="dotted"/>
        </w:rPr>
        <w:t>The conditions</w:t>
      </w:r>
      <w:r w:rsidRPr="003B11BD">
        <w:rPr>
          <w:noProof/>
        </w:rPr>
        <w:t xml:space="preserve"> (i.e.</w:t>
      </w:r>
      <w:r w:rsidR="00FF54DA" w:rsidRPr="003B11BD">
        <w:rPr>
          <w:noProof/>
        </w:rPr>
        <w:t xml:space="preserve"> </w:t>
      </w:r>
      <w:r w:rsidR="00BB4581" w:rsidRPr="003B11BD">
        <w:rPr>
          <w:noProof/>
        </w:rPr>
        <w:t>burdensome identification requirements</w:t>
      </w:r>
      <w:r w:rsidR="00825CA8" w:rsidRPr="003B11BD">
        <w:rPr>
          <w:noProof/>
        </w:rPr>
        <w:t>,</w:t>
      </w:r>
      <w:r w:rsidR="00BB4581" w:rsidRPr="003B11BD">
        <w:rPr>
          <w:noProof/>
        </w:rPr>
        <w:t xml:space="preserve"> embargos</w:t>
      </w:r>
      <w:r w:rsidR="00825CA8" w:rsidRPr="003B11BD">
        <w:rPr>
          <w:noProof/>
        </w:rPr>
        <w:t xml:space="preserve"> and rules on remuneration</w:t>
      </w:r>
      <w:r w:rsidR="00BB4581" w:rsidRPr="003B11BD">
        <w:rPr>
          <w:noProof/>
        </w:rPr>
        <w:t xml:space="preserve">): as illustrated in the problem definition, </w:t>
      </w:r>
      <w:r w:rsidR="00DD0255" w:rsidRPr="003B11BD">
        <w:rPr>
          <w:noProof/>
        </w:rPr>
        <w:t xml:space="preserve">identification of a patent or imposing an embargo can undermine the efficiency of compulsory licensing for crisis management. </w:t>
      </w:r>
      <w:r w:rsidR="006B1FD8" w:rsidRPr="003B11BD">
        <w:rPr>
          <w:noProof/>
        </w:rPr>
        <w:t xml:space="preserve">Pre-defined rules on remuneration </w:t>
      </w:r>
      <w:r w:rsidR="00825CA8" w:rsidRPr="003B11BD">
        <w:rPr>
          <w:noProof/>
        </w:rPr>
        <w:t xml:space="preserve">can to the contrary support a swift </w:t>
      </w:r>
      <w:r w:rsidR="007A69A4" w:rsidRPr="003B11BD">
        <w:rPr>
          <w:noProof/>
        </w:rPr>
        <w:t>granting of a compulsory licence</w:t>
      </w:r>
      <w:r w:rsidR="00873E7E" w:rsidRPr="003B11BD">
        <w:rPr>
          <w:rStyle w:val="FootnoteReference"/>
          <w:noProof/>
        </w:rPr>
        <w:footnoteReference w:id="93"/>
      </w:r>
      <w:r w:rsidR="007A69A4" w:rsidRPr="003B11BD">
        <w:rPr>
          <w:noProof/>
        </w:rPr>
        <w:t xml:space="preserve">. For this reason, </w:t>
      </w:r>
      <w:r w:rsidR="007A69A4" w:rsidRPr="003B11BD">
        <w:rPr>
          <w:i/>
          <w:iCs/>
          <w:noProof/>
        </w:rPr>
        <w:t xml:space="preserve">all options include as conditions </w:t>
      </w:r>
      <w:r w:rsidR="00CA1CFF" w:rsidRPr="003B11BD">
        <w:rPr>
          <w:i/>
          <w:iCs/>
          <w:noProof/>
        </w:rPr>
        <w:t>streamlined identification of patents/ product</w:t>
      </w:r>
      <w:r w:rsidR="007A69A4" w:rsidRPr="003B11BD">
        <w:rPr>
          <w:i/>
          <w:iCs/>
          <w:noProof/>
        </w:rPr>
        <w:t xml:space="preserve"> the prohibition of embargos and rules on remuneration.</w:t>
      </w:r>
    </w:p>
    <w:p w14:paraId="0137F0A3" w14:textId="6268AFF8" w:rsidR="00F26F46" w:rsidRPr="003B11BD" w:rsidRDefault="00E815BB" w:rsidP="009E76F7">
      <w:pPr>
        <w:ind w:left="454"/>
        <w:rPr>
          <w:noProof/>
          <w:lang w:val="en-IE"/>
        </w:rPr>
      </w:pPr>
      <w:r w:rsidRPr="003B11BD">
        <w:rPr>
          <w:noProof/>
          <w:lang w:val="en-IE"/>
        </w:rPr>
        <w:t xml:space="preserve">Consequently, the </w:t>
      </w:r>
      <w:r w:rsidR="009C1DBF" w:rsidRPr="003B11BD">
        <w:rPr>
          <w:noProof/>
          <w:lang w:val="en-IE"/>
        </w:rPr>
        <w:t xml:space="preserve">legislative </w:t>
      </w:r>
      <w:r w:rsidRPr="003B11BD">
        <w:rPr>
          <w:noProof/>
          <w:lang w:val="en-IE"/>
        </w:rPr>
        <w:t>options a</w:t>
      </w:r>
      <w:r w:rsidR="009C1DBF" w:rsidRPr="003B11BD">
        <w:rPr>
          <w:noProof/>
          <w:lang w:val="en-IE"/>
        </w:rPr>
        <w:t xml:space="preserve">llow for the granting of a compulsory licence to tackle </w:t>
      </w:r>
      <w:r w:rsidR="009C1DBF" w:rsidRPr="003B11BD">
        <w:rPr>
          <w:i/>
          <w:noProof/>
          <w:lang w:val="en-IE"/>
        </w:rPr>
        <w:t>all type</w:t>
      </w:r>
      <w:r w:rsidR="00C45C47" w:rsidRPr="003B11BD">
        <w:rPr>
          <w:i/>
          <w:noProof/>
          <w:lang w:val="en-IE"/>
        </w:rPr>
        <w:t>s</w:t>
      </w:r>
      <w:r w:rsidR="009C1DBF" w:rsidRPr="003B11BD">
        <w:rPr>
          <w:i/>
          <w:noProof/>
          <w:lang w:val="en-IE"/>
        </w:rPr>
        <w:t xml:space="preserve"> of </w:t>
      </w:r>
      <w:r w:rsidR="009C1DBF" w:rsidRPr="003B11BD">
        <w:rPr>
          <w:noProof/>
          <w:lang w:val="en-IE"/>
        </w:rPr>
        <w:t>crises</w:t>
      </w:r>
      <w:r w:rsidR="00541445" w:rsidRPr="003B11BD">
        <w:rPr>
          <w:noProof/>
          <w:lang w:val="en-IE"/>
        </w:rPr>
        <w:t xml:space="preserve">, providing a </w:t>
      </w:r>
      <w:r w:rsidR="00541445" w:rsidRPr="003B11BD">
        <w:rPr>
          <w:i/>
          <w:noProof/>
          <w:lang w:val="en-IE"/>
        </w:rPr>
        <w:t>large scope</w:t>
      </w:r>
      <w:r w:rsidR="00541445" w:rsidRPr="003B11BD">
        <w:rPr>
          <w:noProof/>
          <w:lang w:val="en-IE"/>
        </w:rPr>
        <w:t xml:space="preserve"> (covering SPCs and RDP), subject to a </w:t>
      </w:r>
      <w:r w:rsidR="00541445" w:rsidRPr="003B11BD">
        <w:rPr>
          <w:i/>
          <w:noProof/>
          <w:lang w:val="en-IE"/>
        </w:rPr>
        <w:t>streamlined procedure</w:t>
      </w:r>
      <w:r w:rsidR="00541445" w:rsidRPr="003B11BD">
        <w:rPr>
          <w:noProof/>
          <w:lang w:val="en-IE"/>
        </w:rPr>
        <w:t xml:space="preserve"> and with </w:t>
      </w:r>
      <w:r w:rsidR="00541445" w:rsidRPr="003B11BD">
        <w:rPr>
          <w:i/>
          <w:noProof/>
          <w:lang w:val="en-IE"/>
        </w:rPr>
        <w:t>optimal conditions</w:t>
      </w:r>
      <w:r w:rsidR="00541445" w:rsidRPr="003B11BD">
        <w:rPr>
          <w:noProof/>
          <w:lang w:val="en-IE"/>
        </w:rPr>
        <w:t>.</w:t>
      </w:r>
      <w:r w:rsidR="009C1DBF" w:rsidRPr="003B11BD">
        <w:rPr>
          <w:noProof/>
          <w:lang w:val="en-IE"/>
        </w:rPr>
        <w:t xml:space="preserve"> </w:t>
      </w:r>
      <w:r w:rsidR="00541445" w:rsidRPr="003B11BD">
        <w:rPr>
          <w:noProof/>
          <w:lang w:val="en-IE"/>
        </w:rPr>
        <w:t>The o</w:t>
      </w:r>
      <w:r w:rsidR="003E5E10" w:rsidRPr="003B11BD">
        <w:rPr>
          <w:noProof/>
          <w:lang w:val="en-IE"/>
        </w:rPr>
        <w:t xml:space="preserve">ptions differ as they propose different ways to implement these </w:t>
      </w:r>
      <w:r w:rsidR="00B54B05" w:rsidRPr="003B11BD">
        <w:rPr>
          <w:noProof/>
          <w:lang w:val="en-IE"/>
        </w:rPr>
        <w:t>features</w:t>
      </w:r>
      <w:r w:rsidR="007D2821" w:rsidRPr="003B11BD">
        <w:rPr>
          <w:noProof/>
          <w:lang w:val="en-IE"/>
        </w:rPr>
        <w:t xml:space="preserve">. Each option therefore details </w:t>
      </w:r>
      <w:r w:rsidR="00494168" w:rsidRPr="003B11BD">
        <w:rPr>
          <w:noProof/>
          <w:lang w:val="en-IE"/>
        </w:rPr>
        <w:t>how tri</w:t>
      </w:r>
      <w:r w:rsidR="00A30A23" w:rsidRPr="003B11BD">
        <w:rPr>
          <w:noProof/>
          <w:lang w:val="en-IE"/>
        </w:rPr>
        <w:t>gger, scope</w:t>
      </w:r>
      <w:r w:rsidR="00F45156" w:rsidRPr="003B11BD">
        <w:rPr>
          <w:noProof/>
          <w:lang w:val="en-IE"/>
        </w:rPr>
        <w:t>, conditions and procedure are clarified.</w:t>
      </w:r>
      <w:r w:rsidR="00F26F46" w:rsidRPr="003B11BD">
        <w:rPr>
          <w:noProof/>
          <w:lang w:val="en-IE"/>
        </w:rPr>
        <w:t xml:space="preserve"> </w:t>
      </w:r>
      <w:r w:rsidR="002E3982" w:rsidRPr="003B11BD">
        <w:rPr>
          <w:noProof/>
          <w:lang w:val="en-IE"/>
        </w:rPr>
        <w:t>Additionally, ea</w:t>
      </w:r>
      <w:r w:rsidR="00EE17F1" w:rsidRPr="003B11BD">
        <w:rPr>
          <w:noProof/>
          <w:lang w:val="en-IE"/>
        </w:rPr>
        <w:t>ch option specifies who decides to issue a compulsory licence</w:t>
      </w:r>
      <w:r w:rsidR="00631180" w:rsidRPr="003B11BD">
        <w:rPr>
          <w:noProof/>
          <w:lang w:val="en-IE"/>
        </w:rPr>
        <w:t xml:space="preserve"> and the </w:t>
      </w:r>
      <w:r w:rsidR="001A0666" w:rsidRPr="003B11BD">
        <w:rPr>
          <w:noProof/>
          <w:lang w:val="en-IE"/>
        </w:rPr>
        <w:t>applicable procedur</w:t>
      </w:r>
      <w:r w:rsidR="00231D62" w:rsidRPr="003B11BD">
        <w:rPr>
          <w:noProof/>
          <w:lang w:val="en-IE"/>
        </w:rPr>
        <w:t>e</w:t>
      </w:r>
      <w:r w:rsidR="008952A9" w:rsidRPr="003B11BD">
        <w:rPr>
          <w:noProof/>
          <w:lang w:val="en-IE"/>
        </w:rPr>
        <w:t>.</w:t>
      </w:r>
      <w:r w:rsidR="00673440" w:rsidRPr="003B11BD">
        <w:rPr>
          <w:noProof/>
          <w:lang w:val="en-IE"/>
        </w:rPr>
        <w:t xml:space="preserve"> </w:t>
      </w:r>
    </w:p>
    <w:p w14:paraId="0683E7AA" w14:textId="2F93F30B" w:rsidR="00DC58FA" w:rsidRPr="003B11BD" w:rsidRDefault="00A94F37" w:rsidP="004C618F">
      <w:pPr>
        <w:pStyle w:val="Bullets"/>
        <w:rPr>
          <w:noProof/>
        </w:rPr>
      </w:pPr>
      <w:r w:rsidRPr="003B11BD">
        <w:rPr>
          <w:b/>
          <w:bCs/>
          <w:noProof/>
        </w:rPr>
        <w:t>Territorial reach</w:t>
      </w:r>
      <w:r w:rsidR="002E3982" w:rsidRPr="003B11BD">
        <w:rPr>
          <w:b/>
          <w:bCs/>
          <w:noProof/>
        </w:rPr>
        <w:t xml:space="preserve"> </w:t>
      </w:r>
      <w:r w:rsidR="00933D80" w:rsidRPr="003B11BD">
        <w:rPr>
          <w:b/>
          <w:bCs/>
          <w:noProof/>
        </w:rPr>
        <w:t xml:space="preserve">of </w:t>
      </w:r>
      <w:r w:rsidR="00490173" w:rsidRPr="003B11BD">
        <w:rPr>
          <w:b/>
          <w:bCs/>
          <w:noProof/>
        </w:rPr>
        <w:t>compulsory licensing</w:t>
      </w:r>
      <w:r w:rsidR="4B55AD4E" w:rsidRPr="003B11BD">
        <w:rPr>
          <w:b/>
          <w:bCs/>
          <w:noProof/>
        </w:rPr>
        <w:t xml:space="preserve"> </w:t>
      </w:r>
      <w:r w:rsidR="00BA3908" w:rsidRPr="003B11BD">
        <w:rPr>
          <w:b/>
          <w:bCs/>
          <w:noProof/>
        </w:rPr>
        <w:t xml:space="preserve">(addressing </w:t>
      </w:r>
      <w:r w:rsidR="4B55AD4E" w:rsidRPr="003B11BD">
        <w:rPr>
          <w:b/>
          <w:bCs/>
          <w:noProof/>
        </w:rPr>
        <w:t>SO2)</w:t>
      </w:r>
      <w:r w:rsidR="005916C4" w:rsidRPr="003B11BD">
        <w:rPr>
          <w:noProof/>
        </w:rPr>
        <w:t xml:space="preserve">: Each option </w:t>
      </w:r>
      <w:r w:rsidR="00A97D12" w:rsidRPr="003B11BD">
        <w:rPr>
          <w:noProof/>
        </w:rPr>
        <w:t xml:space="preserve">indicates the </w:t>
      </w:r>
      <w:r w:rsidR="009262FF" w:rsidRPr="003B11BD">
        <w:rPr>
          <w:noProof/>
        </w:rPr>
        <w:t>territorial coverage and the need – or absence thereof – to issue multiple compulsory licences</w:t>
      </w:r>
      <w:r w:rsidR="006213FC" w:rsidRPr="003B11BD">
        <w:rPr>
          <w:noProof/>
        </w:rPr>
        <w:t xml:space="preserve">, and therefore how </w:t>
      </w:r>
      <w:r w:rsidR="00D412DF" w:rsidRPr="003B11BD">
        <w:rPr>
          <w:noProof/>
        </w:rPr>
        <w:t xml:space="preserve">it fits </w:t>
      </w:r>
      <w:r w:rsidR="005F56E4" w:rsidRPr="003B11BD">
        <w:rPr>
          <w:noProof/>
        </w:rPr>
        <w:t xml:space="preserve">the inherently cross-border nature of supply chains in the </w:t>
      </w:r>
      <w:r w:rsidR="00D43F3F" w:rsidRPr="003B11BD">
        <w:rPr>
          <w:noProof/>
        </w:rPr>
        <w:t>Single Market</w:t>
      </w:r>
      <w:r w:rsidR="5A883033" w:rsidRPr="003B11BD">
        <w:rPr>
          <w:noProof/>
        </w:rPr>
        <w:t>.</w:t>
      </w:r>
      <w:r w:rsidR="00673440" w:rsidRPr="003B11BD">
        <w:rPr>
          <w:noProof/>
        </w:rPr>
        <w:t xml:space="preserve"> </w:t>
      </w:r>
      <w:r w:rsidR="00F170FE" w:rsidRPr="003B11BD">
        <w:rPr>
          <w:noProof/>
        </w:rPr>
        <w:t>In this context it is worth noting that almost half of the respondents to the public consultation consider that a compulsory licence should enable the manufacturing of products ac</w:t>
      </w:r>
      <w:r w:rsidR="00BF21E6" w:rsidRPr="003B11BD">
        <w:rPr>
          <w:noProof/>
        </w:rPr>
        <w:t>ross several EU countries (46%, N=</w:t>
      </w:r>
      <w:r w:rsidR="00F170FE" w:rsidRPr="003B11BD">
        <w:rPr>
          <w:noProof/>
        </w:rPr>
        <w:t>34) or to be exported in another Member State than the one in which the pr</w:t>
      </w:r>
      <w:r w:rsidR="00BF21E6" w:rsidRPr="003B11BD">
        <w:rPr>
          <w:noProof/>
        </w:rPr>
        <w:t>oduct is manufactured (45%, N=</w:t>
      </w:r>
      <w:r w:rsidR="00F170FE" w:rsidRPr="003B11BD">
        <w:rPr>
          <w:noProof/>
        </w:rPr>
        <w:t>33 replies)</w:t>
      </w:r>
      <w:r w:rsidR="00F170FE" w:rsidRPr="003B11BD">
        <w:rPr>
          <w:rStyle w:val="FootnoteReference"/>
          <w:noProof/>
        </w:rPr>
        <w:footnoteReference w:id="94"/>
      </w:r>
      <w:r w:rsidR="00F170FE" w:rsidRPr="003B11BD">
        <w:rPr>
          <w:noProof/>
        </w:rPr>
        <w:t xml:space="preserve">. </w:t>
      </w:r>
    </w:p>
    <w:p w14:paraId="24738E1B" w14:textId="34DFE7C8" w:rsidR="0088418B" w:rsidRPr="003B11BD" w:rsidRDefault="00D412DF" w:rsidP="004C618F">
      <w:pPr>
        <w:pStyle w:val="Bullets"/>
        <w:rPr>
          <w:noProof/>
        </w:rPr>
      </w:pPr>
      <w:r w:rsidRPr="003B11BD">
        <w:rPr>
          <w:b/>
          <w:bCs/>
          <w:noProof/>
        </w:rPr>
        <w:t>Support to</w:t>
      </w:r>
      <w:r w:rsidR="00A15DF8" w:rsidRPr="003B11BD">
        <w:rPr>
          <w:b/>
          <w:bCs/>
          <w:noProof/>
        </w:rPr>
        <w:t xml:space="preserve"> EU resilience</w:t>
      </w:r>
      <w:r w:rsidR="32D08B98" w:rsidRPr="003B11BD">
        <w:rPr>
          <w:b/>
          <w:bCs/>
          <w:noProof/>
        </w:rPr>
        <w:t xml:space="preserve"> </w:t>
      </w:r>
      <w:r w:rsidR="00BA3908" w:rsidRPr="003B11BD">
        <w:rPr>
          <w:b/>
          <w:bCs/>
          <w:noProof/>
        </w:rPr>
        <w:t xml:space="preserve">(addressing </w:t>
      </w:r>
      <w:r w:rsidR="32D08B98" w:rsidRPr="003B11BD">
        <w:rPr>
          <w:b/>
          <w:bCs/>
          <w:noProof/>
        </w:rPr>
        <w:t>SO3)</w:t>
      </w:r>
      <w:r w:rsidR="00A15DF8" w:rsidRPr="003B11BD">
        <w:rPr>
          <w:noProof/>
        </w:rPr>
        <w:t xml:space="preserve">: Each option </w:t>
      </w:r>
      <w:r w:rsidR="00F118DD" w:rsidRPr="003B11BD">
        <w:rPr>
          <w:noProof/>
        </w:rPr>
        <w:t xml:space="preserve">specifies the </w:t>
      </w:r>
      <w:r w:rsidR="003137E3" w:rsidRPr="003B11BD">
        <w:rPr>
          <w:noProof/>
        </w:rPr>
        <w:t>role it plays in</w:t>
      </w:r>
      <w:r w:rsidR="00EA759F" w:rsidRPr="003B11BD">
        <w:rPr>
          <w:noProof/>
        </w:rPr>
        <w:t xml:space="preserve"> supporting the EU efforts to</w:t>
      </w:r>
      <w:r w:rsidR="003137E3" w:rsidRPr="003B11BD">
        <w:rPr>
          <w:noProof/>
        </w:rPr>
        <w:t xml:space="preserve"> </w:t>
      </w:r>
      <w:r w:rsidRPr="003B11BD">
        <w:rPr>
          <w:noProof/>
        </w:rPr>
        <w:t>foster</w:t>
      </w:r>
      <w:r w:rsidR="003137E3" w:rsidRPr="003B11BD">
        <w:rPr>
          <w:noProof/>
        </w:rPr>
        <w:t xml:space="preserve"> resilience to crises and the coherence </w:t>
      </w:r>
      <w:r w:rsidR="00925280" w:rsidRPr="003B11BD">
        <w:rPr>
          <w:noProof/>
        </w:rPr>
        <w:t>with the different EU crisis instruments</w:t>
      </w:r>
      <w:r w:rsidR="0050407A" w:rsidRPr="003B11BD">
        <w:rPr>
          <w:noProof/>
        </w:rPr>
        <w:t xml:space="preserve"> as</w:t>
      </w:r>
      <w:r w:rsidR="004A6B45" w:rsidRPr="003B11BD">
        <w:rPr>
          <w:noProof/>
        </w:rPr>
        <w:t xml:space="preserve"> well </w:t>
      </w:r>
      <w:r w:rsidR="00AE52A7" w:rsidRPr="003B11BD">
        <w:rPr>
          <w:noProof/>
        </w:rPr>
        <w:t>as the streamlining</w:t>
      </w:r>
      <w:r w:rsidR="00B1603E" w:rsidRPr="003B11BD">
        <w:rPr>
          <w:noProof/>
        </w:rPr>
        <w:t>, transparency</w:t>
      </w:r>
      <w:r w:rsidR="00AE52A7" w:rsidRPr="003B11BD">
        <w:rPr>
          <w:noProof/>
        </w:rPr>
        <w:t xml:space="preserve"> </w:t>
      </w:r>
      <w:r w:rsidR="00A00F10" w:rsidRPr="003B11BD">
        <w:rPr>
          <w:noProof/>
        </w:rPr>
        <w:t>and coordi</w:t>
      </w:r>
      <w:r w:rsidR="00B1603E" w:rsidRPr="003B11BD">
        <w:rPr>
          <w:noProof/>
        </w:rPr>
        <w:t xml:space="preserve">nation </w:t>
      </w:r>
      <w:r w:rsidR="00AE52A7" w:rsidRPr="003B11BD">
        <w:rPr>
          <w:noProof/>
        </w:rPr>
        <w:t>efforts on decision making</w:t>
      </w:r>
      <w:r w:rsidR="00925280" w:rsidRPr="003B11BD">
        <w:rPr>
          <w:noProof/>
        </w:rPr>
        <w:t>.</w:t>
      </w:r>
      <w:r w:rsidR="0014766B" w:rsidRPr="003B11BD">
        <w:rPr>
          <w:noProof/>
        </w:rPr>
        <w:t xml:space="preserve"> </w:t>
      </w:r>
      <w:r w:rsidR="008D541C" w:rsidRPr="003B11BD">
        <w:rPr>
          <w:noProof/>
        </w:rPr>
        <w:t>Because of the horizontal nature of IP rights, the envisaged initiative on compulsory licensing will build on these crisis instruments, by relying on the concepts and mechanisms already in place and complement them</w:t>
      </w:r>
      <w:r w:rsidR="2CDA3340" w:rsidRPr="003B11BD">
        <w:rPr>
          <w:noProof/>
        </w:rPr>
        <w:t>.</w:t>
      </w:r>
      <w:r w:rsidR="008D541C" w:rsidRPr="003B11BD">
        <w:rPr>
          <w:noProof/>
        </w:rPr>
        <w:t xml:space="preserve"> </w:t>
      </w:r>
      <w:r w:rsidR="0088418B" w:rsidRPr="003B11BD">
        <w:rPr>
          <w:noProof/>
        </w:rPr>
        <w:t>Finally, all options envisage certain reporting obligations</w:t>
      </w:r>
      <w:r w:rsidR="0088418B" w:rsidRPr="003B11BD">
        <w:rPr>
          <w:rStyle w:val="FootnoteReference"/>
          <w:noProof/>
        </w:rPr>
        <w:footnoteReference w:id="95"/>
      </w:r>
      <w:r w:rsidR="0088418B" w:rsidRPr="003B11BD">
        <w:rPr>
          <w:noProof/>
        </w:rPr>
        <w:t xml:space="preserve"> </w:t>
      </w:r>
      <w:r w:rsidR="002B1359" w:rsidRPr="003B11BD">
        <w:rPr>
          <w:noProof/>
        </w:rPr>
        <w:t xml:space="preserve">imposed </w:t>
      </w:r>
      <w:r w:rsidR="0088418B" w:rsidRPr="003B11BD">
        <w:rPr>
          <w:noProof/>
        </w:rPr>
        <w:t>on M</w:t>
      </w:r>
      <w:r w:rsidR="002B1359" w:rsidRPr="003B11BD">
        <w:rPr>
          <w:noProof/>
        </w:rPr>
        <w:t xml:space="preserve">ember </w:t>
      </w:r>
      <w:r w:rsidR="0088418B" w:rsidRPr="003B11BD">
        <w:rPr>
          <w:noProof/>
        </w:rPr>
        <w:t>S</w:t>
      </w:r>
      <w:r w:rsidR="002B1359" w:rsidRPr="003B11BD">
        <w:rPr>
          <w:noProof/>
        </w:rPr>
        <w:t>tates</w:t>
      </w:r>
      <w:r w:rsidR="0088418B" w:rsidRPr="003B11BD">
        <w:rPr>
          <w:noProof/>
        </w:rPr>
        <w:t xml:space="preserve"> if a compulsory licenc</w:t>
      </w:r>
      <w:r w:rsidR="005C36C3" w:rsidRPr="003B11BD">
        <w:rPr>
          <w:noProof/>
        </w:rPr>
        <w:t>e</w:t>
      </w:r>
      <w:r w:rsidR="0088418B" w:rsidRPr="003B11BD">
        <w:rPr>
          <w:noProof/>
        </w:rPr>
        <w:t xml:space="preserve"> is considered to tackle a cross-border crisis. The scope of such obligation differs according to options, as it may range from </w:t>
      </w:r>
      <w:r w:rsidR="0091561A" w:rsidRPr="003B11BD">
        <w:rPr>
          <w:noProof/>
        </w:rPr>
        <w:t xml:space="preserve">exchanges of information during </w:t>
      </w:r>
      <w:r w:rsidR="00E6068C" w:rsidRPr="003B11BD">
        <w:rPr>
          <w:noProof/>
        </w:rPr>
        <w:t xml:space="preserve">compulsory licensing </w:t>
      </w:r>
      <w:r w:rsidR="0088418B" w:rsidRPr="003B11BD">
        <w:rPr>
          <w:noProof/>
        </w:rPr>
        <w:t>negotiations</w:t>
      </w:r>
      <w:r w:rsidR="0091561A" w:rsidRPr="003B11BD">
        <w:rPr>
          <w:noProof/>
        </w:rPr>
        <w:t>,</w:t>
      </w:r>
      <w:r w:rsidR="0088418B" w:rsidRPr="003B11BD">
        <w:rPr>
          <w:noProof/>
        </w:rPr>
        <w:t xml:space="preserve"> to </w:t>
      </w:r>
      <w:r w:rsidR="000B13A4" w:rsidRPr="003B11BD">
        <w:rPr>
          <w:i/>
          <w:iCs/>
          <w:noProof/>
        </w:rPr>
        <w:t>post-factum</w:t>
      </w:r>
      <w:r w:rsidR="000B13A4" w:rsidRPr="003B11BD">
        <w:rPr>
          <w:noProof/>
        </w:rPr>
        <w:t xml:space="preserve"> </w:t>
      </w:r>
      <w:r w:rsidR="0088418B" w:rsidRPr="003B11BD">
        <w:rPr>
          <w:noProof/>
        </w:rPr>
        <w:t xml:space="preserve">reporting on the </w:t>
      </w:r>
      <w:r w:rsidR="0091561A" w:rsidRPr="003B11BD">
        <w:rPr>
          <w:noProof/>
        </w:rPr>
        <w:t>implementation of the CL.</w:t>
      </w:r>
      <w:r w:rsidR="0088418B" w:rsidRPr="003B11BD">
        <w:rPr>
          <w:noProof/>
        </w:rPr>
        <w:t xml:space="preserve"> </w:t>
      </w:r>
      <w:r w:rsidR="0091561A" w:rsidRPr="003B11BD">
        <w:rPr>
          <w:noProof/>
        </w:rPr>
        <w:t xml:space="preserve">The reporting requirements would not necessitate any additional </w:t>
      </w:r>
      <w:r w:rsidR="000B13A4" w:rsidRPr="003B11BD">
        <w:rPr>
          <w:noProof/>
        </w:rPr>
        <w:t xml:space="preserve">ICT </w:t>
      </w:r>
      <w:r w:rsidR="0091561A" w:rsidRPr="003B11BD">
        <w:rPr>
          <w:noProof/>
        </w:rPr>
        <w:t>infrastructure nor data collection, as they would</w:t>
      </w:r>
      <w:r w:rsidR="000B13A4" w:rsidRPr="003B11BD">
        <w:rPr>
          <w:noProof/>
        </w:rPr>
        <w:t xml:space="preserve"> refer to basic information included in the licence agreement</w:t>
      </w:r>
      <w:r w:rsidR="00A26B08" w:rsidRPr="003B11BD">
        <w:rPr>
          <w:noProof/>
        </w:rPr>
        <w:t>s</w:t>
      </w:r>
      <w:r w:rsidR="0091561A" w:rsidRPr="003B11BD">
        <w:rPr>
          <w:noProof/>
        </w:rPr>
        <w:t xml:space="preserve">. </w:t>
      </w:r>
    </w:p>
    <w:p w14:paraId="43FDC159" w14:textId="0D83E72E" w:rsidR="0045322F" w:rsidRPr="003B11BD" w:rsidRDefault="0045322F" w:rsidP="004C618F">
      <w:pPr>
        <w:pStyle w:val="Bullets"/>
        <w:numPr>
          <w:ilvl w:val="0"/>
          <w:numId w:val="0"/>
        </w:numPr>
        <w:rPr>
          <w:noProof/>
        </w:rPr>
      </w:pPr>
      <w:r w:rsidRPr="003B11BD">
        <w:rPr>
          <w:noProof/>
        </w:rPr>
        <w:t>The results of the public consultation show that a large majority (82%, N=61) of respondents consider that public authorities should be entitled to allow production of critical goods through a CL. Respondents are usually less in favour of a decision-making role of European institutions (28%, N= 21) than a coordinating role (36%, N=27). This c</w:t>
      </w:r>
      <w:r w:rsidR="004653C4" w:rsidRPr="003B11BD">
        <w:rPr>
          <w:noProof/>
        </w:rPr>
        <w:t>an</w:t>
      </w:r>
      <w:r w:rsidRPr="003B11BD">
        <w:rPr>
          <w:noProof/>
        </w:rPr>
        <w:t xml:space="preserve"> be explained by the</w:t>
      </w:r>
      <w:r w:rsidR="006171BC" w:rsidRPr="003B11BD">
        <w:rPr>
          <w:noProof/>
        </w:rPr>
        <w:t xml:space="preserve"> fact that businesses and </w:t>
      </w:r>
      <w:r w:rsidRPr="003B11BD">
        <w:rPr>
          <w:noProof/>
        </w:rPr>
        <w:t>industry representatives</w:t>
      </w:r>
      <w:r w:rsidR="004653C4" w:rsidRPr="003B11BD">
        <w:rPr>
          <w:noProof/>
        </w:rPr>
        <w:t xml:space="preserve"> </w:t>
      </w:r>
      <w:r w:rsidR="006171BC" w:rsidRPr="003B11BD">
        <w:rPr>
          <w:noProof/>
        </w:rPr>
        <w:t>expressed low</w:t>
      </w:r>
      <w:r w:rsidR="00EA0AF3" w:rsidRPr="003B11BD">
        <w:rPr>
          <w:noProof/>
        </w:rPr>
        <w:t xml:space="preserve"> support</w:t>
      </w:r>
      <w:r w:rsidR="006171BC" w:rsidRPr="003B11BD">
        <w:rPr>
          <w:noProof/>
        </w:rPr>
        <w:t xml:space="preserve"> in this</w:t>
      </w:r>
      <w:r w:rsidR="004653C4" w:rsidRPr="003B11BD">
        <w:rPr>
          <w:noProof/>
        </w:rPr>
        <w:t xml:space="preserve"> respect</w:t>
      </w:r>
      <w:r w:rsidR="006171BC" w:rsidRPr="003B11BD">
        <w:rPr>
          <w:noProof/>
        </w:rPr>
        <w:t>,</w:t>
      </w:r>
      <w:r w:rsidR="004653C4" w:rsidRPr="003B11BD">
        <w:rPr>
          <w:noProof/>
        </w:rPr>
        <w:t xml:space="preserve"> whereas they </w:t>
      </w:r>
      <w:r w:rsidR="006171BC" w:rsidRPr="003B11BD">
        <w:rPr>
          <w:noProof/>
        </w:rPr>
        <w:t>were</w:t>
      </w:r>
      <w:r w:rsidR="004653C4" w:rsidRPr="003B11BD">
        <w:rPr>
          <w:noProof/>
        </w:rPr>
        <w:t xml:space="preserve"> the dominant group of respondents</w:t>
      </w:r>
      <w:r w:rsidR="006171BC" w:rsidRPr="003B11BD">
        <w:rPr>
          <w:rStyle w:val="FootnoteReference"/>
          <w:noProof/>
        </w:rPr>
        <w:footnoteReference w:id="96"/>
      </w:r>
      <w:r w:rsidR="006171BC" w:rsidRPr="003B11BD">
        <w:rPr>
          <w:noProof/>
        </w:rPr>
        <w:t xml:space="preserve"> to the OPC</w:t>
      </w:r>
      <w:r w:rsidRPr="003B11BD">
        <w:rPr>
          <w:noProof/>
        </w:rPr>
        <w:t>. That being said, the option of granting a CL at EU level is generally deemed more positive by stakeholders as regards the EU’s ability to tackle crises (35%, N=26) than the granting of a CL at national level (respectively, 11%, N=8). Stark contrast exists among stakeholders with again low support from industry representatives: a majority (around 50%) of companies and business associations considering that the impact would be negative. In contrast, no respondent in other categories considers the impact to be negative. A large majority (65%, N=22) considers it positive (4% considers the impact to be neutral and the rest did not reply).</w:t>
      </w:r>
    </w:p>
    <w:p w14:paraId="6DB0C219" w14:textId="61427257" w:rsidR="00EC0286" w:rsidRPr="003B11BD" w:rsidRDefault="00EC0286" w:rsidP="00ED49E6">
      <w:pPr>
        <w:pStyle w:val="Heading3"/>
        <w:rPr>
          <w:noProof/>
        </w:rPr>
      </w:pPr>
      <w:bookmarkStart w:id="215" w:name="_Toc120731215"/>
      <w:bookmarkStart w:id="216" w:name="_Toc121386374"/>
      <w:bookmarkStart w:id="217" w:name="_Toc121489592"/>
      <w:bookmarkStart w:id="218" w:name="_Toc121496344"/>
      <w:bookmarkStart w:id="219" w:name="_Toc121748010"/>
      <w:bookmarkStart w:id="220" w:name="_Toc133435363"/>
      <w:bookmarkStart w:id="221" w:name="_Toc118365018"/>
      <w:r w:rsidRPr="003B11BD">
        <w:rPr>
          <w:rStyle w:val="normaltextrun"/>
          <w:noProof/>
        </w:rPr>
        <w:t xml:space="preserve">Option 1: </w:t>
      </w:r>
      <w:r w:rsidR="00A63B47" w:rsidRPr="003B11BD">
        <w:rPr>
          <w:rStyle w:val="normaltextrun"/>
          <w:noProof/>
        </w:rPr>
        <w:t>Recommendation</w:t>
      </w:r>
      <w:r w:rsidRPr="003B11BD">
        <w:rPr>
          <w:rStyle w:val="normaltextrun"/>
          <w:noProof/>
        </w:rPr>
        <w:t xml:space="preserve"> on compulsory licensing for crisis management</w:t>
      </w:r>
      <w:bookmarkEnd w:id="215"/>
      <w:bookmarkEnd w:id="216"/>
      <w:bookmarkEnd w:id="217"/>
      <w:bookmarkEnd w:id="218"/>
      <w:bookmarkEnd w:id="219"/>
      <w:bookmarkEnd w:id="220"/>
    </w:p>
    <w:p w14:paraId="31131BEA" w14:textId="02E181CC" w:rsidR="00EC0286" w:rsidRPr="003B11BD" w:rsidRDefault="176EB4B3" w:rsidP="650A8838">
      <w:pPr>
        <w:pStyle w:val="paragraph"/>
        <w:spacing w:before="0" w:beforeAutospacing="0" w:after="120" w:afterAutospacing="0"/>
        <w:jc w:val="both"/>
        <w:textAlignment w:val="baseline"/>
        <w:rPr>
          <w:rStyle w:val="normaltextrun"/>
          <w:noProof/>
        </w:rPr>
      </w:pPr>
      <w:r w:rsidRPr="003B11BD">
        <w:rPr>
          <w:rStyle w:val="normaltextrun"/>
          <w:noProof/>
        </w:rPr>
        <w:t>Under this non-legislative option, the Commission would propose</w:t>
      </w:r>
      <w:r w:rsidR="62352AA2" w:rsidRPr="003B11BD">
        <w:rPr>
          <w:rStyle w:val="normaltextrun"/>
          <w:noProof/>
        </w:rPr>
        <w:t xml:space="preserve"> a</w:t>
      </w:r>
      <w:r w:rsidRPr="003B11BD">
        <w:rPr>
          <w:rStyle w:val="normaltextrun"/>
          <w:noProof/>
        </w:rPr>
        <w:t xml:space="preserve"> </w:t>
      </w:r>
      <w:r w:rsidR="70C2F362" w:rsidRPr="003B11BD">
        <w:rPr>
          <w:rStyle w:val="normaltextrun"/>
          <w:noProof/>
        </w:rPr>
        <w:t xml:space="preserve">recommendation </w:t>
      </w:r>
      <w:r w:rsidRPr="003B11BD">
        <w:rPr>
          <w:rStyle w:val="normaltextrun"/>
          <w:noProof/>
        </w:rPr>
        <w:t xml:space="preserve">on compulsory licensing for crisis management with the objective of increasing the efficiency </w:t>
      </w:r>
      <w:r w:rsidR="009EDC20" w:rsidRPr="003B11BD">
        <w:rPr>
          <w:rStyle w:val="normaltextrun"/>
          <w:noProof/>
        </w:rPr>
        <w:t xml:space="preserve">and effectiveness </w:t>
      </w:r>
      <w:r w:rsidRPr="003B11BD">
        <w:rPr>
          <w:rStyle w:val="normaltextrun"/>
          <w:noProof/>
        </w:rPr>
        <w:t>of national compulsory licensing schemes, including for export purposes</w:t>
      </w:r>
      <w:r w:rsidR="594FEF56" w:rsidRPr="003B11BD">
        <w:rPr>
          <w:rStyle w:val="normaltextrun"/>
          <w:noProof/>
        </w:rPr>
        <w:t xml:space="preserve"> to </w:t>
      </w:r>
      <w:r w:rsidR="002D606C" w:rsidRPr="003B11BD">
        <w:rPr>
          <w:rStyle w:val="normaltextrun"/>
          <w:noProof/>
        </w:rPr>
        <w:t xml:space="preserve">non-EU </w:t>
      </w:r>
      <w:r w:rsidR="594FEF56" w:rsidRPr="003B11BD">
        <w:rPr>
          <w:rStyle w:val="normaltextrun"/>
          <w:noProof/>
        </w:rPr>
        <w:t>countries</w:t>
      </w:r>
      <w:r w:rsidRPr="003B11BD">
        <w:rPr>
          <w:rStyle w:val="normaltextrun"/>
          <w:noProof/>
        </w:rPr>
        <w:t xml:space="preserve"> (i.e. cases covered by </w:t>
      </w:r>
      <w:r w:rsidR="2D263C7B" w:rsidRPr="003B11BD">
        <w:rPr>
          <w:rStyle w:val="normaltextrun"/>
          <w:noProof/>
        </w:rPr>
        <w:t>Regulation (EC) No 816/2006</w:t>
      </w:r>
      <w:r w:rsidRPr="003B11BD">
        <w:rPr>
          <w:rStyle w:val="normaltextrun"/>
          <w:noProof/>
        </w:rPr>
        <w:t xml:space="preserve">). </w:t>
      </w:r>
      <w:r w:rsidR="70C2F362" w:rsidRPr="003B11BD">
        <w:rPr>
          <w:rStyle w:val="normaltextrun"/>
          <w:noProof/>
        </w:rPr>
        <w:t>In this recommendation, the Commission</w:t>
      </w:r>
      <w:r w:rsidRPr="003B11BD">
        <w:rPr>
          <w:rStyle w:val="normaltextrun"/>
          <w:noProof/>
        </w:rPr>
        <w:t xml:space="preserve"> would clarify the international legal framework, both in terms of obligations and flexibilities. Based on that, the </w:t>
      </w:r>
      <w:r w:rsidR="70C2F362" w:rsidRPr="003B11BD">
        <w:rPr>
          <w:rStyle w:val="normaltextrun"/>
          <w:noProof/>
        </w:rPr>
        <w:t>recommendation</w:t>
      </w:r>
      <w:r w:rsidRPr="003B11BD">
        <w:rPr>
          <w:rStyle w:val="normaltextrun"/>
          <w:noProof/>
        </w:rPr>
        <w:t xml:space="preserve"> would identify good </w:t>
      </w:r>
      <w:r w:rsidR="4B3FABBF" w:rsidRPr="003B11BD">
        <w:rPr>
          <w:rStyle w:val="normaltextrun"/>
          <w:noProof/>
        </w:rPr>
        <w:t xml:space="preserve">national </w:t>
      </w:r>
      <w:r w:rsidRPr="003B11BD">
        <w:rPr>
          <w:rStyle w:val="normaltextrun"/>
          <w:noProof/>
        </w:rPr>
        <w:t xml:space="preserve">practices as regards compulsory licensing for crisis management </w:t>
      </w:r>
      <w:r w:rsidR="7DECF2E1" w:rsidRPr="003B11BD">
        <w:rPr>
          <w:rStyle w:val="normaltextrun"/>
          <w:noProof/>
        </w:rPr>
        <w:t xml:space="preserve">and </w:t>
      </w:r>
      <w:r w:rsidR="4FAF725F" w:rsidRPr="003B11BD">
        <w:rPr>
          <w:rStyle w:val="normaltextrun"/>
          <w:noProof/>
        </w:rPr>
        <w:t xml:space="preserve">good coordination practices </w:t>
      </w:r>
      <w:r w:rsidRPr="003B11BD">
        <w:rPr>
          <w:rStyle w:val="normaltextrun"/>
          <w:noProof/>
        </w:rPr>
        <w:t>with a view to foster their uptake in Member States.</w:t>
      </w:r>
      <w:r w:rsidR="4FAF725F" w:rsidRPr="003B11BD">
        <w:rPr>
          <w:rStyle w:val="normaltextrun"/>
          <w:noProof/>
        </w:rPr>
        <w:t xml:space="preserve"> </w:t>
      </w:r>
    </w:p>
    <w:p w14:paraId="0744BB1B" w14:textId="466402D6" w:rsidR="00EC0286" w:rsidRPr="003B11BD" w:rsidRDefault="00714821" w:rsidP="004C618F">
      <w:pPr>
        <w:pStyle w:val="Bullets"/>
        <w:rPr>
          <w:noProof/>
        </w:rPr>
      </w:pPr>
      <w:r w:rsidRPr="003B11BD">
        <w:rPr>
          <w:noProof/>
          <w:u w:val="dotted"/>
        </w:rPr>
        <w:t>Improve the key features</w:t>
      </w:r>
      <w:r w:rsidR="00490173" w:rsidRPr="003B11BD">
        <w:rPr>
          <w:noProof/>
          <w:u w:val="dotted"/>
        </w:rPr>
        <w:t xml:space="preserve"> of compulsory licensing</w:t>
      </w:r>
      <w:r w:rsidR="00EC0286" w:rsidRPr="003B11BD">
        <w:rPr>
          <w:noProof/>
        </w:rPr>
        <w:t xml:space="preserve">: In addition to identifying and listing national provisions </w:t>
      </w:r>
      <w:r w:rsidR="00EC0286" w:rsidRPr="003B11BD">
        <w:rPr>
          <w:rStyle w:val="normaltextrun"/>
          <w:noProof/>
        </w:rPr>
        <w:t>for issuing a compulsory licence for crisis management,</w:t>
      </w:r>
      <w:r w:rsidR="00EC0286" w:rsidRPr="003B11BD">
        <w:rPr>
          <w:noProof/>
        </w:rPr>
        <w:t xml:space="preserve"> the </w:t>
      </w:r>
      <w:r w:rsidR="00040BAE" w:rsidRPr="003B11BD">
        <w:rPr>
          <w:rStyle w:val="normaltextrun"/>
          <w:noProof/>
        </w:rPr>
        <w:t xml:space="preserve">recommendation </w:t>
      </w:r>
      <w:r w:rsidR="00EC0286" w:rsidRPr="003B11BD">
        <w:rPr>
          <w:rStyle w:val="normaltextrun"/>
          <w:noProof/>
        </w:rPr>
        <w:t>would clarify, in collaboration with Member States, the</w:t>
      </w:r>
      <w:r w:rsidR="006D2F64" w:rsidRPr="003B11BD">
        <w:rPr>
          <w:rStyle w:val="normaltextrun"/>
          <w:noProof/>
        </w:rPr>
        <w:t xml:space="preserve"> optimal</w:t>
      </w:r>
      <w:r w:rsidR="00EC0286" w:rsidRPr="003B11BD">
        <w:rPr>
          <w:rStyle w:val="normaltextrun"/>
          <w:noProof/>
        </w:rPr>
        <w:t xml:space="preserve"> </w:t>
      </w:r>
      <w:r w:rsidR="00512FC2" w:rsidRPr="003B11BD">
        <w:rPr>
          <w:rStyle w:val="normaltextrun"/>
          <w:noProof/>
        </w:rPr>
        <w:t xml:space="preserve">features </w:t>
      </w:r>
      <w:r w:rsidR="007F36FC" w:rsidRPr="003B11BD">
        <w:rPr>
          <w:rStyle w:val="normaltextrun"/>
          <w:noProof/>
        </w:rPr>
        <w:t xml:space="preserve">of </w:t>
      </w:r>
      <w:r w:rsidR="00EC0286" w:rsidRPr="003B11BD">
        <w:rPr>
          <w:rStyle w:val="normaltextrun"/>
          <w:noProof/>
        </w:rPr>
        <w:t xml:space="preserve">compulsory </w:t>
      </w:r>
      <w:r w:rsidR="00D350E5" w:rsidRPr="003B11BD">
        <w:rPr>
          <w:rStyle w:val="normaltextrun"/>
          <w:noProof/>
        </w:rPr>
        <w:t xml:space="preserve">licensing </w:t>
      </w:r>
      <w:r w:rsidR="007F36FC" w:rsidRPr="003B11BD">
        <w:rPr>
          <w:rStyle w:val="normaltextrun"/>
          <w:noProof/>
        </w:rPr>
        <w:t xml:space="preserve">for crisis management </w:t>
      </w:r>
      <w:r w:rsidR="00D92723" w:rsidRPr="003B11BD">
        <w:rPr>
          <w:rStyle w:val="normaltextrun"/>
          <w:noProof/>
        </w:rPr>
        <w:t>(</w:t>
      </w:r>
      <w:r w:rsidR="00EC0286" w:rsidRPr="003B11BD">
        <w:rPr>
          <w:rStyle w:val="normaltextrun"/>
          <w:noProof/>
        </w:rPr>
        <w:t>includ</w:t>
      </w:r>
      <w:r w:rsidR="00D92723" w:rsidRPr="003B11BD">
        <w:rPr>
          <w:rStyle w:val="normaltextrun"/>
          <w:noProof/>
        </w:rPr>
        <w:t>ing</w:t>
      </w:r>
      <w:r w:rsidR="00EC0286" w:rsidRPr="003B11BD">
        <w:rPr>
          <w:rStyle w:val="normaltextrun"/>
          <w:noProof/>
        </w:rPr>
        <w:t xml:space="preserve"> the </w:t>
      </w:r>
      <w:r w:rsidR="00D56292" w:rsidRPr="003B11BD">
        <w:rPr>
          <w:rStyle w:val="normaltextrun"/>
          <w:noProof/>
        </w:rPr>
        <w:t>tr</w:t>
      </w:r>
      <w:r w:rsidR="00D92723" w:rsidRPr="003B11BD">
        <w:rPr>
          <w:rStyle w:val="normaltextrun"/>
          <w:noProof/>
        </w:rPr>
        <w:t>i</w:t>
      </w:r>
      <w:r w:rsidR="00D56292" w:rsidRPr="003B11BD">
        <w:rPr>
          <w:rStyle w:val="normaltextrun"/>
          <w:noProof/>
        </w:rPr>
        <w:t>gger</w:t>
      </w:r>
      <w:r w:rsidR="00EC0286" w:rsidRPr="003B11BD">
        <w:rPr>
          <w:rStyle w:val="normaltextrun"/>
          <w:noProof/>
        </w:rPr>
        <w:t xml:space="preserve">, </w:t>
      </w:r>
      <w:r w:rsidR="00D350E5" w:rsidRPr="003B11BD">
        <w:rPr>
          <w:rStyle w:val="normaltextrun"/>
          <w:noProof/>
        </w:rPr>
        <w:t>scope and the conditions</w:t>
      </w:r>
      <w:r w:rsidR="00ED79CC" w:rsidRPr="003B11BD">
        <w:rPr>
          <w:rStyle w:val="normaltextrun"/>
          <w:noProof/>
        </w:rPr>
        <w:t>)</w:t>
      </w:r>
      <w:r w:rsidR="009124A3" w:rsidRPr="003B11BD">
        <w:rPr>
          <w:rStyle w:val="normaltextrun"/>
          <w:noProof/>
        </w:rPr>
        <w:t xml:space="preserve">, as well as </w:t>
      </w:r>
      <w:r w:rsidR="00EC0286" w:rsidRPr="003B11BD">
        <w:rPr>
          <w:rStyle w:val="normaltextrun"/>
          <w:noProof/>
        </w:rPr>
        <w:t>clarify the procedures to apply for</w:t>
      </w:r>
      <w:r w:rsidR="00E4656B" w:rsidRPr="003B11BD">
        <w:rPr>
          <w:rStyle w:val="normaltextrun"/>
          <w:noProof/>
        </w:rPr>
        <w:t xml:space="preserve"> and grant such</w:t>
      </w:r>
      <w:r w:rsidR="00EC0286" w:rsidRPr="003B11BD">
        <w:rPr>
          <w:rStyle w:val="normaltextrun"/>
          <w:noProof/>
        </w:rPr>
        <w:t xml:space="preserve"> </w:t>
      </w:r>
      <w:r w:rsidR="00E4656B" w:rsidRPr="003B11BD">
        <w:rPr>
          <w:rStyle w:val="normaltextrun"/>
          <w:noProof/>
        </w:rPr>
        <w:t>CL</w:t>
      </w:r>
      <w:r w:rsidR="00EC0286" w:rsidRPr="003B11BD">
        <w:rPr>
          <w:rStyle w:val="normaltextrun"/>
          <w:noProof/>
        </w:rPr>
        <w:t xml:space="preserve">. The </w:t>
      </w:r>
      <w:r w:rsidR="00040BAE" w:rsidRPr="003B11BD">
        <w:rPr>
          <w:rStyle w:val="normaltextrun"/>
          <w:noProof/>
        </w:rPr>
        <w:t>recommendation</w:t>
      </w:r>
      <w:r w:rsidR="00EC0286" w:rsidRPr="003B11BD">
        <w:rPr>
          <w:rStyle w:val="normaltextrun"/>
          <w:noProof/>
        </w:rPr>
        <w:t xml:space="preserve"> would list remedies available to patent owners, including the competent judicial authorities, and</w:t>
      </w:r>
      <w:r w:rsidR="00E4656B" w:rsidRPr="003B11BD">
        <w:rPr>
          <w:rStyle w:val="normaltextrun"/>
          <w:noProof/>
        </w:rPr>
        <w:t xml:space="preserve"> provide concrete guidance on</w:t>
      </w:r>
      <w:r w:rsidR="00EC0286" w:rsidRPr="003B11BD">
        <w:rPr>
          <w:rStyle w:val="normaltextrun"/>
          <w:noProof/>
        </w:rPr>
        <w:t xml:space="preserve"> how patent owners can file an appeal against the granting decision. </w:t>
      </w:r>
      <w:r w:rsidR="00931963" w:rsidRPr="003B11BD">
        <w:rPr>
          <w:noProof/>
        </w:rPr>
        <w:t xml:space="preserve">On </w:t>
      </w:r>
      <w:r w:rsidR="00E6068C" w:rsidRPr="003B11BD">
        <w:rPr>
          <w:noProof/>
        </w:rPr>
        <w:t xml:space="preserve">compulsory licensing </w:t>
      </w:r>
      <w:r w:rsidR="00931963" w:rsidRPr="003B11BD">
        <w:rPr>
          <w:noProof/>
        </w:rPr>
        <w:t xml:space="preserve">for export to </w:t>
      </w:r>
      <w:r w:rsidR="002D606C" w:rsidRPr="003B11BD">
        <w:rPr>
          <w:noProof/>
        </w:rPr>
        <w:t xml:space="preserve">non-EU </w:t>
      </w:r>
      <w:r w:rsidR="00931963" w:rsidRPr="003B11BD">
        <w:rPr>
          <w:noProof/>
        </w:rPr>
        <w:t>countries, t</w:t>
      </w:r>
      <w:r w:rsidR="00685C84" w:rsidRPr="003B11BD">
        <w:rPr>
          <w:noProof/>
        </w:rPr>
        <w:t xml:space="preserve">he </w:t>
      </w:r>
      <w:r w:rsidR="00040BAE" w:rsidRPr="003B11BD">
        <w:rPr>
          <w:rStyle w:val="normaltextrun"/>
          <w:noProof/>
        </w:rPr>
        <w:t xml:space="preserve">recommendation </w:t>
      </w:r>
      <w:r w:rsidR="00685C84" w:rsidRPr="003B11BD">
        <w:rPr>
          <w:noProof/>
        </w:rPr>
        <w:t>would identify good practices among Member States as regards</w:t>
      </w:r>
      <w:r w:rsidR="00FA64BA" w:rsidRPr="003B11BD">
        <w:rPr>
          <w:noProof/>
        </w:rPr>
        <w:t xml:space="preserve"> national formal or administrative requirements</w:t>
      </w:r>
      <w:r w:rsidR="00685C84" w:rsidRPr="003B11BD">
        <w:rPr>
          <w:noProof/>
        </w:rPr>
        <w:t>.</w:t>
      </w:r>
    </w:p>
    <w:p w14:paraId="2820D539" w14:textId="31BA766B" w:rsidR="001E7967" w:rsidRPr="003B11BD" w:rsidRDefault="00A94F37" w:rsidP="004C618F">
      <w:pPr>
        <w:pStyle w:val="Bullets"/>
        <w:rPr>
          <w:rStyle w:val="eop"/>
          <w:noProof/>
        </w:rPr>
      </w:pPr>
      <w:r w:rsidRPr="003B11BD">
        <w:rPr>
          <w:noProof/>
          <w:u w:val="dotted"/>
        </w:rPr>
        <w:t>Territorial reach</w:t>
      </w:r>
      <w:r w:rsidR="00F009EF" w:rsidRPr="003B11BD">
        <w:rPr>
          <w:noProof/>
          <w:u w:val="dotted"/>
        </w:rPr>
        <w:t xml:space="preserve"> </w:t>
      </w:r>
      <w:r w:rsidR="00933D80" w:rsidRPr="003B11BD">
        <w:rPr>
          <w:noProof/>
          <w:u w:val="dotted"/>
        </w:rPr>
        <w:t xml:space="preserve">of </w:t>
      </w:r>
      <w:r w:rsidR="00197280" w:rsidRPr="003B11BD">
        <w:rPr>
          <w:noProof/>
          <w:u w:val="dotted"/>
        </w:rPr>
        <w:t>compulsory licensing</w:t>
      </w:r>
      <w:r w:rsidR="00EC0286" w:rsidRPr="003B11BD">
        <w:rPr>
          <w:noProof/>
        </w:rPr>
        <w:t xml:space="preserve">: </w:t>
      </w:r>
      <w:r w:rsidR="00EC0286" w:rsidRPr="003B11BD">
        <w:rPr>
          <w:rStyle w:val="eop"/>
          <w:noProof/>
        </w:rPr>
        <w:t xml:space="preserve">The </w:t>
      </w:r>
      <w:r w:rsidR="00C93113" w:rsidRPr="003B11BD">
        <w:rPr>
          <w:rStyle w:val="normaltextrun"/>
          <w:noProof/>
        </w:rPr>
        <w:t xml:space="preserve">recommendation </w:t>
      </w:r>
      <w:r w:rsidR="00EC0286" w:rsidRPr="003B11BD">
        <w:rPr>
          <w:rStyle w:val="eop"/>
          <w:noProof/>
        </w:rPr>
        <w:t xml:space="preserve">would clarify the territorial scope of compulsory licensing granted at national level, and in particular the possibility to </w:t>
      </w:r>
      <w:r w:rsidR="00BA3908" w:rsidRPr="003B11BD">
        <w:rPr>
          <w:rStyle w:val="eop"/>
          <w:noProof/>
        </w:rPr>
        <w:t xml:space="preserve">distribute </w:t>
      </w:r>
      <w:r w:rsidR="00EC0286" w:rsidRPr="003B11BD">
        <w:rPr>
          <w:rStyle w:val="eop"/>
          <w:noProof/>
        </w:rPr>
        <w:t>part of the goods manufactured under a compulsory licence to another Member State.</w:t>
      </w:r>
      <w:r w:rsidR="00F009EF" w:rsidRPr="003B11BD">
        <w:rPr>
          <w:rStyle w:val="eop"/>
          <w:noProof/>
        </w:rPr>
        <w:t xml:space="preserve"> </w:t>
      </w:r>
    </w:p>
    <w:p w14:paraId="33E6E3D3" w14:textId="33B264AA" w:rsidR="001C628B" w:rsidRPr="00921FA3" w:rsidRDefault="58D50144" w:rsidP="004C618F">
      <w:pPr>
        <w:pStyle w:val="Bullets"/>
        <w:rPr>
          <w:rStyle w:val="normaltextrun"/>
          <w:noProof/>
        </w:rPr>
      </w:pPr>
      <w:r w:rsidRPr="003B11BD">
        <w:rPr>
          <w:noProof/>
          <w:u w:val="dotted"/>
        </w:rPr>
        <w:t>Support to EU resilience</w:t>
      </w:r>
      <w:r w:rsidRPr="003B11BD">
        <w:rPr>
          <w:noProof/>
        </w:rPr>
        <w:t xml:space="preserve">: The </w:t>
      </w:r>
      <w:r w:rsidR="67F22159" w:rsidRPr="003B11BD">
        <w:rPr>
          <w:rStyle w:val="normaltextrun"/>
          <w:noProof/>
        </w:rPr>
        <w:t xml:space="preserve">recommendation </w:t>
      </w:r>
      <w:r w:rsidRPr="003B11BD">
        <w:rPr>
          <w:noProof/>
        </w:rPr>
        <w:t xml:space="preserve">would identify relevant EU crisis instruments and related transparency and coordination requirements. Against that background, </w:t>
      </w:r>
      <w:r w:rsidR="5661367E" w:rsidRPr="003B11BD">
        <w:rPr>
          <w:noProof/>
        </w:rPr>
        <w:t xml:space="preserve">the </w:t>
      </w:r>
      <w:r w:rsidRPr="003B11BD">
        <w:rPr>
          <w:noProof/>
        </w:rPr>
        <w:t xml:space="preserve">recommendation </w:t>
      </w:r>
      <w:r w:rsidR="5661367E" w:rsidRPr="003B11BD">
        <w:rPr>
          <w:noProof/>
        </w:rPr>
        <w:t>would clarify</w:t>
      </w:r>
      <w:r w:rsidRPr="003B11BD">
        <w:rPr>
          <w:noProof/>
        </w:rPr>
        <w:t xml:space="preserve"> how to align national compulsory licensing schemes with EU crisis instruments.</w:t>
      </w:r>
      <w:r w:rsidR="0656187E" w:rsidRPr="003B11BD">
        <w:rPr>
          <w:noProof/>
        </w:rPr>
        <w:t xml:space="preserve"> </w:t>
      </w:r>
      <w:r w:rsidR="009124A3" w:rsidRPr="003B11BD">
        <w:rPr>
          <w:rStyle w:val="normaltextrun"/>
          <w:noProof/>
        </w:rPr>
        <w:t xml:space="preserve">It </w:t>
      </w:r>
      <w:r w:rsidR="3EA77313" w:rsidRPr="003B11BD">
        <w:rPr>
          <w:rStyle w:val="normaltextrun"/>
          <w:noProof/>
        </w:rPr>
        <w:t xml:space="preserve">would also outline and promote good practices in terms of cooperation, transparency and information sharing between Member States, including compulsory licences for export </w:t>
      </w:r>
      <w:r w:rsidR="00BA3908" w:rsidRPr="003B11BD">
        <w:rPr>
          <w:rStyle w:val="normaltextrun"/>
          <w:noProof/>
        </w:rPr>
        <w:t xml:space="preserve">to </w:t>
      </w:r>
      <w:r w:rsidR="002D606C" w:rsidRPr="003B11BD">
        <w:rPr>
          <w:rStyle w:val="normaltextrun"/>
          <w:noProof/>
        </w:rPr>
        <w:t xml:space="preserve">non-EU </w:t>
      </w:r>
      <w:r w:rsidR="00BA3908" w:rsidRPr="003B11BD">
        <w:rPr>
          <w:rStyle w:val="normaltextrun"/>
          <w:noProof/>
        </w:rPr>
        <w:t>countries</w:t>
      </w:r>
      <w:r w:rsidR="3EA77313" w:rsidRPr="003B11BD">
        <w:rPr>
          <w:rStyle w:val="normaltextrun"/>
          <w:noProof/>
        </w:rPr>
        <w:t xml:space="preserve">. </w:t>
      </w:r>
      <w:r w:rsidR="16801D72" w:rsidRPr="003B11BD">
        <w:rPr>
          <w:noProof/>
        </w:rPr>
        <w:t xml:space="preserve">Finally, </w:t>
      </w:r>
      <w:r w:rsidR="009124A3" w:rsidRPr="003B11BD">
        <w:rPr>
          <w:noProof/>
        </w:rPr>
        <w:t>PO1</w:t>
      </w:r>
      <w:r w:rsidR="16801D72" w:rsidRPr="003B11BD">
        <w:rPr>
          <w:noProof/>
        </w:rPr>
        <w:t xml:space="preserve"> </w:t>
      </w:r>
      <w:r w:rsidR="5FEC39C4" w:rsidRPr="003B11BD">
        <w:rPr>
          <w:noProof/>
        </w:rPr>
        <w:t xml:space="preserve">would propose </w:t>
      </w:r>
      <w:r w:rsidR="16801D72" w:rsidRPr="003B11BD">
        <w:rPr>
          <w:noProof/>
        </w:rPr>
        <w:t xml:space="preserve">good practices in information exchange concerning granted </w:t>
      </w:r>
      <w:r w:rsidR="00E6068C" w:rsidRPr="003B11BD">
        <w:rPr>
          <w:noProof/>
        </w:rPr>
        <w:t xml:space="preserve">compulsory licenses </w:t>
      </w:r>
      <w:r w:rsidR="16801D72" w:rsidRPr="003B11BD">
        <w:rPr>
          <w:noProof/>
        </w:rPr>
        <w:t xml:space="preserve">and encourage </w:t>
      </w:r>
      <w:r w:rsidR="00B4494C" w:rsidRPr="003B11BD">
        <w:rPr>
          <w:noProof/>
        </w:rPr>
        <w:t>Member States</w:t>
      </w:r>
      <w:r w:rsidR="16801D72" w:rsidRPr="003B11BD">
        <w:rPr>
          <w:noProof/>
        </w:rPr>
        <w:t xml:space="preserve"> to share such info with the </w:t>
      </w:r>
      <w:r w:rsidR="16801D72" w:rsidRPr="00921FA3">
        <w:rPr>
          <w:noProof/>
        </w:rPr>
        <w:t>EC.</w:t>
      </w:r>
    </w:p>
    <w:p w14:paraId="24B4D2E4" w14:textId="126427C9" w:rsidR="003737E9" w:rsidRPr="00921FA3" w:rsidRDefault="003737E9" w:rsidP="009075D3">
      <w:pPr>
        <w:pStyle w:val="Caption"/>
        <w:keepNext/>
        <w:rPr>
          <w:noProof/>
          <w:lang w:val="en-IE"/>
        </w:rPr>
      </w:pPr>
      <w:r w:rsidRPr="003B11BD">
        <w:rPr>
          <w:noProof/>
          <w:lang w:val="en-IE"/>
        </w:rPr>
        <w:t xml:space="preserve">Figure </w:t>
      </w:r>
      <w:r w:rsidR="00C6592A">
        <w:rPr>
          <w:noProof/>
          <w:lang w:val="en-IE"/>
        </w:rPr>
        <w:t>6</w:t>
      </w:r>
      <w:r w:rsidRPr="003B11BD">
        <w:rPr>
          <w:noProof/>
          <w:lang w:val="en-IE"/>
        </w:rPr>
        <w:t xml:space="preserve">: </w:t>
      </w:r>
      <w:r w:rsidR="0074374A" w:rsidRPr="003B11BD">
        <w:rPr>
          <w:noProof/>
          <w:lang w:val="en-IE"/>
        </w:rPr>
        <w:t>S</w:t>
      </w:r>
      <w:r w:rsidRPr="003B11BD">
        <w:rPr>
          <w:noProof/>
          <w:lang w:val="en-IE"/>
        </w:rPr>
        <w:t>implified scheme</w:t>
      </w:r>
      <w:r w:rsidR="0074374A" w:rsidRPr="003B11BD">
        <w:rPr>
          <w:noProof/>
          <w:lang w:val="en-IE"/>
        </w:rPr>
        <w:t xml:space="preserve"> for Option 1</w:t>
      </w:r>
    </w:p>
    <w:p w14:paraId="43DC05D8" w14:textId="66C68B94" w:rsidR="00921FA3" w:rsidRPr="00921FA3" w:rsidRDefault="00435C1A" w:rsidP="008D00F0">
      <w:pPr>
        <w:spacing w:after="120"/>
        <w:jc w:val="center"/>
        <w:rPr>
          <w:noProof/>
          <w:lang w:val="en-IE"/>
        </w:rPr>
      </w:pPr>
      <w:r w:rsidRPr="00921FA3">
        <w:rPr>
          <w:noProof/>
          <w:lang w:eastAsia="en-GB"/>
        </w:rPr>
        <w:drawing>
          <wp:inline distT="0" distB="0" distL="0" distR="0" wp14:anchorId="6F523E39" wp14:editId="6A507398">
            <wp:extent cx="5540567" cy="76680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25565" cy="778564"/>
                    </a:xfrm>
                    <a:prstGeom prst="rect">
                      <a:avLst/>
                    </a:prstGeom>
                    <a:noFill/>
                  </pic:spPr>
                </pic:pic>
              </a:graphicData>
            </a:graphic>
          </wp:inline>
        </w:drawing>
      </w:r>
    </w:p>
    <w:p w14:paraId="2FC83D90" w14:textId="7D9DBAA4" w:rsidR="00EC0286" w:rsidRPr="003B11BD" w:rsidRDefault="00EC0286" w:rsidP="00ED49E6">
      <w:pPr>
        <w:pStyle w:val="Heading3"/>
        <w:rPr>
          <w:rStyle w:val="eop"/>
          <w:noProof/>
        </w:rPr>
      </w:pPr>
      <w:bookmarkStart w:id="222" w:name="_Toc120731216"/>
      <w:bookmarkStart w:id="223" w:name="_Toc121386375"/>
      <w:bookmarkStart w:id="224" w:name="_Toc121489593"/>
      <w:bookmarkStart w:id="225" w:name="_Toc121496345"/>
      <w:bookmarkStart w:id="226" w:name="_Toc121748011"/>
      <w:bookmarkStart w:id="227" w:name="_Toc133435364"/>
      <w:r w:rsidRPr="003B11BD">
        <w:rPr>
          <w:rStyle w:val="normaltextrun"/>
          <w:noProof/>
        </w:rPr>
        <w:t>Option 2: Harmonisation of national laws on compulsory licensing for crisis management</w:t>
      </w:r>
      <w:bookmarkEnd w:id="222"/>
      <w:bookmarkEnd w:id="223"/>
      <w:bookmarkEnd w:id="224"/>
      <w:bookmarkEnd w:id="225"/>
      <w:bookmarkEnd w:id="226"/>
      <w:bookmarkEnd w:id="227"/>
    </w:p>
    <w:p w14:paraId="2FEE9967" w14:textId="3B202DE5" w:rsidR="00EC0286" w:rsidRPr="003B11BD" w:rsidRDefault="00EC0286" w:rsidP="00EC0286">
      <w:pPr>
        <w:pStyle w:val="paragraph"/>
        <w:spacing w:before="0" w:beforeAutospacing="0" w:after="120" w:afterAutospacing="0"/>
        <w:jc w:val="both"/>
        <w:textAlignment w:val="baseline"/>
        <w:rPr>
          <w:rStyle w:val="normaltextrun"/>
          <w:noProof/>
        </w:rPr>
      </w:pPr>
      <w:r w:rsidRPr="003B11BD">
        <w:rPr>
          <w:rStyle w:val="normaltextrun"/>
          <w:noProof/>
        </w:rPr>
        <w:t xml:space="preserve">Under this option, the Commission would propose a legislative initiative that would harmonise national laws as regards the ground, </w:t>
      </w:r>
      <w:r w:rsidR="008E20B8" w:rsidRPr="003B11BD">
        <w:rPr>
          <w:rStyle w:val="normaltextrun"/>
          <w:noProof/>
        </w:rPr>
        <w:t xml:space="preserve">scope, </w:t>
      </w:r>
      <w:r w:rsidRPr="003B11BD">
        <w:rPr>
          <w:rStyle w:val="normaltextrun"/>
          <w:noProof/>
        </w:rPr>
        <w:t xml:space="preserve">procedure, and conditions for the granting of a compulsory licence for crisis management. The legislative initiative would ensure that all Member States have in their national laws a compulsory licensing scheme for crisis management. The compulsory licensing would remain in the remit of Member States and have predominantly a national effect. </w:t>
      </w:r>
      <w:r w:rsidR="004A6138" w:rsidRPr="003B11BD">
        <w:rPr>
          <w:rStyle w:val="normaltextrun"/>
          <w:noProof/>
        </w:rPr>
        <w:t>PO</w:t>
      </w:r>
      <w:r w:rsidR="008D00F0" w:rsidRPr="003B11BD">
        <w:rPr>
          <w:rStyle w:val="normaltextrun"/>
          <w:noProof/>
        </w:rPr>
        <w:t>2</w:t>
      </w:r>
      <w:r w:rsidRPr="003B11BD">
        <w:rPr>
          <w:rStyle w:val="normaltextrun"/>
          <w:noProof/>
        </w:rPr>
        <w:t xml:space="preserve"> would not harmonise compulsory licensing schemes other than for crisis management. </w:t>
      </w:r>
      <w:r w:rsidR="00D56092" w:rsidRPr="003B11BD">
        <w:rPr>
          <w:noProof/>
        </w:rPr>
        <w:t xml:space="preserve">In line with the identified </w:t>
      </w:r>
      <w:r w:rsidR="00BA3908" w:rsidRPr="003B11BD">
        <w:rPr>
          <w:noProof/>
        </w:rPr>
        <w:t>objectives</w:t>
      </w:r>
      <w:r w:rsidR="00D56092" w:rsidRPr="003B11BD">
        <w:rPr>
          <w:noProof/>
        </w:rPr>
        <w:t>, it would focus on three building blocks as described below:</w:t>
      </w:r>
    </w:p>
    <w:p w14:paraId="05D4241F" w14:textId="7A065363" w:rsidR="00DC3CDE" w:rsidRPr="003B11BD" w:rsidRDefault="00C412C4" w:rsidP="004C618F">
      <w:pPr>
        <w:pStyle w:val="Bullets"/>
        <w:rPr>
          <w:rStyle w:val="normaltextrun"/>
          <w:noProof/>
        </w:rPr>
      </w:pPr>
      <w:r w:rsidRPr="003B11BD">
        <w:rPr>
          <w:noProof/>
          <w:u w:val="dotted"/>
        </w:rPr>
        <w:t>Improve the key features</w:t>
      </w:r>
      <w:r w:rsidR="00490173" w:rsidRPr="003B11BD">
        <w:rPr>
          <w:noProof/>
          <w:u w:val="dotted"/>
        </w:rPr>
        <w:t xml:space="preserve"> of compulsory licensing</w:t>
      </w:r>
      <w:r w:rsidR="701DA840" w:rsidRPr="003B11BD">
        <w:rPr>
          <w:noProof/>
        </w:rPr>
        <w:t xml:space="preserve">: </w:t>
      </w:r>
      <w:r w:rsidR="004A6138" w:rsidRPr="003B11BD">
        <w:rPr>
          <w:rStyle w:val="normaltextrun"/>
          <w:noProof/>
        </w:rPr>
        <w:t>PO</w:t>
      </w:r>
      <w:r w:rsidR="008D00F0" w:rsidRPr="003B11BD">
        <w:rPr>
          <w:rStyle w:val="normaltextrun"/>
          <w:noProof/>
        </w:rPr>
        <w:t>2</w:t>
      </w:r>
      <w:r w:rsidR="701DA840" w:rsidRPr="003B11BD">
        <w:rPr>
          <w:rStyle w:val="eop"/>
          <w:noProof/>
        </w:rPr>
        <w:t xml:space="preserve"> </w:t>
      </w:r>
      <w:r w:rsidR="701DA840" w:rsidRPr="003B11BD">
        <w:rPr>
          <w:rStyle w:val="normaltextrun"/>
          <w:noProof/>
        </w:rPr>
        <w:t xml:space="preserve">would require all Member States to include in their national law a compulsory licensing scheme </w:t>
      </w:r>
      <w:r w:rsidR="004D4AD6" w:rsidRPr="003B11BD">
        <w:rPr>
          <w:rStyle w:val="normaltextrun"/>
          <w:noProof/>
        </w:rPr>
        <w:t>for crisis management</w:t>
      </w:r>
      <w:r w:rsidR="701DA840" w:rsidRPr="003B11BD">
        <w:rPr>
          <w:rStyle w:val="normaltextrun"/>
          <w:noProof/>
        </w:rPr>
        <w:t>. Although the definition of a crisis would be harmonised</w:t>
      </w:r>
      <w:r w:rsidR="00914839" w:rsidRPr="003B11BD">
        <w:rPr>
          <w:rStyle w:val="normaltextrun"/>
          <w:noProof/>
        </w:rPr>
        <w:t xml:space="preserve"> (using existing definitions at EU level)</w:t>
      </w:r>
      <w:r w:rsidR="701DA840" w:rsidRPr="003B11BD">
        <w:rPr>
          <w:rStyle w:val="normaltextrun"/>
          <w:noProof/>
        </w:rPr>
        <w:t>,</w:t>
      </w:r>
      <w:r w:rsidR="00E4656B" w:rsidRPr="003B11BD">
        <w:rPr>
          <w:rStyle w:val="normaltextrun"/>
          <w:noProof/>
        </w:rPr>
        <w:t xml:space="preserve"> the granting decision,</w:t>
      </w:r>
      <w:r w:rsidR="701DA840" w:rsidRPr="003B11BD">
        <w:rPr>
          <w:rStyle w:val="normaltextrun"/>
          <w:noProof/>
        </w:rPr>
        <w:t xml:space="preserve"> and the interpretatio</w:t>
      </w:r>
      <w:r w:rsidR="00E4656B" w:rsidRPr="003B11BD">
        <w:rPr>
          <w:rStyle w:val="normaltextrun"/>
          <w:noProof/>
        </w:rPr>
        <w:t>n given to the notion of crisis,</w:t>
      </w:r>
      <w:r w:rsidR="701DA840" w:rsidRPr="003B11BD">
        <w:rPr>
          <w:rStyle w:val="normaltextrun"/>
          <w:noProof/>
        </w:rPr>
        <w:t xml:space="preserve"> </w:t>
      </w:r>
      <w:r w:rsidR="008D00F0" w:rsidRPr="003B11BD">
        <w:rPr>
          <w:rStyle w:val="normaltextrun"/>
          <w:noProof/>
        </w:rPr>
        <w:t>would be left to Member States.</w:t>
      </w:r>
      <w:r w:rsidR="701DA840" w:rsidRPr="003B11BD">
        <w:rPr>
          <w:rStyle w:val="eop"/>
          <w:noProof/>
        </w:rPr>
        <w:t> </w:t>
      </w:r>
      <w:r w:rsidR="701DA840" w:rsidRPr="003B11BD">
        <w:rPr>
          <w:rStyle w:val="normaltextrun"/>
          <w:noProof/>
        </w:rPr>
        <w:t xml:space="preserve">The </w:t>
      </w:r>
      <w:r w:rsidR="6A0C9C59" w:rsidRPr="003B11BD">
        <w:rPr>
          <w:rStyle w:val="eop"/>
          <w:noProof/>
        </w:rPr>
        <w:t>harmonisation would cover the procedure</w:t>
      </w:r>
      <w:r w:rsidR="00594B4B" w:rsidRPr="003B11BD">
        <w:rPr>
          <w:rStyle w:val="eop"/>
          <w:noProof/>
        </w:rPr>
        <w:t>, scope</w:t>
      </w:r>
      <w:r w:rsidR="6A0C9C59" w:rsidRPr="003B11BD">
        <w:rPr>
          <w:rStyle w:val="eop"/>
          <w:noProof/>
        </w:rPr>
        <w:t xml:space="preserve"> and</w:t>
      </w:r>
      <w:r w:rsidR="701DA840" w:rsidRPr="003B11BD">
        <w:rPr>
          <w:rStyle w:val="normaltextrun"/>
          <w:noProof/>
        </w:rPr>
        <w:t xml:space="preserve"> conditions for </w:t>
      </w:r>
      <w:r w:rsidR="00E4656B" w:rsidRPr="003B11BD">
        <w:rPr>
          <w:rStyle w:val="normaltextrun"/>
          <w:noProof/>
        </w:rPr>
        <w:t xml:space="preserve">granting </w:t>
      </w:r>
      <w:r w:rsidR="701DA840" w:rsidRPr="003B11BD">
        <w:rPr>
          <w:rStyle w:val="normaltextrun"/>
          <w:noProof/>
        </w:rPr>
        <w:t>a compulsory licence</w:t>
      </w:r>
      <w:r w:rsidR="006D49EB" w:rsidRPr="003B11BD">
        <w:rPr>
          <w:rStyle w:val="normaltextrun"/>
          <w:noProof/>
        </w:rPr>
        <w:t xml:space="preserve">, along the lines of </w:t>
      </w:r>
      <w:r w:rsidR="00103FBF" w:rsidRPr="003B11BD">
        <w:rPr>
          <w:rStyle w:val="normaltextrun"/>
          <w:noProof/>
        </w:rPr>
        <w:t xml:space="preserve">what </w:t>
      </w:r>
      <w:r w:rsidR="00E4656B" w:rsidRPr="003B11BD">
        <w:rPr>
          <w:rStyle w:val="normaltextrun"/>
          <w:noProof/>
        </w:rPr>
        <w:t xml:space="preserve">was </w:t>
      </w:r>
      <w:r w:rsidR="00103FBF" w:rsidRPr="003B11BD">
        <w:rPr>
          <w:rStyle w:val="normaltextrun"/>
          <w:noProof/>
        </w:rPr>
        <w:t xml:space="preserve">described </w:t>
      </w:r>
      <w:r w:rsidR="00E4656B" w:rsidRPr="003B11BD">
        <w:rPr>
          <w:rStyle w:val="normaltextrun"/>
          <w:noProof/>
        </w:rPr>
        <w:t>in</w:t>
      </w:r>
      <w:r w:rsidR="00103FBF" w:rsidRPr="003B11BD">
        <w:rPr>
          <w:rStyle w:val="normaltextrun"/>
          <w:noProof/>
        </w:rPr>
        <w:t xml:space="preserve"> </w:t>
      </w:r>
      <w:r w:rsidR="00BB17C3" w:rsidRPr="003B11BD">
        <w:rPr>
          <w:rStyle w:val="normaltextrun"/>
          <w:noProof/>
        </w:rPr>
        <w:t>section</w:t>
      </w:r>
      <w:r w:rsidR="00103FBF" w:rsidRPr="003B11BD">
        <w:rPr>
          <w:rStyle w:val="normaltextrun"/>
          <w:noProof/>
        </w:rPr>
        <w:t xml:space="preserve"> 5.2</w:t>
      </w:r>
      <w:r w:rsidR="701DA840" w:rsidRPr="003B11BD">
        <w:rPr>
          <w:rStyle w:val="normaltextrun"/>
          <w:noProof/>
        </w:rPr>
        <w:t>.</w:t>
      </w:r>
      <w:r w:rsidR="00FD6672" w:rsidRPr="003B11BD">
        <w:rPr>
          <w:rStyle w:val="normaltextrun"/>
          <w:noProof/>
        </w:rPr>
        <w:t xml:space="preserve"> </w:t>
      </w:r>
      <w:r w:rsidR="00DA7690" w:rsidRPr="003B11BD">
        <w:rPr>
          <w:rStyle w:val="normaltextrun"/>
          <w:noProof/>
        </w:rPr>
        <w:t>The issuance of a CL</w:t>
      </w:r>
      <w:r w:rsidR="701DA840" w:rsidRPr="003B11BD">
        <w:rPr>
          <w:rStyle w:val="normaltextrun"/>
          <w:noProof/>
        </w:rPr>
        <w:t xml:space="preserve"> for crisis management would remain a national decision. </w:t>
      </w:r>
      <w:r w:rsidR="00DA7690" w:rsidRPr="003B11BD">
        <w:rPr>
          <w:rStyle w:val="normaltextrun"/>
          <w:noProof/>
        </w:rPr>
        <w:t>PO2</w:t>
      </w:r>
      <w:r w:rsidR="701DA840" w:rsidRPr="003B11BD">
        <w:rPr>
          <w:rStyle w:val="eop"/>
          <w:noProof/>
        </w:rPr>
        <w:t xml:space="preserve"> </w:t>
      </w:r>
      <w:r w:rsidR="701DA840" w:rsidRPr="003B11BD">
        <w:rPr>
          <w:rStyle w:val="normaltextrun"/>
          <w:noProof/>
        </w:rPr>
        <w:t xml:space="preserve">would ensure that remedies available to patent owners, including the competent judicial authorities, are aligned in all Member States. </w:t>
      </w:r>
    </w:p>
    <w:p w14:paraId="4FF98FB3" w14:textId="0736E5CC" w:rsidR="00DC3CDE" w:rsidRPr="003B11BD" w:rsidRDefault="00A94F37" w:rsidP="004C618F">
      <w:pPr>
        <w:pStyle w:val="Bullets"/>
        <w:rPr>
          <w:noProof/>
          <w:u w:val="dotted"/>
        </w:rPr>
      </w:pPr>
      <w:r w:rsidRPr="003B11BD">
        <w:rPr>
          <w:noProof/>
          <w:u w:val="dotted"/>
        </w:rPr>
        <w:t>Territorial reach</w:t>
      </w:r>
      <w:r w:rsidR="00933D80" w:rsidRPr="003B11BD">
        <w:rPr>
          <w:noProof/>
          <w:u w:val="dotted"/>
        </w:rPr>
        <w:t xml:space="preserve"> of</w:t>
      </w:r>
      <w:r w:rsidR="009B1ADE" w:rsidRPr="003B11BD">
        <w:rPr>
          <w:noProof/>
          <w:u w:val="dotted"/>
        </w:rPr>
        <w:t xml:space="preserve"> </w:t>
      </w:r>
      <w:r w:rsidR="00197280" w:rsidRPr="003B11BD">
        <w:rPr>
          <w:noProof/>
          <w:u w:val="dotted"/>
        </w:rPr>
        <w:t>compulsory licensing</w:t>
      </w:r>
      <w:r w:rsidR="00EC0286" w:rsidRPr="003B11BD">
        <w:rPr>
          <w:noProof/>
        </w:rPr>
        <w:t xml:space="preserve">: </w:t>
      </w:r>
      <w:r w:rsidR="00AC3CB6" w:rsidRPr="003B11BD">
        <w:rPr>
          <w:rStyle w:val="eop"/>
          <w:noProof/>
        </w:rPr>
        <w:t>PO2</w:t>
      </w:r>
      <w:r w:rsidR="00A51EEB" w:rsidRPr="003B11BD">
        <w:rPr>
          <w:rStyle w:val="eop"/>
          <w:noProof/>
        </w:rPr>
        <w:t xml:space="preserve"> would </w:t>
      </w:r>
      <w:r w:rsidR="004A1464" w:rsidRPr="003B11BD">
        <w:rPr>
          <w:rStyle w:val="eop"/>
          <w:noProof/>
        </w:rPr>
        <w:t xml:space="preserve">require Member States to allow, in cross-border crises, </w:t>
      </w:r>
      <w:r w:rsidR="00EC0286" w:rsidRPr="003B11BD">
        <w:rPr>
          <w:rStyle w:val="eop"/>
          <w:noProof/>
        </w:rPr>
        <w:t xml:space="preserve">the possibility to export manufactured under a compulsory licence to another Member State. </w:t>
      </w:r>
      <w:r w:rsidR="00806148" w:rsidRPr="003B11BD">
        <w:rPr>
          <w:rStyle w:val="eop"/>
          <w:noProof/>
        </w:rPr>
        <w:t xml:space="preserve">There would be no exhaustion of patent rights under this option (i.e. importing Member States would still need to issue a </w:t>
      </w:r>
      <w:r w:rsidR="00873F47" w:rsidRPr="003B11BD">
        <w:rPr>
          <w:rStyle w:val="eop"/>
          <w:noProof/>
        </w:rPr>
        <w:t>licence</w:t>
      </w:r>
      <w:r w:rsidR="00806148" w:rsidRPr="003B11BD">
        <w:rPr>
          <w:rStyle w:val="eop"/>
          <w:noProof/>
        </w:rPr>
        <w:t xml:space="preserve"> t</w:t>
      </w:r>
      <w:r w:rsidR="00873F47" w:rsidRPr="003B11BD">
        <w:rPr>
          <w:rStyle w:val="eop"/>
          <w:noProof/>
        </w:rPr>
        <w:t>o import the goods).</w:t>
      </w:r>
    </w:p>
    <w:p w14:paraId="6DDD91C9" w14:textId="27C7B845" w:rsidR="00325F97" w:rsidRPr="003B11BD" w:rsidRDefault="33AA943C" w:rsidP="004C618F">
      <w:pPr>
        <w:pStyle w:val="Bullets"/>
        <w:rPr>
          <w:rStyle w:val="eop"/>
          <w:rFonts w:eastAsiaTheme="minorHAnsi"/>
          <w:noProof/>
          <w:lang w:eastAsia="en-US"/>
        </w:rPr>
      </w:pPr>
      <w:r w:rsidRPr="003B11BD">
        <w:rPr>
          <w:noProof/>
          <w:u w:val="dotted"/>
        </w:rPr>
        <w:t>Support to EU resilience</w:t>
      </w:r>
      <w:r w:rsidR="008912FA" w:rsidRPr="003B11BD">
        <w:rPr>
          <w:noProof/>
        </w:rPr>
        <w:t xml:space="preserve">: </w:t>
      </w:r>
      <w:r w:rsidRPr="003B11BD">
        <w:rPr>
          <w:noProof/>
        </w:rPr>
        <w:t xml:space="preserve">This option would clarify that national compulsory licences could be issued in the context of an EU decision activating or declaring a crisis mode or an emergency. </w:t>
      </w:r>
      <w:r w:rsidR="000E17E1" w:rsidRPr="003B11BD">
        <w:rPr>
          <w:rStyle w:val="normaltextrun"/>
          <w:noProof/>
        </w:rPr>
        <w:t xml:space="preserve">The EC would have a coordination role in case of cross-border crises, as it would provide support to Member States and facilitate coordination of national compulsory licences (e.g. ensure the same subject-matter, duration, remuneration, etc.) to ensure coherence across the EU. </w:t>
      </w:r>
      <w:r w:rsidR="009124A3" w:rsidRPr="003B11BD">
        <w:rPr>
          <w:rStyle w:val="normaltextrun"/>
          <w:noProof/>
        </w:rPr>
        <w:t xml:space="preserve">PO2 </w:t>
      </w:r>
      <w:r w:rsidR="1C356D5F" w:rsidRPr="003B11BD">
        <w:rPr>
          <w:rStyle w:val="normaltextrun"/>
          <w:noProof/>
        </w:rPr>
        <w:t>would also include transparency and information exchange obligations for Member States as regards applications for and granting of compulsory licences for crisis management</w:t>
      </w:r>
      <w:r w:rsidR="231C7419" w:rsidRPr="003B11BD">
        <w:rPr>
          <w:rStyle w:val="normaltextrun"/>
          <w:noProof/>
        </w:rPr>
        <w:t xml:space="preserve"> and in the context of </w:t>
      </w:r>
      <w:r w:rsidR="000C155F" w:rsidRPr="003B11BD">
        <w:rPr>
          <w:noProof/>
        </w:rPr>
        <w:t>Regulation (EC) No 816/2006</w:t>
      </w:r>
      <w:r w:rsidR="1C356D5F" w:rsidRPr="003B11BD">
        <w:rPr>
          <w:rStyle w:val="normaltextrun"/>
          <w:noProof/>
        </w:rPr>
        <w:t>.</w:t>
      </w:r>
      <w:r w:rsidR="4C81ECBE" w:rsidRPr="003B11BD">
        <w:rPr>
          <w:noProof/>
        </w:rPr>
        <w:t xml:space="preserve"> </w:t>
      </w:r>
      <w:r w:rsidR="00E778B6" w:rsidRPr="003B11BD">
        <w:rPr>
          <w:noProof/>
        </w:rPr>
        <w:t xml:space="preserve">Member States would have to inform the </w:t>
      </w:r>
      <w:r w:rsidR="009124A3" w:rsidRPr="003B11BD">
        <w:rPr>
          <w:noProof/>
        </w:rPr>
        <w:t>E</w:t>
      </w:r>
      <w:r w:rsidR="00E778B6" w:rsidRPr="003B11BD">
        <w:rPr>
          <w:noProof/>
        </w:rPr>
        <w:t>C when they are considering granting</w:t>
      </w:r>
      <w:r w:rsidR="009942F5" w:rsidRPr="003B11BD">
        <w:rPr>
          <w:noProof/>
        </w:rPr>
        <w:t xml:space="preserve"> and</w:t>
      </w:r>
      <w:r w:rsidR="009124A3" w:rsidRPr="003B11BD">
        <w:rPr>
          <w:noProof/>
        </w:rPr>
        <w:t>/or</w:t>
      </w:r>
      <w:r w:rsidR="009942F5" w:rsidRPr="003B11BD">
        <w:rPr>
          <w:noProof/>
        </w:rPr>
        <w:t xml:space="preserve"> have granted</w:t>
      </w:r>
      <w:r w:rsidR="00E778B6" w:rsidRPr="003B11BD">
        <w:rPr>
          <w:noProof/>
        </w:rPr>
        <w:t xml:space="preserve"> a compulsory licence for crisis management</w:t>
      </w:r>
      <w:r w:rsidR="009942F5" w:rsidRPr="003B11BD">
        <w:rPr>
          <w:noProof/>
        </w:rPr>
        <w:t xml:space="preserve"> (i.e. transparency </w:t>
      </w:r>
      <w:r w:rsidR="00DA7690" w:rsidRPr="003B11BD">
        <w:rPr>
          <w:noProof/>
        </w:rPr>
        <w:t>obligation) as well as provide</w:t>
      </w:r>
      <w:r w:rsidR="009942F5" w:rsidRPr="003B11BD">
        <w:rPr>
          <w:noProof/>
        </w:rPr>
        <w:t xml:space="preserve"> information on the compulsory licence (the subject matter of the compulsory licence, </w:t>
      </w:r>
      <w:r w:rsidR="00C312E5" w:rsidRPr="003B11BD">
        <w:rPr>
          <w:noProof/>
        </w:rPr>
        <w:t>companies involved such as patent holders and/or manufacturers, the conditions agreed</w:t>
      </w:r>
      <w:r w:rsidR="009942F5" w:rsidRPr="003B11BD">
        <w:rPr>
          <w:noProof/>
        </w:rPr>
        <w:t>, etc.)</w:t>
      </w:r>
      <w:r w:rsidR="00E778B6" w:rsidRPr="003B11BD">
        <w:rPr>
          <w:noProof/>
        </w:rPr>
        <w:t>.</w:t>
      </w:r>
    </w:p>
    <w:p w14:paraId="55167754" w14:textId="4DE632B7" w:rsidR="003737E9" w:rsidRPr="003B11BD" w:rsidRDefault="003737E9" w:rsidP="009075D3">
      <w:pPr>
        <w:pStyle w:val="Caption"/>
        <w:keepNext/>
        <w:rPr>
          <w:noProof/>
          <w:lang w:val="en-IE"/>
        </w:rPr>
      </w:pPr>
      <w:r w:rsidRPr="003B11BD">
        <w:rPr>
          <w:noProof/>
          <w:lang w:val="en-IE"/>
        </w:rPr>
        <w:t xml:space="preserve">Figure </w:t>
      </w:r>
      <w:r w:rsidR="00C6592A">
        <w:rPr>
          <w:noProof/>
          <w:lang w:val="en-IE"/>
        </w:rPr>
        <w:t>7</w:t>
      </w:r>
      <w:r w:rsidRPr="003B11BD">
        <w:rPr>
          <w:noProof/>
          <w:lang w:val="en-IE"/>
        </w:rPr>
        <w:t>: Simplified scheme for Option 2</w:t>
      </w:r>
    </w:p>
    <w:p w14:paraId="6F42AF54" w14:textId="35E92991" w:rsidR="003737E9" w:rsidRDefault="00937D5E" w:rsidP="008D00F0">
      <w:pPr>
        <w:jc w:val="center"/>
        <w:rPr>
          <w:noProof/>
          <w:lang w:val="en-IE"/>
        </w:rPr>
      </w:pPr>
      <w:r w:rsidRPr="003B11BD">
        <w:rPr>
          <w:noProof/>
          <w:lang w:eastAsia="en-GB"/>
        </w:rPr>
        <w:drawing>
          <wp:inline distT="0" distB="0" distL="0" distR="0" wp14:anchorId="38B275FF" wp14:editId="5706A07C">
            <wp:extent cx="5493600" cy="77400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93600" cy="774000"/>
                    </a:xfrm>
                    <a:prstGeom prst="rect">
                      <a:avLst/>
                    </a:prstGeom>
                    <a:noFill/>
                  </pic:spPr>
                </pic:pic>
              </a:graphicData>
            </a:graphic>
          </wp:inline>
        </w:drawing>
      </w:r>
    </w:p>
    <w:p w14:paraId="2FAA63EF" w14:textId="65A39E60" w:rsidR="003737E9" w:rsidRPr="003B11BD" w:rsidRDefault="00B53FA4" w:rsidP="00D36136">
      <w:pPr>
        <w:jc w:val="left"/>
        <w:rPr>
          <w:noProof/>
          <w:lang w:val="en-IE"/>
        </w:rPr>
      </w:pPr>
      <w:r w:rsidRPr="00B53FA4">
        <w:rPr>
          <w:noProof/>
          <w:lang w:val="en-IE"/>
        </w:rPr>
        <w:t>A detailed scheme describing the procedural steps foreseen under Option 2 is provided in Figure 19 (Annex 6).</w:t>
      </w:r>
    </w:p>
    <w:p w14:paraId="6AAB8B73" w14:textId="7FFD9A97" w:rsidR="00EC0286" w:rsidRPr="003B11BD" w:rsidRDefault="00EC0286" w:rsidP="00ED49E6">
      <w:pPr>
        <w:pStyle w:val="Heading3"/>
        <w:rPr>
          <w:rStyle w:val="eop"/>
          <w:noProof/>
        </w:rPr>
      </w:pPr>
      <w:bookmarkStart w:id="228" w:name="_Toc120731217"/>
      <w:bookmarkStart w:id="229" w:name="_Toc121386376"/>
      <w:bookmarkStart w:id="230" w:name="_Toc121489594"/>
      <w:bookmarkStart w:id="231" w:name="_Toc121496346"/>
      <w:bookmarkStart w:id="232" w:name="_Toc121748012"/>
      <w:bookmarkStart w:id="233" w:name="_Toc133435365"/>
      <w:r w:rsidRPr="003B11BD">
        <w:rPr>
          <w:rStyle w:val="normaltextrun"/>
          <w:noProof/>
        </w:rPr>
        <w:t>Option 3: Harmonisat</w:t>
      </w:r>
      <w:r w:rsidR="00D56092" w:rsidRPr="003B11BD">
        <w:rPr>
          <w:rStyle w:val="normaltextrun"/>
          <w:noProof/>
        </w:rPr>
        <w:t xml:space="preserve">ion </w:t>
      </w:r>
      <w:r w:rsidR="001A7E64" w:rsidRPr="003B11BD">
        <w:rPr>
          <w:rStyle w:val="normaltextrun"/>
          <w:noProof/>
        </w:rPr>
        <w:t xml:space="preserve">plus </w:t>
      </w:r>
      <w:r w:rsidR="00A52EAB" w:rsidRPr="003B11BD">
        <w:rPr>
          <w:rStyle w:val="normaltextrun"/>
          <w:noProof/>
        </w:rPr>
        <w:t xml:space="preserve">a </w:t>
      </w:r>
      <w:r w:rsidR="00D56092" w:rsidRPr="003B11BD">
        <w:rPr>
          <w:rStyle w:val="normaltextrun"/>
          <w:noProof/>
        </w:rPr>
        <w:t xml:space="preserve">binding </w:t>
      </w:r>
      <w:r w:rsidR="00A52EAB" w:rsidRPr="003B11BD">
        <w:rPr>
          <w:rStyle w:val="normaltextrun"/>
          <w:noProof/>
        </w:rPr>
        <w:t xml:space="preserve">EU-level </w:t>
      </w:r>
      <w:r w:rsidR="00D56092" w:rsidRPr="003B11BD">
        <w:rPr>
          <w:rStyle w:val="normaltextrun"/>
          <w:noProof/>
        </w:rPr>
        <w:t>measure</w:t>
      </w:r>
      <w:r w:rsidRPr="003B11BD">
        <w:rPr>
          <w:rStyle w:val="normaltextrun"/>
          <w:noProof/>
        </w:rPr>
        <w:t xml:space="preserve"> </w:t>
      </w:r>
      <w:r w:rsidR="00A52EAB" w:rsidRPr="003B11BD">
        <w:rPr>
          <w:rStyle w:val="normaltextrun"/>
          <w:noProof/>
        </w:rPr>
        <w:t>on</w:t>
      </w:r>
      <w:r w:rsidRPr="003B11BD">
        <w:rPr>
          <w:rStyle w:val="normaltextrun"/>
          <w:noProof/>
        </w:rPr>
        <w:t xml:space="preserve"> compulsory licen</w:t>
      </w:r>
      <w:r w:rsidR="00A52EAB" w:rsidRPr="003B11BD">
        <w:rPr>
          <w:rStyle w:val="normaltextrun"/>
          <w:noProof/>
        </w:rPr>
        <w:t>sing</w:t>
      </w:r>
      <w:bookmarkEnd w:id="228"/>
      <w:bookmarkEnd w:id="229"/>
      <w:bookmarkEnd w:id="230"/>
      <w:bookmarkEnd w:id="231"/>
      <w:bookmarkEnd w:id="232"/>
      <w:r w:rsidRPr="003B11BD">
        <w:rPr>
          <w:rStyle w:val="eop"/>
          <w:noProof/>
        </w:rPr>
        <w:t> </w:t>
      </w:r>
      <w:r w:rsidR="00186C29" w:rsidRPr="003B11BD">
        <w:rPr>
          <w:rStyle w:val="eop"/>
          <w:noProof/>
        </w:rPr>
        <w:t>for crisis management</w:t>
      </w:r>
      <w:bookmarkEnd w:id="233"/>
    </w:p>
    <w:p w14:paraId="5211A433" w14:textId="631A7A0F" w:rsidR="00EC0286" w:rsidRPr="003B11BD" w:rsidRDefault="00EC0286" w:rsidP="34EF0D43">
      <w:pPr>
        <w:pStyle w:val="paragraph"/>
        <w:spacing w:before="0" w:beforeAutospacing="0" w:after="120" w:afterAutospacing="0"/>
        <w:jc w:val="both"/>
        <w:textAlignment w:val="baseline"/>
        <w:rPr>
          <w:noProof/>
        </w:rPr>
      </w:pPr>
      <w:r w:rsidRPr="003B11BD">
        <w:rPr>
          <w:rStyle w:val="normaltextrun"/>
          <w:noProof/>
        </w:rPr>
        <w:t>Under this option, the</w:t>
      </w:r>
      <w:r w:rsidR="004C340B" w:rsidRPr="003B11BD">
        <w:rPr>
          <w:rStyle w:val="normaltextrun"/>
          <w:noProof/>
        </w:rPr>
        <w:t xml:space="preserve"> compulsory licence could be </w:t>
      </w:r>
      <w:r w:rsidR="003B7DFF" w:rsidRPr="003B11BD">
        <w:rPr>
          <w:rStyle w:val="normaltextrun"/>
          <w:noProof/>
        </w:rPr>
        <w:t>trigger</w:t>
      </w:r>
      <w:r w:rsidR="0049528B" w:rsidRPr="003B11BD">
        <w:rPr>
          <w:rStyle w:val="normaltextrun"/>
          <w:noProof/>
        </w:rPr>
        <w:t xml:space="preserve">ed in two </w:t>
      </w:r>
      <w:r w:rsidR="00A27932" w:rsidRPr="003B11BD">
        <w:rPr>
          <w:rStyle w:val="normaltextrun"/>
          <w:noProof/>
        </w:rPr>
        <w:t>scenarios</w:t>
      </w:r>
      <w:r w:rsidR="0049528B" w:rsidRPr="003B11BD">
        <w:rPr>
          <w:rStyle w:val="normaltextrun"/>
          <w:noProof/>
        </w:rPr>
        <w:t xml:space="preserve">. First, it could be triggered by </w:t>
      </w:r>
      <w:r w:rsidRPr="003B11BD">
        <w:rPr>
          <w:noProof/>
        </w:rPr>
        <w:t>an EU-level decision activating a crisis mode or declaring an emergency</w:t>
      </w:r>
      <w:r w:rsidR="00F81826" w:rsidRPr="003B11BD">
        <w:rPr>
          <w:noProof/>
        </w:rPr>
        <w:t xml:space="preserve"> under an </w:t>
      </w:r>
      <w:r w:rsidR="00632C45" w:rsidRPr="003B11BD">
        <w:rPr>
          <w:noProof/>
        </w:rPr>
        <w:t>existing</w:t>
      </w:r>
      <w:r w:rsidR="00F81826" w:rsidRPr="003B11BD">
        <w:rPr>
          <w:noProof/>
        </w:rPr>
        <w:t xml:space="preserve"> EU crisis instrument</w:t>
      </w:r>
      <w:r w:rsidR="00C409F8" w:rsidRPr="003B11BD">
        <w:rPr>
          <w:rStyle w:val="FootnoteReference"/>
          <w:noProof/>
        </w:rPr>
        <w:footnoteReference w:id="97"/>
      </w:r>
      <w:r w:rsidR="00376682" w:rsidRPr="003B11BD">
        <w:rPr>
          <w:noProof/>
        </w:rPr>
        <w:t xml:space="preserve"> (e.g. activation of the emergency mode under SMEI).</w:t>
      </w:r>
      <w:r w:rsidR="00D551E8" w:rsidRPr="003B11BD">
        <w:rPr>
          <w:noProof/>
        </w:rPr>
        <w:t xml:space="preserve"> </w:t>
      </w:r>
      <w:r w:rsidR="00B31F93" w:rsidRPr="003B11BD">
        <w:rPr>
          <w:noProof/>
        </w:rPr>
        <w:t xml:space="preserve">Second, the compulsory licence </w:t>
      </w:r>
      <w:r w:rsidR="00FC46AB" w:rsidRPr="003B11BD">
        <w:rPr>
          <w:noProof/>
        </w:rPr>
        <w:t>c</w:t>
      </w:r>
      <w:r w:rsidR="00B31F93" w:rsidRPr="003B11BD">
        <w:rPr>
          <w:noProof/>
        </w:rPr>
        <w:t>ould be triggered upon</w:t>
      </w:r>
      <w:r w:rsidR="00EE0AA4" w:rsidRPr="003B11BD">
        <w:rPr>
          <w:noProof/>
        </w:rPr>
        <w:t xml:space="preserve"> a request made </w:t>
      </w:r>
      <w:r w:rsidR="00E205D7" w:rsidRPr="003B11BD">
        <w:rPr>
          <w:noProof/>
        </w:rPr>
        <w:t xml:space="preserve">to the Commission </w:t>
      </w:r>
      <w:r w:rsidR="00EE0AA4" w:rsidRPr="003B11BD">
        <w:rPr>
          <w:noProof/>
        </w:rPr>
        <w:t xml:space="preserve">by </w:t>
      </w:r>
      <w:r w:rsidR="009177F8" w:rsidRPr="003B11BD">
        <w:rPr>
          <w:noProof/>
        </w:rPr>
        <w:t xml:space="preserve">more than one </w:t>
      </w:r>
      <w:r w:rsidR="00AA1F05" w:rsidRPr="003B11BD">
        <w:rPr>
          <w:noProof/>
        </w:rPr>
        <w:t xml:space="preserve">Member State </w:t>
      </w:r>
      <w:r w:rsidR="007976EA" w:rsidRPr="003B11BD">
        <w:rPr>
          <w:noProof/>
        </w:rPr>
        <w:t>in the event of a</w:t>
      </w:r>
      <w:r w:rsidR="00AA1F05" w:rsidRPr="003B11BD">
        <w:rPr>
          <w:noProof/>
        </w:rPr>
        <w:t xml:space="preserve"> cross-border </w:t>
      </w:r>
      <w:r w:rsidR="00960C6C" w:rsidRPr="003B11BD">
        <w:rPr>
          <w:noProof/>
        </w:rPr>
        <w:t>crisis</w:t>
      </w:r>
      <w:r w:rsidR="00AA1F05" w:rsidRPr="003B11BD">
        <w:rPr>
          <w:rStyle w:val="FootnoteReference"/>
          <w:noProof/>
        </w:rPr>
        <w:footnoteReference w:id="98"/>
      </w:r>
      <w:r w:rsidR="00AA1F05" w:rsidRPr="003B11BD">
        <w:rPr>
          <w:noProof/>
        </w:rPr>
        <w:t>.</w:t>
      </w:r>
      <w:r w:rsidR="00960C6C" w:rsidRPr="003B11BD">
        <w:rPr>
          <w:noProof/>
        </w:rPr>
        <w:t xml:space="preserve"> In such case, the notion of crisis would be defined along the line of existing definition</w:t>
      </w:r>
      <w:r w:rsidR="00DD18D7" w:rsidRPr="003B11BD">
        <w:rPr>
          <w:noProof/>
        </w:rPr>
        <w:t>s</w:t>
      </w:r>
      <w:r w:rsidR="00960C6C" w:rsidRPr="003B11BD">
        <w:rPr>
          <w:noProof/>
        </w:rPr>
        <w:t xml:space="preserve"> in EU legislation</w:t>
      </w:r>
      <w:r w:rsidR="00D14601" w:rsidRPr="003B11BD">
        <w:rPr>
          <w:rStyle w:val="FootnoteReference"/>
          <w:noProof/>
        </w:rPr>
        <w:footnoteReference w:id="99"/>
      </w:r>
      <w:r w:rsidR="00960C6C" w:rsidRPr="003B11BD">
        <w:rPr>
          <w:noProof/>
        </w:rPr>
        <w:t xml:space="preserve">. </w:t>
      </w:r>
      <w:r w:rsidR="00AD1C82" w:rsidRPr="003B11BD">
        <w:rPr>
          <w:noProof/>
        </w:rPr>
        <w:t>It would cover all types of crises (e.g. not limited to health-related crisis)</w:t>
      </w:r>
      <w:r w:rsidR="00960C6C" w:rsidRPr="003B11BD">
        <w:rPr>
          <w:noProof/>
        </w:rPr>
        <w:t xml:space="preserve"> </w:t>
      </w:r>
      <w:r w:rsidR="00541C14" w:rsidRPr="003B11BD">
        <w:rPr>
          <w:noProof/>
        </w:rPr>
        <w:t>but would always require a</w:t>
      </w:r>
      <w:r w:rsidR="00960C6C" w:rsidRPr="003B11BD">
        <w:rPr>
          <w:noProof/>
        </w:rPr>
        <w:t xml:space="preserve"> cross-border aspect</w:t>
      </w:r>
      <w:r w:rsidR="003053D5" w:rsidRPr="003B11BD">
        <w:rPr>
          <w:rStyle w:val="FootnoteReference"/>
          <w:noProof/>
        </w:rPr>
        <w:footnoteReference w:id="100"/>
      </w:r>
      <w:r w:rsidR="003053D5" w:rsidRPr="003B11BD">
        <w:rPr>
          <w:noProof/>
        </w:rPr>
        <w:t>.</w:t>
      </w:r>
      <w:r w:rsidR="00AA1F05" w:rsidRPr="003B11BD">
        <w:rPr>
          <w:noProof/>
        </w:rPr>
        <w:t xml:space="preserve"> </w:t>
      </w:r>
      <w:r w:rsidR="00E679E1" w:rsidRPr="003B11BD">
        <w:rPr>
          <w:noProof/>
        </w:rPr>
        <w:t>The Commission</w:t>
      </w:r>
      <w:r w:rsidRPr="003B11BD">
        <w:rPr>
          <w:noProof/>
        </w:rPr>
        <w:t xml:space="preserve"> would adopt an </w:t>
      </w:r>
      <w:r w:rsidR="00F957F2" w:rsidRPr="003B11BD">
        <w:rPr>
          <w:noProof/>
        </w:rPr>
        <w:t>activation measure</w:t>
      </w:r>
      <w:r w:rsidR="00423ACB" w:rsidRPr="003B11BD">
        <w:rPr>
          <w:rStyle w:val="FootnoteReference"/>
          <w:noProof/>
        </w:rPr>
        <w:footnoteReference w:id="101"/>
      </w:r>
      <w:r w:rsidRPr="003B11BD">
        <w:rPr>
          <w:noProof/>
        </w:rPr>
        <w:t xml:space="preserve"> requiring one or several Member States to issue a compulsory licence for crisis management.</w:t>
      </w:r>
      <w:r w:rsidR="006A246D" w:rsidRPr="003B11BD">
        <w:rPr>
          <w:noProof/>
          <w:color w:val="548DD4" w:themeColor="text2" w:themeTint="99"/>
        </w:rPr>
        <w:t xml:space="preserve"> </w:t>
      </w:r>
      <w:r w:rsidR="006A246D" w:rsidRPr="003B11BD">
        <w:rPr>
          <w:noProof/>
        </w:rPr>
        <w:t>The Commission would be assisted by an advisory committee composed of Member States representatives</w:t>
      </w:r>
      <w:r w:rsidR="00C011A8" w:rsidRPr="003B11BD">
        <w:rPr>
          <w:noProof/>
        </w:rPr>
        <w:t xml:space="preserve"> that should provide the Commission with a non-binding opinion.</w:t>
      </w:r>
      <w:r w:rsidR="006A246D" w:rsidRPr="003B11BD">
        <w:rPr>
          <w:rStyle w:val="normaltextrun"/>
          <w:noProof/>
        </w:rPr>
        <w:t xml:space="preserve"> </w:t>
      </w:r>
      <w:r w:rsidR="00C011A8" w:rsidRPr="003B11BD">
        <w:rPr>
          <w:rStyle w:val="normaltextrun"/>
          <w:noProof/>
        </w:rPr>
        <w:t xml:space="preserve">Its main tasks would include the assistance of the Commission in the determination of the necessity to rely on compulsory licensing at Union level, and under which conditions. </w:t>
      </w:r>
      <w:r w:rsidR="00C011A8" w:rsidRPr="003B11BD">
        <w:rPr>
          <w:noProof/>
        </w:rPr>
        <w:t xml:space="preserve">In case there is an existing crisis instrument, the advisory body would be the one foreseen in the context of this crisis instrument (e.g. Advisory Group under SMEI). For cases falling outside existing crisis instruments or where there is no such advisory body, an </w:t>
      </w:r>
      <w:r w:rsidR="00C011A8" w:rsidRPr="003B11BD">
        <w:rPr>
          <w:i/>
          <w:iCs/>
          <w:noProof/>
        </w:rPr>
        <w:t>ad hoc</w:t>
      </w:r>
      <w:r w:rsidR="00C011A8" w:rsidRPr="003B11BD">
        <w:rPr>
          <w:noProof/>
        </w:rPr>
        <w:t xml:space="preserve"> advisory body would be set up</w:t>
      </w:r>
      <w:r w:rsidR="00C011A8" w:rsidRPr="003B11BD">
        <w:rPr>
          <w:rStyle w:val="FootnoteReference"/>
          <w:noProof/>
        </w:rPr>
        <w:footnoteReference w:id="102"/>
      </w:r>
      <w:r w:rsidR="00C011A8" w:rsidRPr="003B11BD">
        <w:rPr>
          <w:noProof/>
        </w:rPr>
        <w:t xml:space="preserve">. The advisory committee </w:t>
      </w:r>
      <w:r w:rsidR="006A246D" w:rsidRPr="003B11BD">
        <w:rPr>
          <w:noProof/>
        </w:rPr>
        <w:t>would also hear the patent owner(s)</w:t>
      </w:r>
      <w:r w:rsidR="006A246D" w:rsidRPr="003B11BD">
        <w:rPr>
          <w:rStyle w:val="FootnoteReference"/>
          <w:noProof/>
        </w:rPr>
        <w:footnoteReference w:id="103"/>
      </w:r>
      <w:r w:rsidR="006A246D" w:rsidRPr="003B11BD">
        <w:rPr>
          <w:noProof/>
        </w:rPr>
        <w:t>.</w:t>
      </w:r>
      <w:r w:rsidRPr="003B11BD">
        <w:rPr>
          <w:noProof/>
        </w:rPr>
        <w:t xml:space="preserve"> </w:t>
      </w:r>
      <w:r w:rsidR="00CB458A" w:rsidRPr="003B11BD">
        <w:rPr>
          <w:noProof/>
        </w:rPr>
        <w:t>This should enable the Commission to make an assessment and consider the individual merits of the situation and determine on this basis the adequate conditions of the compulsory licence, in particular the adequate remuneration</w:t>
      </w:r>
      <w:r w:rsidR="00CB1B8A" w:rsidRPr="003B11BD">
        <w:rPr>
          <w:rStyle w:val="FootnoteReference"/>
          <w:noProof/>
        </w:rPr>
        <w:footnoteReference w:id="104"/>
      </w:r>
      <w:r w:rsidR="00CB458A" w:rsidRPr="003B11BD">
        <w:rPr>
          <w:noProof/>
        </w:rPr>
        <w:t xml:space="preserve"> for the rights-holder. </w:t>
      </w:r>
      <w:r w:rsidR="004A10C5" w:rsidRPr="003B11BD">
        <w:rPr>
          <w:rStyle w:val="normaltextrun"/>
          <w:noProof/>
        </w:rPr>
        <w:t>It</w:t>
      </w:r>
      <w:r w:rsidRPr="003B11BD">
        <w:rPr>
          <w:rStyle w:val="normaltextrun"/>
          <w:noProof/>
        </w:rPr>
        <w:t xml:space="preserve"> would lead to the issuance of several national compulsory licences, each being applicable to the territory of several EU countries or the whole EU. </w:t>
      </w:r>
      <w:r w:rsidR="00281365" w:rsidRPr="003B11BD">
        <w:rPr>
          <w:rStyle w:val="normaltextrun"/>
          <w:noProof/>
        </w:rPr>
        <w:t>An appeal against the decision would be available</w:t>
      </w:r>
      <w:r w:rsidR="00281365" w:rsidRPr="003B11BD">
        <w:rPr>
          <w:rStyle w:val="FootnoteReference"/>
          <w:noProof/>
        </w:rPr>
        <w:footnoteReference w:id="105"/>
      </w:r>
      <w:r w:rsidR="00281365" w:rsidRPr="003B11BD">
        <w:rPr>
          <w:rStyle w:val="normaltextrun"/>
          <w:noProof/>
        </w:rPr>
        <w:t xml:space="preserve">. </w:t>
      </w:r>
      <w:r w:rsidR="004A10C5" w:rsidRPr="003B11BD">
        <w:rPr>
          <w:rStyle w:val="normaltextrun"/>
          <w:noProof/>
        </w:rPr>
        <w:t>PO3</w:t>
      </w:r>
      <w:r w:rsidR="00D56092" w:rsidRPr="003B11BD">
        <w:rPr>
          <w:rStyle w:val="normaltextrun"/>
          <w:noProof/>
        </w:rPr>
        <w:t xml:space="preserve"> </w:t>
      </w:r>
      <w:r w:rsidRPr="003B11BD">
        <w:rPr>
          <w:rStyle w:val="normaltextrun"/>
          <w:noProof/>
        </w:rPr>
        <w:t>would not harmonise national compulsory licensing schemes other than for cross-border crisis management</w:t>
      </w:r>
      <w:r w:rsidRPr="003B11BD">
        <w:rPr>
          <w:noProof/>
        </w:rPr>
        <w:t>.</w:t>
      </w:r>
      <w:r w:rsidR="00620F82" w:rsidRPr="003B11BD">
        <w:rPr>
          <w:noProof/>
        </w:rPr>
        <w:t xml:space="preserve"> In line with the identified </w:t>
      </w:r>
      <w:r w:rsidR="00BA3908" w:rsidRPr="003B11BD">
        <w:rPr>
          <w:noProof/>
        </w:rPr>
        <w:t>objectives</w:t>
      </w:r>
      <w:r w:rsidR="008D00F0" w:rsidRPr="003B11BD">
        <w:rPr>
          <w:noProof/>
        </w:rPr>
        <w:t xml:space="preserve">, it would focus on </w:t>
      </w:r>
      <w:r w:rsidR="0003784B" w:rsidRPr="003B11BD">
        <w:rPr>
          <w:noProof/>
        </w:rPr>
        <w:t xml:space="preserve">the following </w:t>
      </w:r>
      <w:r w:rsidR="00620F82" w:rsidRPr="003B11BD">
        <w:rPr>
          <w:noProof/>
        </w:rPr>
        <w:t>building blocks</w:t>
      </w:r>
      <w:r w:rsidR="00D56092" w:rsidRPr="003B11BD">
        <w:rPr>
          <w:noProof/>
        </w:rPr>
        <w:t>:</w:t>
      </w:r>
      <w:r w:rsidR="00620F82" w:rsidRPr="003B11BD">
        <w:rPr>
          <w:noProof/>
        </w:rPr>
        <w:t xml:space="preserve"> </w:t>
      </w:r>
    </w:p>
    <w:p w14:paraId="5172EC30" w14:textId="5C58B7E5" w:rsidR="00EC0286" w:rsidRPr="003B11BD" w:rsidRDefault="00C412C4" w:rsidP="004C618F">
      <w:pPr>
        <w:pStyle w:val="Bullets"/>
        <w:rPr>
          <w:rStyle w:val="normaltextrun"/>
          <w:noProof/>
          <w:lang w:eastAsia="en-US"/>
        </w:rPr>
      </w:pPr>
      <w:r w:rsidRPr="003B11BD">
        <w:rPr>
          <w:noProof/>
          <w:u w:val="dotted"/>
        </w:rPr>
        <w:t>Improve the key features</w:t>
      </w:r>
      <w:r w:rsidR="00490173" w:rsidRPr="003B11BD">
        <w:rPr>
          <w:noProof/>
          <w:u w:val="dotted"/>
        </w:rPr>
        <w:t xml:space="preserve"> of compulsory licensing</w:t>
      </w:r>
      <w:r w:rsidR="00EC0286" w:rsidRPr="003B11BD">
        <w:rPr>
          <w:noProof/>
        </w:rPr>
        <w:t xml:space="preserve">: </w:t>
      </w:r>
      <w:r w:rsidR="5F85674B" w:rsidRPr="003B11BD">
        <w:rPr>
          <w:rStyle w:val="normaltextrun"/>
          <w:noProof/>
        </w:rPr>
        <w:t>PO3</w:t>
      </w:r>
      <w:r w:rsidR="00EC0286" w:rsidRPr="003B11BD">
        <w:rPr>
          <w:rStyle w:val="eop"/>
          <w:noProof/>
        </w:rPr>
        <w:t xml:space="preserve"> </w:t>
      </w:r>
      <w:r w:rsidR="00EC0286" w:rsidRPr="003B11BD">
        <w:rPr>
          <w:rStyle w:val="normaltextrun"/>
          <w:noProof/>
        </w:rPr>
        <w:t>would require all Member States to include in their national law a compulsory licensing scheme for cross-border crisis management</w:t>
      </w:r>
      <w:r w:rsidR="00BC5E19" w:rsidRPr="003B11BD">
        <w:rPr>
          <w:rStyle w:val="normaltextrun"/>
          <w:noProof/>
        </w:rPr>
        <w:t xml:space="preserve"> (i.e. triggered by an EU-level decision </w:t>
      </w:r>
      <w:r w:rsidR="00BC5E19" w:rsidRPr="003B11BD">
        <w:rPr>
          <w:noProof/>
        </w:rPr>
        <w:t>activating a crisis mode or declaring an emergency</w:t>
      </w:r>
      <w:r w:rsidR="00654D6D" w:rsidRPr="003B11BD">
        <w:rPr>
          <w:noProof/>
        </w:rPr>
        <w:t xml:space="preserve"> or upon request of Member State(s)</w:t>
      </w:r>
      <w:r w:rsidR="00BC5E19" w:rsidRPr="003B11BD">
        <w:rPr>
          <w:rStyle w:val="normaltextrun"/>
          <w:noProof/>
        </w:rPr>
        <w:t>)</w:t>
      </w:r>
      <w:r w:rsidR="00EC0286" w:rsidRPr="003B11BD">
        <w:rPr>
          <w:rStyle w:val="normaltextrun"/>
          <w:noProof/>
        </w:rPr>
        <w:t>. The option would</w:t>
      </w:r>
      <w:r w:rsidR="56B0C052" w:rsidRPr="003B11BD">
        <w:rPr>
          <w:rStyle w:val="normaltextrun"/>
          <w:noProof/>
        </w:rPr>
        <w:t xml:space="preserve"> require</w:t>
      </w:r>
      <w:r w:rsidR="00EC0286" w:rsidRPr="003B11BD">
        <w:rPr>
          <w:rStyle w:val="normaltextrun"/>
          <w:noProof/>
        </w:rPr>
        <w:t xml:space="preserve"> </w:t>
      </w:r>
      <w:r w:rsidR="00AB7E42" w:rsidRPr="003B11BD">
        <w:rPr>
          <w:rStyle w:val="normaltextrun"/>
          <w:noProof/>
        </w:rPr>
        <w:t xml:space="preserve">Member States to provide for </w:t>
      </w:r>
      <w:r w:rsidR="0003784B" w:rsidRPr="003B11BD">
        <w:rPr>
          <w:rStyle w:val="normaltextrun"/>
          <w:noProof/>
        </w:rPr>
        <w:t>an</w:t>
      </w:r>
      <w:r w:rsidR="00AB7E42" w:rsidRPr="003B11BD">
        <w:rPr>
          <w:rStyle w:val="normaltextrun"/>
          <w:noProof/>
        </w:rPr>
        <w:t xml:space="preserve"> </w:t>
      </w:r>
      <w:r w:rsidR="66501551" w:rsidRPr="003B11BD">
        <w:rPr>
          <w:rStyle w:val="normaltextrun"/>
          <w:noProof/>
        </w:rPr>
        <w:t>accelerated</w:t>
      </w:r>
      <w:r w:rsidR="00EC0286" w:rsidRPr="003B11BD">
        <w:rPr>
          <w:rStyle w:val="normaltextrun"/>
          <w:noProof/>
        </w:rPr>
        <w:t xml:space="preserve"> granting </w:t>
      </w:r>
      <w:r w:rsidR="00521FA8" w:rsidRPr="003B11BD">
        <w:rPr>
          <w:rStyle w:val="normaltextrun"/>
          <w:noProof/>
        </w:rPr>
        <w:t xml:space="preserve">procedure </w:t>
      </w:r>
      <w:r w:rsidR="00EC0286" w:rsidRPr="003B11BD">
        <w:rPr>
          <w:rStyle w:val="normaltextrun"/>
          <w:noProof/>
        </w:rPr>
        <w:t>(e.g. an executive order). Although the granting decision will be a national decision, its basis will be a Commission act</w:t>
      </w:r>
      <w:r w:rsidR="00620F82" w:rsidRPr="003B11BD">
        <w:rPr>
          <w:rStyle w:val="normaltextrun"/>
          <w:noProof/>
        </w:rPr>
        <w:t xml:space="preserve"> defining </w:t>
      </w:r>
      <w:r w:rsidR="00BE031E" w:rsidRPr="003B11BD">
        <w:rPr>
          <w:rStyle w:val="normaltextrun"/>
          <w:noProof/>
        </w:rPr>
        <w:t>the</w:t>
      </w:r>
      <w:r w:rsidR="00620F82" w:rsidRPr="003B11BD">
        <w:rPr>
          <w:rStyle w:val="normaltextrun"/>
          <w:noProof/>
        </w:rPr>
        <w:t xml:space="preserve"> </w:t>
      </w:r>
      <w:r w:rsidR="00EC0286" w:rsidRPr="003B11BD">
        <w:rPr>
          <w:rStyle w:val="normaltextrun"/>
          <w:noProof/>
        </w:rPr>
        <w:t>conditions</w:t>
      </w:r>
      <w:r w:rsidR="00BE031E" w:rsidRPr="003B11BD">
        <w:rPr>
          <w:rStyle w:val="normaltextrun"/>
          <w:noProof/>
        </w:rPr>
        <w:t xml:space="preserve"> strictly linked to the crisis,</w:t>
      </w:r>
      <w:r w:rsidR="00EC0286" w:rsidRPr="003B11BD">
        <w:rPr>
          <w:rStyle w:val="normaltextrun"/>
          <w:noProof/>
        </w:rPr>
        <w:t xml:space="preserve"> </w:t>
      </w:r>
      <w:r w:rsidR="00BE031E" w:rsidRPr="003B11BD">
        <w:rPr>
          <w:rStyle w:val="normaltextrun"/>
          <w:noProof/>
        </w:rPr>
        <w:t>namely</w:t>
      </w:r>
      <w:r w:rsidR="00EC0286" w:rsidRPr="003B11BD">
        <w:rPr>
          <w:rStyle w:val="normaltextrun"/>
          <w:noProof/>
        </w:rPr>
        <w:t xml:space="preserve"> the purpose</w:t>
      </w:r>
      <w:r w:rsidR="009B258A" w:rsidRPr="003B11BD">
        <w:rPr>
          <w:rStyle w:val="normaltextrun"/>
          <w:noProof/>
        </w:rPr>
        <w:t xml:space="preserve"> (e.g. production of this product protected by this(es) </w:t>
      </w:r>
      <w:r w:rsidR="00D5329C" w:rsidRPr="003B11BD">
        <w:rPr>
          <w:rStyle w:val="normaltextrun"/>
          <w:noProof/>
        </w:rPr>
        <w:t>p</w:t>
      </w:r>
      <w:r w:rsidR="009B258A" w:rsidRPr="003B11BD">
        <w:rPr>
          <w:rStyle w:val="normaltextrun"/>
          <w:noProof/>
        </w:rPr>
        <w:t>atent(s))</w:t>
      </w:r>
      <w:r w:rsidR="00EC0286" w:rsidRPr="003B11BD">
        <w:rPr>
          <w:rStyle w:val="normaltextrun"/>
          <w:noProof/>
        </w:rPr>
        <w:t>, the duration</w:t>
      </w:r>
      <w:r w:rsidR="005D6094" w:rsidRPr="003B11BD">
        <w:rPr>
          <w:rStyle w:val="normaltextrun"/>
          <w:noProof/>
        </w:rPr>
        <w:t>,</w:t>
      </w:r>
      <w:r w:rsidR="00EC0286" w:rsidRPr="003B11BD">
        <w:rPr>
          <w:rStyle w:val="normaltextrun"/>
          <w:noProof/>
        </w:rPr>
        <w:t xml:space="preserve"> and the territorial scope of the compulsory licence. This option would provide harmonisation </w:t>
      </w:r>
      <w:r w:rsidR="00735353" w:rsidRPr="003B11BD">
        <w:rPr>
          <w:rStyle w:val="normaltextrun"/>
          <w:noProof/>
        </w:rPr>
        <w:t>on</w:t>
      </w:r>
      <w:r w:rsidR="00EC0286" w:rsidRPr="003B11BD">
        <w:rPr>
          <w:rStyle w:val="normaltextrun"/>
          <w:noProof/>
        </w:rPr>
        <w:t xml:space="preserve"> </w:t>
      </w:r>
      <w:r w:rsidR="00B54B71" w:rsidRPr="003B11BD">
        <w:rPr>
          <w:rStyle w:val="normaltextrun"/>
          <w:noProof/>
        </w:rPr>
        <w:t>other features</w:t>
      </w:r>
      <w:r w:rsidR="001735A7" w:rsidRPr="003B11BD">
        <w:rPr>
          <w:rStyle w:val="FootnoteReference"/>
          <w:noProof/>
        </w:rPr>
        <w:footnoteReference w:id="106"/>
      </w:r>
      <w:r w:rsidR="00B54B71" w:rsidRPr="003B11BD">
        <w:rPr>
          <w:rStyle w:val="normaltextrun"/>
          <w:noProof/>
        </w:rPr>
        <w:t xml:space="preserve"> such as the </w:t>
      </w:r>
      <w:r w:rsidR="005E4C30" w:rsidRPr="003B11BD">
        <w:rPr>
          <w:rStyle w:val="normaltextrun"/>
          <w:noProof/>
        </w:rPr>
        <w:t>scope</w:t>
      </w:r>
      <w:r w:rsidR="00840F44" w:rsidRPr="003B11BD">
        <w:rPr>
          <w:rStyle w:val="normaltextrun"/>
          <w:noProof/>
        </w:rPr>
        <w:t xml:space="preserve"> and</w:t>
      </w:r>
      <w:r w:rsidR="005E4C30" w:rsidRPr="003B11BD">
        <w:rPr>
          <w:rStyle w:val="normaltextrun"/>
          <w:noProof/>
        </w:rPr>
        <w:t xml:space="preserve"> the conditions</w:t>
      </w:r>
      <w:r w:rsidR="00735353" w:rsidRPr="003B11BD">
        <w:rPr>
          <w:rStyle w:val="normaltextrun"/>
          <w:noProof/>
        </w:rPr>
        <w:t>,</w:t>
      </w:r>
      <w:r w:rsidR="00B4498C" w:rsidRPr="003B11BD">
        <w:rPr>
          <w:rStyle w:val="normaltextrun"/>
          <w:noProof/>
        </w:rPr>
        <w:t xml:space="preserve"> but still</w:t>
      </w:r>
      <w:r w:rsidR="00B251EC" w:rsidRPr="003B11BD">
        <w:rPr>
          <w:rStyle w:val="normaltextrun"/>
          <w:noProof/>
        </w:rPr>
        <w:t xml:space="preserve"> </w:t>
      </w:r>
      <w:r w:rsidR="00166FB4" w:rsidRPr="003B11BD">
        <w:rPr>
          <w:rStyle w:val="normaltextrun"/>
          <w:noProof/>
        </w:rPr>
        <w:t>leaving some margin of manoeuvre for Member States</w:t>
      </w:r>
      <w:r w:rsidR="00EC0286" w:rsidRPr="003B11BD">
        <w:rPr>
          <w:rStyle w:val="FootnoteReference"/>
          <w:noProof/>
        </w:rPr>
        <w:footnoteReference w:id="107"/>
      </w:r>
      <w:r w:rsidR="00EC0286" w:rsidRPr="003B11BD">
        <w:rPr>
          <w:rStyle w:val="normaltextrun"/>
          <w:noProof/>
        </w:rPr>
        <w:t xml:space="preserve">. The licensee(s) could be identified by the Commission, Member States and/ or directly apply to benefit from a compulsory licence. </w:t>
      </w:r>
    </w:p>
    <w:p w14:paraId="5D2190A9" w14:textId="0CD52574" w:rsidR="005D3847" w:rsidRPr="003B11BD" w:rsidRDefault="00A94F37" w:rsidP="004C618F">
      <w:pPr>
        <w:pStyle w:val="Bullets"/>
        <w:rPr>
          <w:noProof/>
        </w:rPr>
      </w:pPr>
      <w:r w:rsidRPr="003B11BD">
        <w:rPr>
          <w:noProof/>
          <w:u w:val="dotted"/>
        </w:rPr>
        <w:t>Territorial reach</w:t>
      </w:r>
      <w:r w:rsidR="00933D80" w:rsidRPr="003B11BD">
        <w:rPr>
          <w:noProof/>
          <w:u w:val="dotted"/>
        </w:rPr>
        <w:t xml:space="preserve"> of</w:t>
      </w:r>
      <w:r w:rsidR="00F263E1" w:rsidRPr="003B11BD">
        <w:rPr>
          <w:noProof/>
          <w:u w:val="dotted"/>
        </w:rPr>
        <w:t xml:space="preserve"> </w:t>
      </w:r>
      <w:r w:rsidR="00197280" w:rsidRPr="003B11BD">
        <w:rPr>
          <w:noProof/>
          <w:u w:val="dotted"/>
        </w:rPr>
        <w:t>compulsory licensing</w:t>
      </w:r>
      <w:r w:rsidR="00EC0286" w:rsidRPr="003B11BD">
        <w:rPr>
          <w:noProof/>
        </w:rPr>
        <w:t xml:space="preserve">: </w:t>
      </w:r>
      <w:r w:rsidR="00EC0286" w:rsidRPr="003B11BD">
        <w:rPr>
          <w:rStyle w:val="eop"/>
          <w:noProof/>
        </w:rPr>
        <w:t xml:space="preserve">Under this option, the compulsory </w:t>
      </w:r>
      <w:r w:rsidR="7F6CD9DB" w:rsidRPr="003B11BD">
        <w:rPr>
          <w:rStyle w:val="eop"/>
          <w:noProof/>
        </w:rPr>
        <w:t xml:space="preserve">license </w:t>
      </w:r>
      <w:r w:rsidR="00EC0286" w:rsidRPr="003B11BD">
        <w:rPr>
          <w:rStyle w:val="eop"/>
          <w:noProof/>
        </w:rPr>
        <w:t xml:space="preserve">could have an EU-wide effect. However, the </w:t>
      </w:r>
      <w:r w:rsidR="00A83A03" w:rsidRPr="003B11BD">
        <w:rPr>
          <w:rStyle w:val="eop"/>
          <w:noProof/>
        </w:rPr>
        <w:t xml:space="preserve">activation measure </w:t>
      </w:r>
      <w:r w:rsidR="00EC0286" w:rsidRPr="003B11BD">
        <w:rPr>
          <w:rStyle w:val="eop"/>
          <w:noProof/>
        </w:rPr>
        <w:t xml:space="preserve">and </w:t>
      </w:r>
      <w:r w:rsidR="00166673" w:rsidRPr="003B11BD">
        <w:rPr>
          <w:rStyle w:val="eop"/>
          <w:noProof/>
        </w:rPr>
        <w:t>the</w:t>
      </w:r>
      <w:r w:rsidR="00EC0286" w:rsidRPr="003B11BD">
        <w:rPr>
          <w:rStyle w:val="eop"/>
          <w:noProof/>
        </w:rPr>
        <w:t xml:space="preserve"> national decision would specify the exact territorial scope, considering the crisis. The scope could be modified depending on the circumstances (e.g. crisis expanding to other countries, need for further manufacturing capacities). </w:t>
      </w:r>
    </w:p>
    <w:p w14:paraId="014A4EE4" w14:textId="1E59DB66" w:rsidR="0074374A" w:rsidRPr="003B11BD" w:rsidRDefault="33AA943C" w:rsidP="004C618F">
      <w:pPr>
        <w:pStyle w:val="Bullets"/>
        <w:rPr>
          <w:noProof/>
        </w:rPr>
      </w:pPr>
      <w:r w:rsidRPr="003B11BD">
        <w:rPr>
          <w:noProof/>
          <w:u w:val="dotted"/>
        </w:rPr>
        <w:t>Support to EU resilience</w:t>
      </w:r>
      <w:r w:rsidRPr="003B11BD">
        <w:rPr>
          <w:noProof/>
        </w:rPr>
        <w:t xml:space="preserve">: </w:t>
      </w:r>
      <w:r w:rsidR="00276AC9" w:rsidRPr="003B11BD">
        <w:rPr>
          <w:noProof/>
        </w:rPr>
        <w:t>T</w:t>
      </w:r>
      <w:r w:rsidRPr="003B11BD">
        <w:rPr>
          <w:noProof/>
        </w:rPr>
        <w:t>his option would provide the possibility for the Commission</w:t>
      </w:r>
      <w:r w:rsidR="00235BAD" w:rsidRPr="003B11BD">
        <w:rPr>
          <w:noProof/>
        </w:rPr>
        <w:t>, being assisted by the relevant advisory body</w:t>
      </w:r>
      <w:r w:rsidR="00235BAD" w:rsidRPr="003B11BD">
        <w:rPr>
          <w:rStyle w:val="FootnoteReference"/>
          <w:noProof/>
        </w:rPr>
        <w:footnoteReference w:id="108"/>
      </w:r>
      <w:r w:rsidR="00235BAD" w:rsidRPr="003B11BD">
        <w:rPr>
          <w:noProof/>
        </w:rPr>
        <w:t>,</w:t>
      </w:r>
      <w:r w:rsidRPr="003B11BD">
        <w:rPr>
          <w:noProof/>
        </w:rPr>
        <w:t xml:space="preserve"> to order the granting of national compulsory licences for cross-border crises management. </w:t>
      </w:r>
      <w:r w:rsidR="0E90F7D6" w:rsidRPr="003B11BD">
        <w:rPr>
          <w:rStyle w:val="normaltextrun"/>
          <w:noProof/>
        </w:rPr>
        <w:t xml:space="preserve">The </w:t>
      </w:r>
      <w:r w:rsidR="0E90F7D6" w:rsidRPr="003B11BD">
        <w:rPr>
          <w:rStyle w:val="eop"/>
          <w:noProof/>
        </w:rPr>
        <w:t xml:space="preserve">option </w:t>
      </w:r>
      <w:r w:rsidR="0E90F7D6" w:rsidRPr="003B11BD">
        <w:rPr>
          <w:rStyle w:val="normaltextrun"/>
          <w:noProof/>
        </w:rPr>
        <w:t>would also include transparency and information exchange obligations for Member States</w:t>
      </w:r>
      <w:r w:rsidR="00F9429D" w:rsidRPr="003B11BD">
        <w:rPr>
          <w:rStyle w:val="FootnoteReference"/>
          <w:noProof/>
        </w:rPr>
        <w:footnoteReference w:id="109"/>
      </w:r>
      <w:r w:rsidR="0E90F7D6" w:rsidRPr="003B11BD">
        <w:rPr>
          <w:rStyle w:val="normaltextrun"/>
          <w:noProof/>
        </w:rPr>
        <w:t xml:space="preserve"> as regards applications for and granting of compulsory licences </w:t>
      </w:r>
      <w:r w:rsidR="217ECC9D" w:rsidRPr="003B11BD">
        <w:rPr>
          <w:rStyle w:val="normaltextrun"/>
          <w:noProof/>
        </w:rPr>
        <w:t xml:space="preserve">based on the Commission </w:t>
      </w:r>
      <w:r w:rsidR="00D428A6" w:rsidRPr="003B11BD">
        <w:rPr>
          <w:rStyle w:val="normaltextrun"/>
          <w:noProof/>
        </w:rPr>
        <w:t>activation measure</w:t>
      </w:r>
      <w:r w:rsidR="0E90F7D6" w:rsidRPr="003B11BD">
        <w:rPr>
          <w:rStyle w:val="normaltextrun"/>
          <w:noProof/>
        </w:rPr>
        <w:t xml:space="preserve"> and in the context of </w:t>
      </w:r>
      <w:r w:rsidR="000C155F" w:rsidRPr="003B11BD">
        <w:rPr>
          <w:noProof/>
        </w:rPr>
        <w:t>Regulation (EC) No 816/2006</w:t>
      </w:r>
      <w:r w:rsidR="0E90F7D6" w:rsidRPr="003B11BD">
        <w:rPr>
          <w:rStyle w:val="normaltextrun"/>
          <w:noProof/>
        </w:rPr>
        <w:t>.</w:t>
      </w:r>
      <w:r w:rsidR="0E90F7D6" w:rsidRPr="003B11BD">
        <w:rPr>
          <w:noProof/>
        </w:rPr>
        <w:t xml:space="preserve"> </w:t>
      </w:r>
      <w:r w:rsidR="00F516A7" w:rsidRPr="003B11BD">
        <w:rPr>
          <w:noProof/>
        </w:rPr>
        <w:t xml:space="preserve">Yet, to the extent Member States are to be involved in the implementation of the compulsory licence, they would be also bound to report on the outcomes of the process to the Commission. </w:t>
      </w:r>
      <w:r w:rsidR="0E90F7D6" w:rsidRPr="003B11BD">
        <w:rPr>
          <w:noProof/>
        </w:rPr>
        <w:t xml:space="preserve">Finally, </w:t>
      </w:r>
      <w:r w:rsidR="00506DD5" w:rsidRPr="003B11BD">
        <w:rPr>
          <w:noProof/>
        </w:rPr>
        <w:t>under this option</w:t>
      </w:r>
      <w:r w:rsidR="007F31CD" w:rsidRPr="003B11BD">
        <w:rPr>
          <w:noProof/>
        </w:rPr>
        <w:t xml:space="preserve"> a single contact point</w:t>
      </w:r>
      <w:r w:rsidR="007F31CD" w:rsidRPr="003B11BD">
        <w:rPr>
          <w:rStyle w:val="FootnoteReference"/>
          <w:noProof/>
        </w:rPr>
        <w:footnoteReference w:id="110"/>
      </w:r>
      <w:r w:rsidR="007F31CD" w:rsidRPr="003B11BD">
        <w:rPr>
          <w:noProof/>
        </w:rPr>
        <w:t xml:space="preserve"> would be set-up so that</w:t>
      </w:r>
      <w:r w:rsidR="00506DD5" w:rsidRPr="003B11BD">
        <w:rPr>
          <w:noProof/>
        </w:rPr>
        <w:t xml:space="preserve"> </w:t>
      </w:r>
      <w:r w:rsidR="002D606C" w:rsidRPr="003B11BD">
        <w:rPr>
          <w:noProof/>
        </w:rPr>
        <w:t xml:space="preserve">non-EU </w:t>
      </w:r>
      <w:r w:rsidR="00506DD5" w:rsidRPr="003B11BD">
        <w:rPr>
          <w:noProof/>
        </w:rPr>
        <w:t>countries</w:t>
      </w:r>
      <w:r w:rsidR="00923B14" w:rsidRPr="003B11BD">
        <w:rPr>
          <w:rStyle w:val="FootnoteReference"/>
          <w:noProof/>
        </w:rPr>
        <w:footnoteReference w:id="111"/>
      </w:r>
      <w:r w:rsidR="00506DD5" w:rsidRPr="003B11BD">
        <w:rPr>
          <w:noProof/>
        </w:rPr>
        <w:t xml:space="preserve"> could </w:t>
      </w:r>
      <w:r w:rsidR="00762A74" w:rsidRPr="003B11BD">
        <w:rPr>
          <w:noProof/>
        </w:rPr>
        <w:t xml:space="preserve">submit </w:t>
      </w:r>
      <w:r w:rsidR="36249665" w:rsidRPr="003B11BD">
        <w:rPr>
          <w:noProof/>
        </w:rPr>
        <w:t xml:space="preserve">a request </w:t>
      </w:r>
      <w:r w:rsidR="000B69D7" w:rsidRPr="003B11BD">
        <w:rPr>
          <w:noProof/>
        </w:rPr>
        <w:t xml:space="preserve">for </w:t>
      </w:r>
      <w:r w:rsidR="00C52FF1" w:rsidRPr="003B11BD">
        <w:rPr>
          <w:noProof/>
        </w:rPr>
        <w:t>coordination</w:t>
      </w:r>
      <w:r w:rsidR="000B69D7" w:rsidRPr="003B11BD">
        <w:rPr>
          <w:noProof/>
        </w:rPr>
        <w:t xml:space="preserve"> </w:t>
      </w:r>
      <w:r w:rsidR="00DA72C0" w:rsidRPr="003B11BD">
        <w:rPr>
          <w:noProof/>
        </w:rPr>
        <w:t>to the Commission</w:t>
      </w:r>
      <w:r w:rsidR="36249665" w:rsidRPr="003B11BD">
        <w:rPr>
          <w:noProof/>
        </w:rPr>
        <w:t xml:space="preserve"> </w:t>
      </w:r>
      <w:r w:rsidR="00762A74" w:rsidRPr="003B11BD">
        <w:rPr>
          <w:noProof/>
        </w:rPr>
        <w:t xml:space="preserve">in case </w:t>
      </w:r>
      <w:r w:rsidR="007B519C" w:rsidRPr="003B11BD">
        <w:rPr>
          <w:noProof/>
        </w:rPr>
        <w:t xml:space="preserve">of cross-border supply and </w:t>
      </w:r>
      <w:r w:rsidR="1E93D206" w:rsidRPr="003B11BD">
        <w:rPr>
          <w:noProof/>
        </w:rPr>
        <w:t>manufacturing</w:t>
      </w:r>
      <w:r w:rsidR="007B519C" w:rsidRPr="003B11BD">
        <w:rPr>
          <w:noProof/>
        </w:rPr>
        <w:t>, which would</w:t>
      </w:r>
      <w:r w:rsidR="1E93D206" w:rsidRPr="003B11BD">
        <w:rPr>
          <w:noProof/>
        </w:rPr>
        <w:t xml:space="preserve"> </w:t>
      </w:r>
      <w:r w:rsidR="1E93D206" w:rsidRPr="003B11BD">
        <w:rPr>
          <w:noProof/>
          <w:lang w:eastAsia="en-US"/>
        </w:rPr>
        <w:t xml:space="preserve">require </w:t>
      </w:r>
      <w:r w:rsidR="00E462C1" w:rsidRPr="003B11BD">
        <w:rPr>
          <w:noProof/>
          <w:lang w:eastAsia="en-US"/>
        </w:rPr>
        <w:t>the granting of</w:t>
      </w:r>
      <w:r w:rsidR="1E93D206" w:rsidRPr="003B11BD">
        <w:rPr>
          <w:noProof/>
        </w:rPr>
        <w:t xml:space="preserve"> </w:t>
      </w:r>
      <w:r w:rsidR="00CD619D" w:rsidRPr="003B11BD">
        <w:rPr>
          <w:noProof/>
        </w:rPr>
        <w:t xml:space="preserve">several national </w:t>
      </w:r>
      <w:r w:rsidR="1E93D206" w:rsidRPr="003B11BD">
        <w:rPr>
          <w:noProof/>
          <w:lang w:eastAsia="en-US"/>
        </w:rPr>
        <w:t>compulsory licence</w:t>
      </w:r>
      <w:r w:rsidR="1E93D206" w:rsidRPr="003B11BD">
        <w:rPr>
          <w:noProof/>
        </w:rPr>
        <w:t xml:space="preserve">s. </w:t>
      </w:r>
      <w:r w:rsidR="00815A0F" w:rsidRPr="003B11BD">
        <w:rPr>
          <w:noProof/>
        </w:rPr>
        <w:t>In order to process the request</w:t>
      </w:r>
      <w:r w:rsidR="64140BBA" w:rsidRPr="003B11BD">
        <w:rPr>
          <w:noProof/>
        </w:rPr>
        <w:t>, t</w:t>
      </w:r>
      <w:r w:rsidR="3699518B" w:rsidRPr="003B11BD">
        <w:rPr>
          <w:noProof/>
        </w:rPr>
        <w:t xml:space="preserve">he </w:t>
      </w:r>
      <w:r w:rsidR="00E55EB5" w:rsidRPr="003B11BD">
        <w:rPr>
          <w:noProof/>
        </w:rPr>
        <w:t>Commission</w:t>
      </w:r>
      <w:r w:rsidR="3699518B" w:rsidRPr="003B11BD">
        <w:rPr>
          <w:noProof/>
        </w:rPr>
        <w:t xml:space="preserve"> would be assisted by an advisory committee</w:t>
      </w:r>
      <w:r w:rsidR="00815A0F" w:rsidRPr="003B11BD">
        <w:rPr>
          <w:noProof/>
        </w:rPr>
        <w:t xml:space="preserve"> composed of Member States representatives</w:t>
      </w:r>
      <w:r w:rsidR="3699518B" w:rsidRPr="003B11BD">
        <w:rPr>
          <w:noProof/>
        </w:rPr>
        <w:t xml:space="preserve">. </w:t>
      </w:r>
      <w:r w:rsidR="00566E39" w:rsidRPr="003B11BD">
        <w:rPr>
          <w:noProof/>
        </w:rPr>
        <w:t>This committee</w:t>
      </w:r>
      <w:r w:rsidR="3699518B" w:rsidRPr="003B11BD">
        <w:rPr>
          <w:noProof/>
        </w:rPr>
        <w:t xml:space="preserve"> would</w:t>
      </w:r>
      <w:r w:rsidR="5A226BE9" w:rsidRPr="003B11BD">
        <w:rPr>
          <w:noProof/>
        </w:rPr>
        <w:t>,</w:t>
      </w:r>
      <w:r w:rsidR="3699518B" w:rsidRPr="003B11BD">
        <w:rPr>
          <w:noProof/>
        </w:rPr>
        <w:t xml:space="preserve"> </w:t>
      </w:r>
      <w:r w:rsidR="6E0DCCE7" w:rsidRPr="003B11BD">
        <w:rPr>
          <w:noProof/>
        </w:rPr>
        <w:t xml:space="preserve">along the lines of what would exist for </w:t>
      </w:r>
      <w:r w:rsidR="2E1F30C3" w:rsidRPr="003B11BD">
        <w:rPr>
          <w:noProof/>
        </w:rPr>
        <w:t xml:space="preserve">the </w:t>
      </w:r>
      <w:r w:rsidR="6E0DCCE7" w:rsidRPr="003B11BD">
        <w:rPr>
          <w:noProof/>
        </w:rPr>
        <w:t xml:space="preserve">EU </w:t>
      </w:r>
      <w:r w:rsidR="2E9B3BB0" w:rsidRPr="003B11BD">
        <w:rPr>
          <w:noProof/>
        </w:rPr>
        <w:t>domestic market</w:t>
      </w:r>
      <w:r w:rsidR="6E0DCCE7" w:rsidRPr="003B11BD">
        <w:rPr>
          <w:noProof/>
        </w:rPr>
        <w:t xml:space="preserve"> under this option</w:t>
      </w:r>
      <w:r w:rsidR="62E1BE2D" w:rsidRPr="003B11BD">
        <w:rPr>
          <w:noProof/>
        </w:rPr>
        <w:t>,</w:t>
      </w:r>
      <w:r w:rsidR="6E0DCCE7" w:rsidRPr="003B11BD">
        <w:rPr>
          <w:noProof/>
        </w:rPr>
        <w:t xml:space="preserve"> </w:t>
      </w:r>
      <w:r w:rsidR="00566E39" w:rsidRPr="003B11BD">
        <w:rPr>
          <w:noProof/>
        </w:rPr>
        <w:t>ensure</w:t>
      </w:r>
      <w:r w:rsidR="3699518B" w:rsidRPr="003B11BD">
        <w:rPr>
          <w:noProof/>
        </w:rPr>
        <w:t xml:space="preserve"> coordination and cooperation among Member States and the </w:t>
      </w:r>
      <w:r w:rsidR="008D00F0" w:rsidRPr="003B11BD">
        <w:rPr>
          <w:noProof/>
        </w:rPr>
        <w:t>EC</w:t>
      </w:r>
      <w:r w:rsidR="41E4181D" w:rsidRPr="003B11BD">
        <w:rPr>
          <w:noProof/>
        </w:rPr>
        <w:t>,</w:t>
      </w:r>
      <w:r w:rsidR="3699518B" w:rsidRPr="003B11BD">
        <w:rPr>
          <w:noProof/>
        </w:rPr>
        <w:t xml:space="preserve"> with the aim to provide </w:t>
      </w:r>
      <w:r w:rsidR="00566E39" w:rsidRPr="003B11BD">
        <w:rPr>
          <w:noProof/>
        </w:rPr>
        <w:t xml:space="preserve">support </w:t>
      </w:r>
      <w:r w:rsidR="3699518B" w:rsidRPr="003B11BD">
        <w:rPr>
          <w:noProof/>
        </w:rPr>
        <w:t xml:space="preserve">to </w:t>
      </w:r>
      <w:r w:rsidR="002D606C" w:rsidRPr="003B11BD">
        <w:rPr>
          <w:noProof/>
        </w:rPr>
        <w:t xml:space="preserve">non-EU </w:t>
      </w:r>
      <w:r w:rsidR="3699518B" w:rsidRPr="003B11BD">
        <w:rPr>
          <w:noProof/>
        </w:rPr>
        <w:t>countries so that they can better plan their activi</w:t>
      </w:r>
      <w:r w:rsidR="43667E53" w:rsidRPr="003B11BD">
        <w:rPr>
          <w:noProof/>
        </w:rPr>
        <w:t>ties of manufactur</w:t>
      </w:r>
      <w:r w:rsidR="5D307392" w:rsidRPr="003B11BD">
        <w:rPr>
          <w:noProof/>
        </w:rPr>
        <w:t xml:space="preserve">e and sale for export under </w:t>
      </w:r>
      <w:r w:rsidR="000C155F" w:rsidRPr="003B11BD">
        <w:rPr>
          <w:noProof/>
        </w:rPr>
        <w:t>Regulation (EC) No 816/2006</w:t>
      </w:r>
      <w:r w:rsidR="5D307392" w:rsidRPr="003B11BD">
        <w:rPr>
          <w:noProof/>
        </w:rPr>
        <w:t>.</w:t>
      </w:r>
    </w:p>
    <w:p w14:paraId="7E730380" w14:textId="5EEDDE24" w:rsidR="0074374A" w:rsidRPr="003B11BD" w:rsidRDefault="0074374A" w:rsidP="009075D3">
      <w:pPr>
        <w:pStyle w:val="Caption"/>
        <w:keepNext/>
        <w:rPr>
          <w:noProof/>
          <w:lang w:val="en-IE"/>
        </w:rPr>
      </w:pPr>
      <w:r w:rsidRPr="003B11BD">
        <w:rPr>
          <w:noProof/>
          <w:lang w:val="en-IE"/>
        </w:rPr>
        <w:t xml:space="preserve">Figure </w:t>
      </w:r>
      <w:r w:rsidR="00C6592A">
        <w:rPr>
          <w:noProof/>
          <w:lang w:val="en-IE"/>
        </w:rPr>
        <w:t>8</w:t>
      </w:r>
      <w:r w:rsidRPr="003B11BD">
        <w:rPr>
          <w:noProof/>
          <w:lang w:val="en-IE"/>
        </w:rPr>
        <w:t>: Simplified scheme for Option 3</w:t>
      </w:r>
    </w:p>
    <w:p w14:paraId="0255FC85" w14:textId="262BB164" w:rsidR="0074374A" w:rsidRPr="003B11BD" w:rsidRDefault="00C314B6" w:rsidP="008D00F0">
      <w:pPr>
        <w:jc w:val="center"/>
        <w:rPr>
          <w:noProof/>
          <w:lang w:val="en-IE"/>
        </w:rPr>
      </w:pPr>
      <w:r w:rsidRPr="003B11BD">
        <w:rPr>
          <w:noProof/>
          <w:lang w:eastAsia="en-GB"/>
        </w:rPr>
        <w:drawing>
          <wp:inline distT="0" distB="0" distL="0" distR="0" wp14:anchorId="162C6EAF" wp14:editId="5829A98B">
            <wp:extent cx="5486400" cy="633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633600"/>
                    </a:xfrm>
                    <a:prstGeom prst="rect">
                      <a:avLst/>
                    </a:prstGeom>
                    <a:noFill/>
                  </pic:spPr>
                </pic:pic>
              </a:graphicData>
            </a:graphic>
          </wp:inline>
        </w:drawing>
      </w:r>
    </w:p>
    <w:p w14:paraId="7733FB54" w14:textId="50668462" w:rsidR="00EC0286" w:rsidRPr="003B11BD" w:rsidRDefault="00D36136" w:rsidP="005A2B26">
      <w:pPr>
        <w:rPr>
          <w:rStyle w:val="normaltextrun"/>
          <w:noProof/>
          <w:lang w:val="en-IE"/>
        </w:rPr>
      </w:pPr>
      <w:r w:rsidRPr="00D36136">
        <w:rPr>
          <w:noProof/>
          <w:lang w:val="en-IE"/>
        </w:rPr>
        <w:t>A detailed scheme describing the procedural steps foreseen under Option 3 is provided in Figure 20 and Figure 21 (Annex 6).</w:t>
      </w:r>
      <w:bookmarkStart w:id="234" w:name="_Toc122171125"/>
      <w:bookmarkEnd w:id="234"/>
    </w:p>
    <w:p w14:paraId="1BFAA060" w14:textId="53552278" w:rsidR="00EC0286" w:rsidRPr="003B11BD" w:rsidRDefault="00EC0286" w:rsidP="00ED49E6">
      <w:pPr>
        <w:pStyle w:val="Heading3"/>
        <w:rPr>
          <w:rStyle w:val="normaltextrun"/>
          <w:bCs w:val="0"/>
          <w:iCs/>
          <w:noProof/>
        </w:rPr>
      </w:pPr>
      <w:bookmarkStart w:id="235" w:name="_Toc120731218"/>
      <w:bookmarkStart w:id="236" w:name="_Toc121386377"/>
      <w:bookmarkStart w:id="237" w:name="_Toc121489595"/>
      <w:bookmarkStart w:id="238" w:name="_Toc121496347"/>
      <w:bookmarkStart w:id="239" w:name="_Toc121748013"/>
      <w:bookmarkStart w:id="240" w:name="_Toc133435366"/>
      <w:r w:rsidRPr="003B11BD">
        <w:rPr>
          <w:rStyle w:val="normaltextrun"/>
          <w:noProof/>
        </w:rPr>
        <w:t>Option 4: EU-level compulsory licen</w:t>
      </w:r>
      <w:r w:rsidR="00A52EAB" w:rsidRPr="003B11BD">
        <w:rPr>
          <w:rStyle w:val="normaltextrun"/>
          <w:noProof/>
        </w:rPr>
        <w:t>sing</w:t>
      </w:r>
      <w:r w:rsidR="00DE2B51" w:rsidRPr="003B11BD">
        <w:rPr>
          <w:rStyle w:val="normaltextrun"/>
          <w:b/>
          <w:noProof/>
        </w:rPr>
        <w:t xml:space="preserve"> </w:t>
      </w:r>
      <w:r w:rsidR="00DE2B51" w:rsidRPr="003B11BD">
        <w:rPr>
          <w:noProof/>
        </w:rPr>
        <w:t>to complement existing EU crisis instruments</w:t>
      </w:r>
      <w:bookmarkEnd w:id="235"/>
      <w:bookmarkEnd w:id="236"/>
      <w:bookmarkEnd w:id="237"/>
      <w:bookmarkEnd w:id="238"/>
      <w:bookmarkEnd w:id="239"/>
      <w:bookmarkEnd w:id="240"/>
      <w:r w:rsidR="009017BA" w:rsidRPr="003B11BD">
        <w:rPr>
          <w:noProof/>
        </w:rPr>
        <w:t xml:space="preserve"> </w:t>
      </w:r>
    </w:p>
    <w:p w14:paraId="78E741BD" w14:textId="718DAA2A" w:rsidR="00EC0286" w:rsidRPr="003B11BD" w:rsidRDefault="00EC0286" w:rsidP="00EC0286">
      <w:pPr>
        <w:pStyle w:val="paragraph"/>
        <w:spacing w:before="0" w:beforeAutospacing="0" w:after="120" w:afterAutospacing="0"/>
        <w:jc w:val="both"/>
        <w:textAlignment w:val="baseline"/>
        <w:rPr>
          <w:rStyle w:val="normaltextrun"/>
          <w:noProof/>
        </w:rPr>
      </w:pPr>
      <w:r w:rsidRPr="003B11BD">
        <w:rPr>
          <w:rStyle w:val="normaltextrun"/>
          <w:noProof/>
        </w:rPr>
        <w:t xml:space="preserve">Under this option, the </w:t>
      </w:r>
      <w:r w:rsidR="00376CCD" w:rsidRPr="003B11BD">
        <w:rPr>
          <w:rStyle w:val="normaltextrun"/>
          <w:noProof/>
        </w:rPr>
        <w:t>triggers would be the same as under PO3 (</w:t>
      </w:r>
      <w:r w:rsidR="00085940" w:rsidRPr="003B11BD">
        <w:rPr>
          <w:rStyle w:val="normaltextrun"/>
          <w:noProof/>
        </w:rPr>
        <w:t xml:space="preserve">i.e. two possible triggers, namely either an </w:t>
      </w:r>
      <w:r w:rsidR="00376CCD" w:rsidRPr="003B11BD">
        <w:rPr>
          <w:rStyle w:val="normaltextrun"/>
          <w:noProof/>
        </w:rPr>
        <w:t>EU level decision in the context of a</w:t>
      </w:r>
      <w:r w:rsidR="00B67755" w:rsidRPr="003B11BD">
        <w:rPr>
          <w:rStyle w:val="normaltextrun"/>
          <w:noProof/>
        </w:rPr>
        <w:t>n existing EU</w:t>
      </w:r>
      <w:r w:rsidR="00376CCD" w:rsidRPr="003B11BD">
        <w:rPr>
          <w:rStyle w:val="normaltextrun"/>
          <w:noProof/>
        </w:rPr>
        <w:t xml:space="preserve"> crisis instrument</w:t>
      </w:r>
      <w:r w:rsidR="00957857" w:rsidRPr="003B11BD">
        <w:rPr>
          <w:rStyle w:val="FootnoteReference"/>
          <w:noProof/>
        </w:rPr>
        <w:footnoteReference w:id="112"/>
      </w:r>
      <w:r w:rsidR="00085940" w:rsidRPr="003B11BD">
        <w:rPr>
          <w:rStyle w:val="normaltextrun"/>
          <w:noProof/>
        </w:rPr>
        <w:t xml:space="preserve">, </w:t>
      </w:r>
      <w:r w:rsidR="00376CCD" w:rsidRPr="003B11BD">
        <w:rPr>
          <w:rStyle w:val="normaltextrun"/>
          <w:noProof/>
        </w:rPr>
        <w:t xml:space="preserve">or </w:t>
      </w:r>
      <w:r w:rsidR="009C1236" w:rsidRPr="003B11BD">
        <w:rPr>
          <w:rStyle w:val="normaltextrun"/>
          <w:noProof/>
        </w:rPr>
        <w:t>a r</w:t>
      </w:r>
      <w:r w:rsidR="00376CCD" w:rsidRPr="003B11BD">
        <w:rPr>
          <w:rStyle w:val="normaltextrun"/>
          <w:noProof/>
        </w:rPr>
        <w:t xml:space="preserve">equest </w:t>
      </w:r>
      <w:r w:rsidR="009C1236" w:rsidRPr="003B11BD">
        <w:rPr>
          <w:rStyle w:val="normaltextrun"/>
          <w:noProof/>
        </w:rPr>
        <w:t xml:space="preserve">made to the </w:t>
      </w:r>
      <w:r w:rsidR="008D00F0" w:rsidRPr="003B11BD">
        <w:rPr>
          <w:rStyle w:val="normaltextrun"/>
          <w:noProof/>
        </w:rPr>
        <w:t>E</w:t>
      </w:r>
      <w:r w:rsidR="009C1236" w:rsidRPr="003B11BD">
        <w:rPr>
          <w:rStyle w:val="normaltextrun"/>
          <w:noProof/>
        </w:rPr>
        <w:t xml:space="preserve">C </w:t>
      </w:r>
      <w:r w:rsidR="00376CCD" w:rsidRPr="003B11BD">
        <w:rPr>
          <w:rStyle w:val="normaltextrun"/>
          <w:noProof/>
        </w:rPr>
        <w:t>by</w:t>
      </w:r>
      <w:r w:rsidR="009C1236" w:rsidRPr="003B11BD">
        <w:rPr>
          <w:rStyle w:val="normaltextrun"/>
          <w:noProof/>
        </w:rPr>
        <w:t xml:space="preserve"> more than one</w:t>
      </w:r>
      <w:r w:rsidR="00376CCD" w:rsidRPr="003B11BD">
        <w:rPr>
          <w:rStyle w:val="normaltextrun"/>
          <w:noProof/>
        </w:rPr>
        <w:t xml:space="preserve"> Member State</w:t>
      </w:r>
      <w:r w:rsidR="00381F8B" w:rsidRPr="003B11BD">
        <w:rPr>
          <w:rStyle w:val="FootnoteReference"/>
          <w:noProof/>
        </w:rPr>
        <w:footnoteReference w:id="113"/>
      </w:r>
      <w:r w:rsidR="00376CCD" w:rsidRPr="003B11BD">
        <w:rPr>
          <w:rStyle w:val="normaltextrun"/>
          <w:noProof/>
        </w:rPr>
        <w:t>).</w:t>
      </w:r>
      <w:r w:rsidRPr="003B11BD">
        <w:rPr>
          <w:rStyle w:val="normaltextrun"/>
          <w:noProof/>
        </w:rPr>
        <w:t xml:space="preserve"> </w:t>
      </w:r>
      <w:r w:rsidR="00ED21D3" w:rsidRPr="003B11BD">
        <w:rPr>
          <w:rStyle w:val="normaltextrun"/>
          <w:noProof/>
        </w:rPr>
        <w:t>The Commission</w:t>
      </w:r>
      <w:r w:rsidR="00126B9B" w:rsidRPr="003B11BD">
        <w:rPr>
          <w:noProof/>
        </w:rPr>
        <w:t xml:space="preserve"> </w:t>
      </w:r>
      <w:r w:rsidRPr="003B11BD">
        <w:rPr>
          <w:noProof/>
        </w:rPr>
        <w:t xml:space="preserve">would adopt an </w:t>
      </w:r>
      <w:r w:rsidR="009C1236" w:rsidRPr="003B11BD">
        <w:rPr>
          <w:noProof/>
        </w:rPr>
        <w:t>activation measure</w:t>
      </w:r>
      <w:r w:rsidRPr="003B11BD">
        <w:rPr>
          <w:noProof/>
        </w:rPr>
        <w:t xml:space="preserve"> granting a compulsory licence for cross-border crisis management. </w:t>
      </w:r>
      <w:r w:rsidR="00ED21D3" w:rsidRPr="003B11BD">
        <w:rPr>
          <w:noProof/>
        </w:rPr>
        <w:t>The Commission would be assisted by an advisory committee composed of Member States representatives</w:t>
      </w:r>
      <w:r w:rsidR="00ED21D3" w:rsidRPr="003B11BD">
        <w:rPr>
          <w:rStyle w:val="FootnoteReference"/>
          <w:noProof/>
        </w:rPr>
        <w:footnoteReference w:id="114"/>
      </w:r>
      <w:r w:rsidR="00ED21D3" w:rsidRPr="003B11BD">
        <w:rPr>
          <w:noProof/>
        </w:rPr>
        <w:t xml:space="preserve">. </w:t>
      </w:r>
      <w:r w:rsidRPr="003B11BD">
        <w:rPr>
          <w:rStyle w:val="normaltextrun"/>
          <w:noProof/>
        </w:rPr>
        <w:t>This option would lead to the issuance</w:t>
      </w:r>
      <w:r w:rsidR="005E1F5E" w:rsidRPr="003B11BD">
        <w:rPr>
          <w:rStyle w:val="normaltextrun"/>
          <w:noProof/>
        </w:rPr>
        <w:t>, by the Commission,</w:t>
      </w:r>
      <w:r w:rsidRPr="003B11BD">
        <w:rPr>
          <w:rStyle w:val="normaltextrun"/>
          <w:noProof/>
        </w:rPr>
        <w:t xml:space="preserve"> of </w:t>
      </w:r>
      <w:r w:rsidRPr="003B11BD">
        <w:rPr>
          <w:rStyle w:val="normaltextrun"/>
          <w:b/>
          <w:bCs/>
          <w:noProof/>
        </w:rPr>
        <w:t>one</w:t>
      </w:r>
      <w:r w:rsidRPr="003B11BD">
        <w:rPr>
          <w:rStyle w:val="normaltextrun"/>
          <w:noProof/>
        </w:rPr>
        <w:t xml:space="preserve"> </w:t>
      </w:r>
      <w:r w:rsidRPr="003B11BD">
        <w:rPr>
          <w:rStyle w:val="normaltextrun"/>
          <w:b/>
          <w:bCs/>
          <w:noProof/>
        </w:rPr>
        <w:t>compulsory licence</w:t>
      </w:r>
      <w:r w:rsidRPr="003B11BD">
        <w:rPr>
          <w:rStyle w:val="normaltextrun"/>
          <w:noProof/>
        </w:rPr>
        <w:t>, applicable to the territory of several EU countries or the whole EU, with its own procedure</w:t>
      </w:r>
      <w:r w:rsidR="00447BFA" w:rsidRPr="003B11BD">
        <w:rPr>
          <w:rStyle w:val="FootnoteReference"/>
          <w:noProof/>
        </w:rPr>
        <w:footnoteReference w:id="115"/>
      </w:r>
      <w:r w:rsidRPr="003B11BD">
        <w:rPr>
          <w:rStyle w:val="normaltextrun"/>
          <w:noProof/>
        </w:rPr>
        <w:t xml:space="preserve"> and conditions. </w:t>
      </w:r>
      <w:r w:rsidR="004A6138" w:rsidRPr="003B11BD">
        <w:rPr>
          <w:rStyle w:val="normaltextrun"/>
          <w:noProof/>
        </w:rPr>
        <w:t>PO</w:t>
      </w:r>
      <w:r w:rsidR="008D00F0" w:rsidRPr="003B11BD">
        <w:rPr>
          <w:rStyle w:val="normaltextrun"/>
          <w:noProof/>
        </w:rPr>
        <w:t>4</w:t>
      </w:r>
      <w:r w:rsidRPr="003B11BD">
        <w:rPr>
          <w:rStyle w:val="normaltextrun"/>
          <w:noProof/>
        </w:rPr>
        <w:t xml:space="preserve"> </w:t>
      </w:r>
      <w:r w:rsidR="00F840B5" w:rsidRPr="003B11BD">
        <w:rPr>
          <w:rStyle w:val="normaltextrun"/>
          <w:noProof/>
        </w:rPr>
        <w:t xml:space="preserve">would </w:t>
      </w:r>
      <w:r w:rsidRPr="003B11BD">
        <w:rPr>
          <w:rStyle w:val="normaltextrun"/>
          <w:noProof/>
        </w:rPr>
        <w:t>leave unchanged national legislations on compulsory licensing</w:t>
      </w:r>
      <w:r w:rsidR="00FF7F3E" w:rsidRPr="003B11BD">
        <w:rPr>
          <w:rStyle w:val="FootnoteReference"/>
          <w:noProof/>
        </w:rPr>
        <w:footnoteReference w:id="116"/>
      </w:r>
      <w:r w:rsidRPr="003B11BD">
        <w:rPr>
          <w:rStyle w:val="normaltextrun"/>
          <w:noProof/>
        </w:rPr>
        <w:t xml:space="preserve">. </w:t>
      </w:r>
      <w:r w:rsidR="00686207" w:rsidRPr="003B11BD">
        <w:rPr>
          <w:rStyle w:val="normaltextrun"/>
          <w:noProof/>
        </w:rPr>
        <w:t>The patent owner(s) would be able to share their views and provide information in the context of the discussions of the advisory body</w:t>
      </w:r>
      <w:r w:rsidR="00686207" w:rsidRPr="003B11BD">
        <w:rPr>
          <w:rStyle w:val="FootnoteReference"/>
          <w:noProof/>
        </w:rPr>
        <w:footnoteReference w:id="117"/>
      </w:r>
      <w:r w:rsidR="00686207" w:rsidRPr="003B11BD">
        <w:rPr>
          <w:rStyle w:val="normaltextrun"/>
          <w:noProof/>
        </w:rPr>
        <w:t xml:space="preserve">. The Member States </w:t>
      </w:r>
      <w:r w:rsidR="00F46E41" w:rsidRPr="003B11BD">
        <w:rPr>
          <w:rStyle w:val="normaltextrun"/>
          <w:noProof/>
        </w:rPr>
        <w:t>c</w:t>
      </w:r>
      <w:r w:rsidR="002B2299" w:rsidRPr="003B11BD">
        <w:rPr>
          <w:rStyle w:val="normaltextrun"/>
          <w:noProof/>
        </w:rPr>
        <w:t>ould initiate the procedure</w:t>
      </w:r>
      <w:r w:rsidR="002B2299" w:rsidRPr="003B11BD">
        <w:rPr>
          <w:rStyle w:val="FootnoteReference"/>
          <w:noProof/>
        </w:rPr>
        <w:footnoteReference w:id="118"/>
      </w:r>
      <w:r w:rsidR="00A14508" w:rsidRPr="003B11BD">
        <w:rPr>
          <w:rStyle w:val="normaltextrun"/>
          <w:noProof/>
        </w:rPr>
        <w:t xml:space="preserve"> and would participate in the advisory body</w:t>
      </w:r>
      <w:r w:rsidR="008A007A" w:rsidRPr="003B11BD">
        <w:rPr>
          <w:rStyle w:val="FootnoteReference"/>
          <w:noProof/>
        </w:rPr>
        <w:footnoteReference w:id="119"/>
      </w:r>
      <w:r w:rsidR="00A14508" w:rsidRPr="003B11BD">
        <w:rPr>
          <w:rStyle w:val="normaltextrun"/>
          <w:noProof/>
        </w:rPr>
        <w:t xml:space="preserve">. </w:t>
      </w:r>
      <w:r w:rsidR="004A285E" w:rsidRPr="003B11BD">
        <w:rPr>
          <w:rStyle w:val="normaltextrun"/>
          <w:noProof/>
        </w:rPr>
        <w:t>An appeal procedure would be set-up</w:t>
      </w:r>
      <w:r w:rsidR="00152115" w:rsidRPr="003B11BD">
        <w:rPr>
          <w:rStyle w:val="FootnoteReference"/>
          <w:noProof/>
        </w:rPr>
        <w:footnoteReference w:id="120"/>
      </w:r>
      <w:r w:rsidR="001B25AD" w:rsidRPr="003B11BD">
        <w:rPr>
          <w:rStyle w:val="normaltextrun"/>
          <w:noProof/>
        </w:rPr>
        <w:t>.</w:t>
      </w:r>
      <w:r w:rsidR="003D56E0" w:rsidRPr="003B11BD">
        <w:rPr>
          <w:rStyle w:val="normaltextrun"/>
          <w:noProof/>
        </w:rPr>
        <w:t xml:space="preserve"> </w:t>
      </w:r>
      <w:r w:rsidR="001B25AD" w:rsidRPr="003B11BD">
        <w:rPr>
          <w:rStyle w:val="normaltextrun"/>
          <w:noProof/>
        </w:rPr>
        <w:t>I</w:t>
      </w:r>
      <w:r w:rsidR="003D56E0" w:rsidRPr="003B11BD">
        <w:rPr>
          <w:rStyle w:val="normaltextrun"/>
          <w:noProof/>
        </w:rPr>
        <w:t xml:space="preserve">n addition, </w:t>
      </w:r>
      <w:r w:rsidR="003D56E0" w:rsidRPr="003B11BD">
        <w:rPr>
          <w:noProof/>
          <w:color w:val="000000"/>
          <w:shd w:val="clear" w:color="auto" w:fill="FFFFFF"/>
        </w:rPr>
        <w:t xml:space="preserve">the </w:t>
      </w:r>
      <w:r w:rsidR="008F1BBC" w:rsidRPr="003B11BD">
        <w:rPr>
          <w:rStyle w:val="normaltextrun"/>
          <w:noProof/>
        </w:rPr>
        <w:t>Commission</w:t>
      </w:r>
      <w:r w:rsidR="003D56E0" w:rsidRPr="003B11BD">
        <w:rPr>
          <w:noProof/>
          <w:color w:val="000000"/>
          <w:shd w:val="clear" w:color="auto" w:fill="FFFFFF"/>
        </w:rPr>
        <w:t xml:space="preserve"> would have the possibility to review, upon motivated request, </w:t>
      </w:r>
      <w:r w:rsidR="00163421" w:rsidRPr="003B11BD">
        <w:rPr>
          <w:noProof/>
          <w:color w:val="000000"/>
          <w:shd w:val="clear" w:color="auto" w:fill="FFFFFF"/>
        </w:rPr>
        <w:t xml:space="preserve">whether the </w:t>
      </w:r>
      <w:r w:rsidR="00670D72" w:rsidRPr="003B11BD">
        <w:rPr>
          <w:noProof/>
          <w:color w:val="000000"/>
          <w:shd w:val="clear" w:color="auto" w:fill="FFFFFF"/>
        </w:rPr>
        <w:t>licence conditions are respected</w:t>
      </w:r>
      <w:r w:rsidR="00C30CC3" w:rsidRPr="003B11BD">
        <w:rPr>
          <w:rStyle w:val="FootnoteReference"/>
          <w:noProof/>
          <w:color w:val="000000"/>
          <w:shd w:val="clear" w:color="auto" w:fill="FFFFFF"/>
        </w:rPr>
        <w:footnoteReference w:id="121"/>
      </w:r>
      <w:r w:rsidR="00670D72" w:rsidRPr="003B11BD">
        <w:rPr>
          <w:noProof/>
          <w:color w:val="000000"/>
          <w:shd w:val="clear" w:color="auto" w:fill="FFFFFF"/>
        </w:rPr>
        <w:t>.</w:t>
      </w:r>
      <w:r w:rsidR="00BA3908" w:rsidRPr="003B11BD">
        <w:rPr>
          <w:noProof/>
          <w:color w:val="000000"/>
          <w:shd w:val="clear" w:color="auto" w:fill="FFFFFF"/>
        </w:rPr>
        <w:t xml:space="preserve"> </w:t>
      </w:r>
      <w:r w:rsidR="00BA3908" w:rsidRPr="003B11BD">
        <w:rPr>
          <w:noProof/>
        </w:rPr>
        <w:t xml:space="preserve">In line with the identified objectives, </w:t>
      </w:r>
      <w:r w:rsidR="00690375" w:rsidRPr="003B11BD">
        <w:rPr>
          <w:noProof/>
        </w:rPr>
        <w:t>PO4</w:t>
      </w:r>
      <w:r w:rsidR="00BA3908" w:rsidRPr="003B11BD">
        <w:rPr>
          <w:noProof/>
        </w:rPr>
        <w:t xml:space="preserve"> would focus on three building blocks as described below:</w:t>
      </w:r>
    </w:p>
    <w:p w14:paraId="203DB16B" w14:textId="1AF4F586" w:rsidR="00EC0286" w:rsidRPr="003B11BD" w:rsidRDefault="00C412C4" w:rsidP="00D82AC1">
      <w:pPr>
        <w:pStyle w:val="Bullets"/>
        <w:rPr>
          <w:noProof/>
        </w:rPr>
      </w:pPr>
      <w:r w:rsidRPr="003B11BD">
        <w:rPr>
          <w:noProof/>
          <w:u w:val="dotted"/>
        </w:rPr>
        <w:t>Improve the key features</w:t>
      </w:r>
      <w:r w:rsidR="00490173" w:rsidRPr="003B11BD">
        <w:rPr>
          <w:noProof/>
          <w:u w:val="dotted"/>
        </w:rPr>
        <w:t xml:space="preserve"> of compulsory licensing</w:t>
      </w:r>
      <w:r w:rsidR="00EC0286" w:rsidRPr="003B11BD">
        <w:rPr>
          <w:noProof/>
        </w:rPr>
        <w:t xml:space="preserve">: </w:t>
      </w:r>
      <w:r w:rsidR="0DFBEFF8" w:rsidRPr="003B11BD">
        <w:rPr>
          <w:rStyle w:val="normaltextrun"/>
          <w:noProof/>
        </w:rPr>
        <w:t>PO4</w:t>
      </w:r>
      <w:r w:rsidR="00EC0286" w:rsidRPr="003B11BD">
        <w:rPr>
          <w:rStyle w:val="eop"/>
          <w:noProof/>
        </w:rPr>
        <w:t xml:space="preserve"> </w:t>
      </w:r>
      <w:r w:rsidR="00EC0286" w:rsidRPr="003B11BD">
        <w:rPr>
          <w:rStyle w:val="normaltextrun"/>
          <w:noProof/>
        </w:rPr>
        <w:t xml:space="preserve">would allow the </w:t>
      </w:r>
      <w:r w:rsidR="00C37E43" w:rsidRPr="003B11BD">
        <w:rPr>
          <w:rStyle w:val="normaltextrun"/>
          <w:noProof/>
        </w:rPr>
        <w:t>EC</w:t>
      </w:r>
      <w:r w:rsidR="00EC0286" w:rsidRPr="003B11BD">
        <w:rPr>
          <w:rStyle w:val="normaltextrun"/>
          <w:noProof/>
        </w:rPr>
        <w:t xml:space="preserve"> to directly grant, through an </w:t>
      </w:r>
      <w:r w:rsidR="00F71EBF" w:rsidRPr="003B11BD">
        <w:rPr>
          <w:rStyle w:val="normaltextrun"/>
          <w:noProof/>
        </w:rPr>
        <w:t>activation measure</w:t>
      </w:r>
      <w:r w:rsidR="00EC0286" w:rsidRPr="003B11BD">
        <w:rPr>
          <w:rStyle w:val="normaltextrun"/>
          <w:noProof/>
        </w:rPr>
        <w:t>, a compulsory licence</w:t>
      </w:r>
      <w:r w:rsidR="001D25C6" w:rsidRPr="003B11BD">
        <w:rPr>
          <w:rStyle w:val="normaltextrun"/>
          <w:noProof/>
        </w:rPr>
        <w:t xml:space="preserve"> for crisis management</w:t>
      </w:r>
      <w:r w:rsidR="00EC0286" w:rsidRPr="003B11BD">
        <w:rPr>
          <w:rStyle w:val="normaltextrun"/>
          <w:noProof/>
        </w:rPr>
        <w:t xml:space="preserve">. </w:t>
      </w:r>
      <w:r w:rsidR="00C37E43" w:rsidRPr="003B11BD">
        <w:rPr>
          <w:rStyle w:val="normaltextrun"/>
          <w:noProof/>
        </w:rPr>
        <w:t>PO4</w:t>
      </w:r>
      <w:r w:rsidR="00EC0286" w:rsidRPr="003B11BD">
        <w:rPr>
          <w:rStyle w:val="normaltextrun"/>
          <w:noProof/>
        </w:rPr>
        <w:t xml:space="preserve"> would specify the conditions of such EU-level compulsory licence, including the purpose</w:t>
      </w:r>
      <w:r w:rsidR="006A44BE" w:rsidRPr="003B11BD">
        <w:rPr>
          <w:rStyle w:val="normaltextrun"/>
          <w:noProof/>
        </w:rPr>
        <w:t xml:space="preserve"> (i.e. manufacturing of this product, protected by this(es) patent(s)</w:t>
      </w:r>
      <w:r w:rsidR="00C44E7F" w:rsidRPr="003B11BD">
        <w:rPr>
          <w:rStyle w:val="normaltextrun"/>
          <w:noProof/>
        </w:rPr>
        <w:t xml:space="preserve"> to tackle a specific crisis</w:t>
      </w:r>
      <w:r w:rsidR="006A44BE" w:rsidRPr="003B11BD">
        <w:rPr>
          <w:rStyle w:val="normaltextrun"/>
          <w:noProof/>
        </w:rPr>
        <w:t>)</w:t>
      </w:r>
      <w:r w:rsidR="00EC0286" w:rsidRPr="003B11BD">
        <w:rPr>
          <w:rStyle w:val="normaltextrun"/>
          <w:noProof/>
        </w:rPr>
        <w:t>, the duration</w:t>
      </w:r>
      <w:r w:rsidR="006A44BE" w:rsidRPr="003B11BD">
        <w:rPr>
          <w:rStyle w:val="normaltextrun"/>
          <w:noProof/>
        </w:rPr>
        <w:t xml:space="preserve"> (</w:t>
      </w:r>
      <w:r w:rsidR="00A7283F" w:rsidRPr="003B11BD">
        <w:rPr>
          <w:rStyle w:val="normaltextrun"/>
          <w:noProof/>
        </w:rPr>
        <w:t xml:space="preserve">that will be limited to the </w:t>
      </w:r>
      <w:r w:rsidR="00C44E7F" w:rsidRPr="003B11BD">
        <w:rPr>
          <w:rStyle w:val="normaltextrun"/>
          <w:noProof/>
        </w:rPr>
        <w:t>purpose</w:t>
      </w:r>
      <w:r w:rsidR="00C44E7F" w:rsidRPr="003B11BD">
        <w:rPr>
          <w:rStyle w:val="FootnoteReference"/>
          <w:noProof/>
        </w:rPr>
        <w:footnoteReference w:id="122"/>
      </w:r>
      <w:r w:rsidR="00A7283F" w:rsidRPr="003B11BD">
        <w:rPr>
          <w:rStyle w:val="normaltextrun"/>
          <w:noProof/>
        </w:rPr>
        <w:t>)</w:t>
      </w:r>
      <w:r w:rsidR="00EC0286" w:rsidRPr="003B11BD">
        <w:rPr>
          <w:rStyle w:val="normaltextrun"/>
          <w:noProof/>
        </w:rPr>
        <w:t>, the remuneration</w:t>
      </w:r>
      <w:r w:rsidR="006A198B" w:rsidRPr="003B11BD">
        <w:rPr>
          <w:rStyle w:val="FootnoteReference"/>
          <w:noProof/>
        </w:rPr>
        <w:footnoteReference w:id="123"/>
      </w:r>
      <w:r w:rsidR="00EC0286" w:rsidRPr="003B11BD">
        <w:rPr>
          <w:rStyle w:val="normaltextrun"/>
          <w:noProof/>
        </w:rPr>
        <w:t>, the territorial scope</w:t>
      </w:r>
      <w:r w:rsidR="00AF446A" w:rsidRPr="003B11BD">
        <w:rPr>
          <w:rStyle w:val="normaltextrun"/>
          <w:noProof/>
        </w:rPr>
        <w:t xml:space="preserve"> (including safeguards to avoid </w:t>
      </w:r>
      <w:r w:rsidR="00EE3C5B" w:rsidRPr="003B11BD">
        <w:rPr>
          <w:rStyle w:val="normaltextrun"/>
          <w:noProof/>
        </w:rPr>
        <w:t>diversion of goods</w:t>
      </w:r>
      <w:r w:rsidR="004076C3" w:rsidRPr="003B11BD">
        <w:rPr>
          <w:rStyle w:val="normaltextrun"/>
          <w:noProof/>
        </w:rPr>
        <w:t xml:space="preserve"> to unauthorised territories</w:t>
      </w:r>
      <w:r w:rsidR="00EE3C5B" w:rsidRPr="003B11BD">
        <w:rPr>
          <w:rStyle w:val="normaltextrun"/>
          <w:noProof/>
        </w:rPr>
        <w:t>)</w:t>
      </w:r>
      <w:r w:rsidR="00EC0286" w:rsidRPr="003B11BD">
        <w:rPr>
          <w:rStyle w:val="normaltextrun"/>
          <w:noProof/>
        </w:rPr>
        <w:t>, and the good collaboration obligation</w:t>
      </w:r>
      <w:r w:rsidR="00AF49CB" w:rsidRPr="003B11BD">
        <w:rPr>
          <w:rStyle w:val="FootnoteReference"/>
          <w:noProof/>
        </w:rPr>
        <w:footnoteReference w:id="124"/>
      </w:r>
      <w:r w:rsidR="00EC0286" w:rsidRPr="003B11BD">
        <w:rPr>
          <w:rStyle w:val="normaltextrun"/>
          <w:noProof/>
        </w:rPr>
        <w:t xml:space="preserve">. These conditions should consider the EU decision </w:t>
      </w:r>
      <w:r w:rsidR="00EC0286" w:rsidRPr="003B11BD">
        <w:rPr>
          <w:noProof/>
        </w:rPr>
        <w:t>activating a crisis mode or declaring an emergency</w:t>
      </w:r>
      <w:r w:rsidR="00EC0286" w:rsidRPr="003B11BD">
        <w:rPr>
          <w:rStyle w:val="normaltextrun"/>
          <w:noProof/>
        </w:rPr>
        <w:t>, and the conditions therein (such as the duration and territorial coverage).</w:t>
      </w:r>
      <w:r w:rsidR="001D25C6" w:rsidRPr="003B11BD">
        <w:rPr>
          <w:rStyle w:val="normaltextrun"/>
          <w:noProof/>
        </w:rPr>
        <w:t xml:space="preserve"> </w:t>
      </w:r>
      <w:r w:rsidR="00B247C4" w:rsidRPr="003B11BD">
        <w:rPr>
          <w:rStyle w:val="normaltextrun"/>
          <w:noProof/>
        </w:rPr>
        <w:t xml:space="preserve">The efficiency and timeliness of EU-level </w:t>
      </w:r>
      <w:r w:rsidR="00F766C7" w:rsidRPr="003B11BD">
        <w:rPr>
          <w:rStyle w:val="normaltextrun"/>
          <w:noProof/>
        </w:rPr>
        <w:t xml:space="preserve">compulsory licence </w:t>
      </w:r>
      <w:r w:rsidR="00B247C4" w:rsidRPr="003B11BD">
        <w:rPr>
          <w:rStyle w:val="normaltextrun"/>
          <w:noProof/>
        </w:rPr>
        <w:t>would be ensured by adequate governance design</w:t>
      </w:r>
      <w:r w:rsidR="00B247C4" w:rsidRPr="003B11BD">
        <w:rPr>
          <w:rStyle w:val="FootnoteReference"/>
          <w:noProof/>
        </w:rPr>
        <w:footnoteReference w:id="125"/>
      </w:r>
      <w:r w:rsidR="00B247C4" w:rsidRPr="003B11BD">
        <w:rPr>
          <w:rStyle w:val="normaltextrun"/>
          <w:noProof/>
        </w:rPr>
        <w:t xml:space="preserve">. </w:t>
      </w:r>
      <w:r w:rsidR="00D4146F" w:rsidRPr="003B11BD">
        <w:rPr>
          <w:rStyle w:val="normaltextrun"/>
          <w:noProof/>
        </w:rPr>
        <w:t>In compliance with the TRIPS Agreement, the EU-level compulsory licence would be non-exclusive</w:t>
      </w:r>
      <w:r w:rsidR="00861745" w:rsidRPr="003B11BD">
        <w:rPr>
          <w:rStyle w:val="normaltextrun"/>
          <w:noProof/>
        </w:rPr>
        <w:t xml:space="preserve"> and</w:t>
      </w:r>
      <w:r w:rsidR="00A717BB" w:rsidRPr="003B11BD">
        <w:rPr>
          <w:rStyle w:val="normaltextrun"/>
          <w:noProof/>
        </w:rPr>
        <w:t xml:space="preserve"> </w:t>
      </w:r>
      <w:r w:rsidR="0099724B" w:rsidRPr="003B11BD">
        <w:rPr>
          <w:rStyle w:val="normaltextrun"/>
          <w:noProof/>
        </w:rPr>
        <w:t>non-assignable.</w:t>
      </w:r>
      <w:r w:rsidR="001D25C6" w:rsidRPr="003B11BD">
        <w:rPr>
          <w:rStyle w:val="normaltextrun"/>
          <w:noProof/>
        </w:rPr>
        <w:t xml:space="preserve"> </w:t>
      </w:r>
    </w:p>
    <w:p w14:paraId="47630B12" w14:textId="77C8D75E" w:rsidR="003C06FC" w:rsidRPr="003B11BD" w:rsidRDefault="00A94F37" w:rsidP="004C618F">
      <w:pPr>
        <w:pStyle w:val="Bullets"/>
        <w:rPr>
          <w:rStyle w:val="eop"/>
          <w:rFonts w:eastAsiaTheme="minorHAnsi" w:cs="Times New Roman"/>
          <w:noProof/>
          <w:color w:val="auto"/>
          <w:lang w:eastAsia="en-US"/>
        </w:rPr>
      </w:pPr>
      <w:r w:rsidRPr="003B11BD">
        <w:rPr>
          <w:noProof/>
          <w:u w:val="dotted"/>
        </w:rPr>
        <w:t>Territorial reach</w:t>
      </w:r>
      <w:r w:rsidR="00933D80" w:rsidRPr="003B11BD">
        <w:rPr>
          <w:noProof/>
          <w:u w:val="dotted"/>
        </w:rPr>
        <w:t xml:space="preserve"> of</w:t>
      </w:r>
      <w:r w:rsidR="009B1ADE" w:rsidRPr="003B11BD">
        <w:rPr>
          <w:noProof/>
          <w:u w:val="dotted"/>
        </w:rPr>
        <w:t xml:space="preserve"> </w:t>
      </w:r>
      <w:r w:rsidR="00197280" w:rsidRPr="003B11BD">
        <w:rPr>
          <w:noProof/>
          <w:u w:val="dotted"/>
        </w:rPr>
        <w:t>compulsory licensing</w:t>
      </w:r>
      <w:r w:rsidR="00EC0286" w:rsidRPr="003B11BD">
        <w:rPr>
          <w:noProof/>
        </w:rPr>
        <w:t xml:space="preserve">: </w:t>
      </w:r>
      <w:r w:rsidR="00EC0286" w:rsidRPr="003B11BD">
        <w:rPr>
          <w:rStyle w:val="eop"/>
          <w:noProof/>
        </w:rPr>
        <w:t xml:space="preserve">Under this option, the compulsory </w:t>
      </w:r>
      <w:r w:rsidR="7D90ECBE" w:rsidRPr="003B11BD">
        <w:rPr>
          <w:rStyle w:val="eop"/>
          <w:noProof/>
        </w:rPr>
        <w:t xml:space="preserve">licence </w:t>
      </w:r>
      <w:r w:rsidR="00EC0286" w:rsidRPr="003B11BD">
        <w:rPr>
          <w:rStyle w:val="eop"/>
          <w:noProof/>
        </w:rPr>
        <w:t xml:space="preserve">could have an EU-wide effect. However, the </w:t>
      </w:r>
      <w:r w:rsidR="00BB5978" w:rsidRPr="003B11BD">
        <w:rPr>
          <w:rStyle w:val="eop"/>
          <w:noProof/>
        </w:rPr>
        <w:t>activation measure</w:t>
      </w:r>
      <w:r w:rsidR="00EC0286" w:rsidRPr="003B11BD">
        <w:rPr>
          <w:rStyle w:val="eop"/>
          <w:noProof/>
        </w:rPr>
        <w:t xml:space="preserve"> would specify the exact territorial scope, considering the crisis. The scope could be modified depending on the circumstances (e.g. crisis expanding to other countries, need for further manufacturing capacities). </w:t>
      </w:r>
      <w:r w:rsidR="00886221" w:rsidRPr="003B11BD">
        <w:rPr>
          <w:noProof/>
        </w:rPr>
        <w:t xml:space="preserve">Under </w:t>
      </w:r>
      <w:r w:rsidR="004A6138" w:rsidRPr="003B11BD">
        <w:rPr>
          <w:noProof/>
        </w:rPr>
        <w:t>PO</w:t>
      </w:r>
      <w:r w:rsidR="008D00F0" w:rsidRPr="003B11BD">
        <w:rPr>
          <w:noProof/>
        </w:rPr>
        <w:t>4</w:t>
      </w:r>
      <w:r w:rsidR="00886221" w:rsidRPr="003B11BD">
        <w:rPr>
          <w:noProof/>
        </w:rPr>
        <w:t xml:space="preserve">, </w:t>
      </w:r>
      <w:r w:rsidR="00BF59D6" w:rsidRPr="003B11BD">
        <w:rPr>
          <w:noProof/>
        </w:rPr>
        <w:t xml:space="preserve">compulsory licences </w:t>
      </w:r>
      <w:r w:rsidR="000C1784" w:rsidRPr="003B11BD">
        <w:rPr>
          <w:noProof/>
        </w:rPr>
        <w:t xml:space="preserve">having a cross-border effect could also be granted by the Commission in the context of </w:t>
      </w:r>
      <w:r w:rsidR="000C155F" w:rsidRPr="003B11BD">
        <w:rPr>
          <w:noProof/>
        </w:rPr>
        <w:t>Regulation (EC) No 816/2006</w:t>
      </w:r>
      <w:r w:rsidR="00886221" w:rsidRPr="003B11BD">
        <w:rPr>
          <w:noProof/>
        </w:rPr>
        <w:t xml:space="preserve"> </w:t>
      </w:r>
      <w:r w:rsidR="000C1784" w:rsidRPr="003B11BD">
        <w:rPr>
          <w:noProof/>
        </w:rPr>
        <w:t>should the manufacturing of the pharmaceutical product be spread across several Member States</w:t>
      </w:r>
      <w:r w:rsidR="001B0CCE" w:rsidRPr="003B11BD">
        <w:rPr>
          <w:noProof/>
        </w:rPr>
        <w:t>, subject to concerned Member States’ approval</w:t>
      </w:r>
      <w:r w:rsidR="00886221" w:rsidRPr="003B11BD">
        <w:rPr>
          <w:noProof/>
        </w:rPr>
        <w:t>.</w:t>
      </w:r>
    </w:p>
    <w:p w14:paraId="2E856561" w14:textId="32212DC5" w:rsidR="00262038" w:rsidRPr="003B11BD" w:rsidRDefault="6FA67D9D" w:rsidP="004C618F">
      <w:pPr>
        <w:pStyle w:val="Bullets"/>
        <w:rPr>
          <w:noProof/>
        </w:rPr>
      </w:pPr>
      <w:r w:rsidRPr="003B11BD">
        <w:rPr>
          <w:noProof/>
          <w:u w:val="dotted"/>
        </w:rPr>
        <w:t>Support to EU resilience</w:t>
      </w:r>
      <w:r w:rsidRPr="003B11BD">
        <w:rPr>
          <w:noProof/>
        </w:rPr>
        <w:t xml:space="preserve">: In the context of an EU decision activating a crisis mode or declaring an emergency, this option would provide the possibility for the Commission to grant EU-level compulsory licences for cross-border crises management. </w:t>
      </w:r>
      <w:r w:rsidR="00BA449A" w:rsidRPr="003B11BD">
        <w:rPr>
          <w:noProof/>
        </w:rPr>
        <w:t xml:space="preserve">PO4 </w:t>
      </w:r>
      <w:r w:rsidRPr="003B11BD">
        <w:rPr>
          <w:noProof/>
        </w:rPr>
        <w:t xml:space="preserve">would provide full harmonisation as regards the granting of compulsory licence to tackle a cross-border crisis in the EU. </w:t>
      </w:r>
      <w:r w:rsidR="00BA449A" w:rsidRPr="003B11BD">
        <w:rPr>
          <w:noProof/>
        </w:rPr>
        <w:t>It</w:t>
      </w:r>
      <w:r w:rsidRPr="003B11BD">
        <w:rPr>
          <w:noProof/>
        </w:rPr>
        <w:t xml:space="preserve"> would build upon and complement existing EU crisis instruments by providing an additional tool to help tackle a crisis. </w:t>
      </w:r>
      <w:r w:rsidR="6A6EC9C8" w:rsidRPr="003B11BD">
        <w:rPr>
          <w:rStyle w:val="normaltextrun"/>
          <w:noProof/>
        </w:rPr>
        <w:t>Under this option, the Commission would have a consultative role, to ensure participation of relevant stakeholders. The licensee(s) could be identified by the Commission, Member States and/ or directly apply to benefit from a compulsory licence.</w:t>
      </w:r>
      <w:r w:rsidR="48BD475C" w:rsidRPr="003B11BD">
        <w:rPr>
          <w:rStyle w:val="normaltextrun"/>
          <w:noProof/>
        </w:rPr>
        <w:t xml:space="preserve"> </w:t>
      </w:r>
      <w:r w:rsidR="00F9429D" w:rsidRPr="003B11BD">
        <w:rPr>
          <w:rStyle w:val="normaltextrun"/>
          <w:noProof/>
        </w:rPr>
        <w:t xml:space="preserve">Yet, to the extent Member States are to be involved in the implementation of the </w:t>
      </w:r>
      <w:r w:rsidR="002F3865" w:rsidRPr="003B11BD">
        <w:rPr>
          <w:rStyle w:val="normaltextrun"/>
          <w:noProof/>
        </w:rPr>
        <w:t>compulsory licence</w:t>
      </w:r>
      <w:r w:rsidR="00F9429D" w:rsidRPr="003B11BD">
        <w:rPr>
          <w:rStyle w:val="normaltextrun"/>
          <w:noProof/>
        </w:rPr>
        <w:t xml:space="preserve">, they would be also bound to report on the outcomes of the process to the </w:t>
      </w:r>
      <w:r w:rsidR="002F3865" w:rsidRPr="003B11BD">
        <w:rPr>
          <w:rStyle w:val="normaltextrun"/>
          <w:noProof/>
        </w:rPr>
        <w:t>Commission</w:t>
      </w:r>
      <w:r w:rsidR="00F9429D" w:rsidRPr="003B11BD">
        <w:rPr>
          <w:rStyle w:val="normaltextrun"/>
          <w:noProof/>
        </w:rPr>
        <w:t xml:space="preserve">. </w:t>
      </w:r>
      <w:r w:rsidR="48BD475C" w:rsidRPr="003B11BD">
        <w:rPr>
          <w:rStyle w:val="normaltextrun"/>
          <w:noProof/>
          <w:lang w:eastAsia="en-US"/>
        </w:rPr>
        <w:t>Finally,</w:t>
      </w:r>
      <w:r w:rsidR="48BD475C" w:rsidRPr="003B11BD">
        <w:rPr>
          <w:rStyle w:val="normaltextrun"/>
          <w:noProof/>
        </w:rPr>
        <w:t xml:space="preserve"> </w:t>
      </w:r>
      <w:r w:rsidR="045E7A1F" w:rsidRPr="003B11BD">
        <w:rPr>
          <w:rStyle w:val="normaltextrun"/>
          <w:noProof/>
        </w:rPr>
        <w:t>as in PO3, a single contact point would be set-up in the context of Regulation (EC) No 816/2006.</w:t>
      </w:r>
      <w:r w:rsidR="48BD475C" w:rsidRPr="003B11BD">
        <w:rPr>
          <w:rStyle w:val="normaltextrun"/>
          <w:noProof/>
        </w:rPr>
        <w:t xml:space="preserve"> </w:t>
      </w:r>
      <w:r w:rsidR="1DE79241" w:rsidRPr="003B11BD">
        <w:rPr>
          <w:rStyle w:val="normaltextrun"/>
          <w:noProof/>
        </w:rPr>
        <w:t xml:space="preserve">However, </w:t>
      </w:r>
      <w:r w:rsidR="0F1FECE2" w:rsidRPr="003B11BD">
        <w:rPr>
          <w:rStyle w:val="normaltextrun"/>
          <w:noProof/>
        </w:rPr>
        <w:t>under PO4</w:t>
      </w:r>
      <w:r w:rsidR="1DE79241" w:rsidRPr="003B11BD">
        <w:rPr>
          <w:rStyle w:val="normaltextrun"/>
          <w:noProof/>
        </w:rPr>
        <w:t xml:space="preserve"> the </w:t>
      </w:r>
      <w:r w:rsidR="7384B811" w:rsidRPr="003B11BD">
        <w:rPr>
          <w:rStyle w:val="normaltextrun"/>
          <w:noProof/>
        </w:rPr>
        <w:t>function of the single contact point goes beyond a coordination role.</w:t>
      </w:r>
      <w:r w:rsidR="1DE79241" w:rsidRPr="003B11BD">
        <w:rPr>
          <w:rStyle w:val="normaltextrun"/>
          <w:noProof/>
        </w:rPr>
        <w:t xml:space="preserve"> </w:t>
      </w:r>
      <w:r w:rsidR="004A6138" w:rsidRPr="003B11BD">
        <w:rPr>
          <w:noProof/>
        </w:rPr>
        <w:t>PO</w:t>
      </w:r>
      <w:r w:rsidR="731757CD" w:rsidRPr="003B11BD">
        <w:rPr>
          <w:noProof/>
        </w:rPr>
        <w:t xml:space="preserve">4 </w:t>
      </w:r>
      <w:r w:rsidR="04881223" w:rsidRPr="003B11BD">
        <w:rPr>
          <w:noProof/>
          <w:lang w:eastAsia="en-US"/>
        </w:rPr>
        <w:t>would</w:t>
      </w:r>
      <w:r w:rsidR="2442A4BE" w:rsidRPr="003B11BD">
        <w:rPr>
          <w:noProof/>
          <w:lang w:eastAsia="en-US"/>
        </w:rPr>
        <w:t xml:space="preserve"> </w:t>
      </w:r>
      <w:r w:rsidR="04881223" w:rsidRPr="003B11BD">
        <w:rPr>
          <w:noProof/>
          <w:lang w:eastAsia="en-US"/>
        </w:rPr>
        <w:t xml:space="preserve">provide </w:t>
      </w:r>
      <w:r w:rsidR="002D606C" w:rsidRPr="003B11BD">
        <w:rPr>
          <w:noProof/>
          <w:lang w:eastAsia="en-US"/>
        </w:rPr>
        <w:t xml:space="preserve">non-EU </w:t>
      </w:r>
      <w:r w:rsidR="04881223" w:rsidRPr="003B11BD">
        <w:rPr>
          <w:noProof/>
          <w:lang w:eastAsia="en-US"/>
        </w:rPr>
        <w:t>countries</w:t>
      </w:r>
      <w:r w:rsidR="00956530" w:rsidRPr="003B11BD">
        <w:rPr>
          <w:noProof/>
          <w:lang w:eastAsia="en-US"/>
        </w:rPr>
        <w:t xml:space="preserve"> with</w:t>
      </w:r>
      <w:r w:rsidR="04881223" w:rsidRPr="003B11BD">
        <w:rPr>
          <w:noProof/>
          <w:lang w:eastAsia="en-US"/>
        </w:rPr>
        <w:t xml:space="preserve"> the possibility to </w:t>
      </w:r>
      <w:r w:rsidR="178AE16E" w:rsidRPr="003B11BD">
        <w:rPr>
          <w:noProof/>
          <w:lang w:eastAsia="en-US"/>
        </w:rPr>
        <w:t xml:space="preserve">submit </w:t>
      </w:r>
      <w:r w:rsidR="7D019FE1" w:rsidRPr="003B11BD">
        <w:rPr>
          <w:noProof/>
          <w:lang w:eastAsia="en-US"/>
        </w:rPr>
        <w:t xml:space="preserve">directly </w:t>
      </w:r>
      <w:r w:rsidR="178AE16E" w:rsidRPr="003B11BD">
        <w:rPr>
          <w:noProof/>
          <w:lang w:eastAsia="en-US"/>
        </w:rPr>
        <w:t xml:space="preserve">to the </w:t>
      </w:r>
      <w:r w:rsidR="74F8831E" w:rsidRPr="003B11BD">
        <w:rPr>
          <w:noProof/>
          <w:lang w:eastAsia="en-US"/>
        </w:rPr>
        <w:t>single contact point (</w:t>
      </w:r>
      <w:r w:rsidR="178AE16E" w:rsidRPr="003B11BD">
        <w:rPr>
          <w:noProof/>
          <w:lang w:eastAsia="en-US"/>
        </w:rPr>
        <w:t>Commission</w:t>
      </w:r>
      <w:r w:rsidR="7088F2C3" w:rsidRPr="003B11BD">
        <w:rPr>
          <w:noProof/>
          <w:lang w:eastAsia="en-US"/>
        </w:rPr>
        <w:t>)</w:t>
      </w:r>
      <w:r w:rsidR="04881223" w:rsidRPr="003B11BD">
        <w:rPr>
          <w:noProof/>
          <w:lang w:eastAsia="en-US"/>
        </w:rPr>
        <w:t xml:space="preserve"> an application for an EU-level compulsory li</w:t>
      </w:r>
      <w:r w:rsidR="6714EC7A" w:rsidRPr="003B11BD">
        <w:rPr>
          <w:noProof/>
          <w:lang w:eastAsia="en-US"/>
        </w:rPr>
        <w:t xml:space="preserve">cence </w:t>
      </w:r>
      <w:r w:rsidR="0095344F" w:rsidRPr="003B11BD">
        <w:rPr>
          <w:noProof/>
        </w:rPr>
        <w:t>in case of cross-border supply and manufacturing</w:t>
      </w:r>
      <w:r w:rsidR="007168CA" w:rsidRPr="003B11BD">
        <w:rPr>
          <w:noProof/>
        </w:rPr>
        <w:t xml:space="preserve"> (see above, point on </w:t>
      </w:r>
      <w:r w:rsidR="0051352E" w:rsidRPr="003B11BD">
        <w:rPr>
          <w:noProof/>
        </w:rPr>
        <w:t xml:space="preserve">the </w:t>
      </w:r>
      <w:r w:rsidR="00933D80" w:rsidRPr="003B11BD">
        <w:rPr>
          <w:noProof/>
        </w:rPr>
        <w:t xml:space="preserve">territorial reach of </w:t>
      </w:r>
      <w:r w:rsidR="007168CA" w:rsidRPr="003B11BD">
        <w:rPr>
          <w:noProof/>
        </w:rPr>
        <w:t xml:space="preserve"> compulsory licensing)</w:t>
      </w:r>
      <w:r w:rsidR="01A44E6D" w:rsidRPr="003B11BD">
        <w:rPr>
          <w:noProof/>
          <w:lang w:eastAsia="en-US"/>
        </w:rPr>
        <w:t>.</w:t>
      </w:r>
      <w:r w:rsidR="007168CA" w:rsidRPr="003B11BD">
        <w:rPr>
          <w:noProof/>
          <w:lang w:eastAsia="en-US"/>
        </w:rPr>
        <w:t xml:space="preserve"> </w:t>
      </w:r>
      <w:r w:rsidR="00C83A16" w:rsidRPr="003B11BD">
        <w:rPr>
          <w:noProof/>
          <w:lang w:eastAsia="en-US"/>
        </w:rPr>
        <w:t>Under this option, t</w:t>
      </w:r>
      <w:r w:rsidR="007168CA" w:rsidRPr="003B11BD">
        <w:rPr>
          <w:noProof/>
          <w:lang w:eastAsia="en-US"/>
        </w:rPr>
        <w:t xml:space="preserve">he Commission would retain its </w:t>
      </w:r>
      <w:r w:rsidR="00985187" w:rsidRPr="003B11BD">
        <w:rPr>
          <w:noProof/>
          <w:lang w:eastAsia="en-US"/>
        </w:rPr>
        <w:t xml:space="preserve">coordination </w:t>
      </w:r>
      <w:r w:rsidR="007168CA" w:rsidRPr="003B11BD">
        <w:rPr>
          <w:noProof/>
          <w:lang w:eastAsia="en-US"/>
        </w:rPr>
        <w:t>role, assisted by the advisory body, as</w:t>
      </w:r>
      <w:r w:rsidR="00C83A16" w:rsidRPr="003B11BD">
        <w:rPr>
          <w:noProof/>
          <w:lang w:eastAsia="en-US"/>
        </w:rPr>
        <w:t xml:space="preserve"> already provided under </w:t>
      </w:r>
      <w:r w:rsidR="00E543A1" w:rsidRPr="003B11BD">
        <w:rPr>
          <w:noProof/>
          <w:lang w:eastAsia="en-US"/>
        </w:rPr>
        <w:t>PO</w:t>
      </w:r>
      <w:r w:rsidR="00C83A16" w:rsidRPr="003B11BD">
        <w:rPr>
          <w:noProof/>
          <w:lang w:eastAsia="en-US"/>
        </w:rPr>
        <w:t>3.</w:t>
      </w:r>
    </w:p>
    <w:bookmarkEnd w:id="221"/>
    <w:p w14:paraId="54C04D15" w14:textId="6D3DC216" w:rsidR="0074374A" w:rsidRPr="003B11BD" w:rsidRDefault="0074374A" w:rsidP="009075D3">
      <w:pPr>
        <w:pStyle w:val="Caption"/>
        <w:keepNext/>
        <w:rPr>
          <w:noProof/>
          <w:lang w:val="en-IE"/>
        </w:rPr>
      </w:pPr>
      <w:r w:rsidRPr="003B11BD">
        <w:rPr>
          <w:noProof/>
          <w:lang w:val="en-IE"/>
        </w:rPr>
        <w:t xml:space="preserve">Figure </w:t>
      </w:r>
      <w:r w:rsidR="00C6592A">
        <w:rPr>
          <w:noProof/>
          <w:lang w:val="en-IE"/>
        </w:rPr>
        <w:t>9</w:t>
      </w:r>
      <w:r w:rsidRPr="003B11BD">
        <w:rPr>
          <w:noProof/>
          <w:lang w:val="en-IE"/>
        </w:rPr>
        <w:t>: Simplified scheme for Option 4</w:t>
      </w:r>
    </w:p>
    <w:p w14:paraId="3DB3DA3A" w14:textId="59A16965" w:rsidR="0074374A" w:rsidRPr="003B11BD" w:rsidRDefault="002A5C9F" w:rsidP="0074374A">
      <w:pPr>
        <w:pStyle w:val="Caption"/>
        <w:rPr>
          <w:noProof/>
          <w:lang w:val="en-IE"/>
        </w:rPr>
      </w:pPr>
      <w:r w:rsidRPr="003B11BD">
        <w:rPr>
          <w:noProof/>
          <w:lang w:eastAsia="en-GB"/>
        </w:rPr>
        <w:drawing>
          <wp:inline distT="0" distB="0" distL="0" distR="0" wp14:anchorId="62286E96" wp14:editId="7F8E23F5">
            <wp:extent cx="5461200" cy="633600"/>
            <wp:effectExtent l="0" t="0" r="0" b="0"/>
            <wp:docPr id="343297058" name="Picture 34329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61200" cy="633600"/>
                    </a:xfrm>
                    <a:prstGeom prst="rect">
                      <a:avLst/>
                    </a:prstGeom>
                    <a:noFill/>
                  </pic:spPr>
                </pic:pic>
              </a:graphicData>
            </a:graphic>
          </wp:inline>
        </w:drawing>
      </w:r>
    </w:p>
    <w:p w14:paraId="082C1190" w14:textId="7C62379A" w:rsidR="0074374A" w:rsidRPr="003B11BD" w:rsidRDefault="00703AA3" w:rsidP="00703AA3">
      <w:pPr>
        <w:rPr>
          <w:noProof/>
          <w:lang w:val="en-IE"/>
        </w:rPr>
      </w:pPr>
      <w:r w:rsidRPr="00703AA3">
        <w:rPr>
          <w:noProof/>
          <w:lang w:val="en-IE"/>
        </w:rPr>
        <w:t>A detailed scheme describing the procedural steps foreseen under Option 4 is provided in Figure 22 and Figure 23 (Annex 6).</w:t>
      </w:r>
    </w:p>
    <w:p w14:paraId="68FDBAB3" w14:textId="04ADAA0A" w:rsidR="00E46775" w:rsidRPr="003B11BD" w:rsidRDefault="0009388B" w:rsidP="00E46775">
      <w:pPr>
        <w:pStyle w:val="Heading2"/>
        <w:rPr>
          <w:noProof/>
          <w:lang w:val="en-IE"/>
        </w:rPr>
      </w:pPr>
      <w:bookmarkStart w:id="241" w:name="_Toc121748014"/>
      <w:bookmarkStart w:id="242" w:name="_Toc133435367"/>
      <w:r w:rsidRPr="003B11BD">
        <w:rPr>
          <w:noProof/>
          <w:lang w:val="en-IE"/>
        </w:rPr>
        <w:t>Discarded option</w:t>
      </w:r>
      <w:r w:rsidR="00E46775" w:rsidRPr="003B11BD">
        <w:rPr>
          <w:noProof/>
          <w:lang w:val="en-IE"/>
        </w:rPr>
        <w:t>s</w:t>
      </w:r>
      <w:bookmarkEnd w:id="241"/>
      <w:bookmarkEnd w:id="242"/>
    </w:p>
    <w:p w14:paraId="7086EBE1" w14:textId="0FF33E72" w:rsidR="0009388B" w:rsidRPr="003B11BD" w:rsidRDefault="00A461FB" w:rsidP="0074374A">
      <w:pPr>
        <w:rPr>
          <w:noProof/>
          <w:lang w:val="en-IE"/>
        </w:rPr>
      </w:pPr>
      <w:r w:rsidRPr="003B11BD">
        <w:rPr>
          <w:noProof/>
          <w:lang w:val="en-IE"/>
        </w:rPr>
        <w:t>The possibility for a compulsory licence to cover other IP rights, and in particular plant variety rights, design rights or copyright, was discarded. The possibility to grant a compulsory licence for a Community plant variety right already exists</w:t>
      </w:r>
      <w:r w:rsidRPr="003B11BD">
        <w:rPr>
          <w:rStyle w:val="FootnoteReference"/>
          <w:noProof/>
          <w:lang w:val="en-IE"/>
        </w:rPr>
        <w:footnoteReference w:id="126"/>
      </w:r>
      <w:r w:rsidRPr="003B11BD">
        <w:rPr>
          <w:noProof/>
          <w:lang w:val="en-IE"/>
        </w:rPr>
        <w:t>. Designs protection</w:t>
      </w:r>
      <w:r w:rsidRPr="003B11BD">
        <w:rPr>
          <w:rStyle w:val="FootnoteReference"/>
          <w:noProof/>
          <w:lang w:val="en-IE"/>
        </w:rPr>
        <w:footnoteReference w:id="127"/>
      </w:r>
      <w:r w:rsidRPr="003B11BD">
        <w:rPr>
          <w:noProof/>
          <w:lang w:val="en-IE"/>
        </w:rPr>
        <w:t xml:space="preserve"> covers the appearance of a product and does not extend to the features of appearance of a product that are solely dictated by its technical function. Since the technical features of a design that could prove necessary to manufacture a critical good are free of design right</w:t>
      </w:r>
      <w:r w:rsidR="00430E0E" w:rsidRPr="003B11BD">
        <w:rPr>
          <w:noProof/>
          <w:lang w:val="en-IE"/>
        </w:rPr>
        <w:t>s</w:t>
      </w:r>
      <w:r w:rsidRPr="003B11BD">
        <w:rPr>
          <w:noProof/>
          <w:lang w:val="en-IE"/>
        </w:rPr>
        <w:t>, a compulsory licence does not appear necessary in the field. The same reasoning applies to copyright which protects a specific expression of an idea or creation. These ideas or creations can be expressed in another way should it be necessary to use them in the context of the manufacturing of crisis goods. The same applies to computer programmes protected under copyright law</w:t>
      </w:r>
      <w:r w:rsidRPr="003B11BD">
        <w:rPr>
          <w:rStyle w:val="FootnoteReference"/>
          <w:noProof/>
          <w:lang w:val="en-IE"/>
        </w:rPr>
        <w:footnoteReference w:id="128"/>
      </w:r>
      <w:r w:rsidRPr="003B11BD">
        <w:rPr>
          <w:noProof/>
          <w:lang w:val="en-IE"/>
        </w:rPr>
        <w:t xml:space="preserve">. </w:t>
      </w:r>
    </w:p>
    <w:p w14:paraId="51941E5A" w14:textId="3C9A4C94" w:rsidR="006B087E" w:rsidRPr="003B11BD" w:rsidRDefault="006B087E" w:rsidP="000E3086">
      <w:pPr>
        <w:pStyle w:val="Heading1"/>
        <w:rPr>
          <w:noProof/>
          <w:lang w:val="en-IE"/>
        </w:rPr>
      </w:pPr>
      <w:bookmarkStart w:id="243" w:name="_Toc121748015"/>
      <w:bookmarkStart w:id="244" w:name="_Toc120731219"/>
      <w:bookmarkStart w:id="245" w:name="_Toc121386378"/>
      <w:bookmarkStart w:id="246" w:name="_Toc121489596"/>
      <w:bookmarkStart w:id="247" w:name="_Toc121496348"/>
      <w:bookmarkStart w:id="248" w:name="_Toc133435368"/>
      <w:r w:rsidRPr="003B11BD">
        <w:rPr>
          <w:noProof/>
          <w:lang w:val="en-IE"/>
        </w:rPr>
        <w:t>What are the impacts of the policy options?</w:t>
      </w:r>
      <w:bookmarkEnd w:id="243"/>
      <w:bookmarkEnd w:id="244"/>
      <w:bookmarkEnd w:id="245"/>
      <w:bookmarkEnd w:id="246"/>
      <w:bookmarkEnd w:id="247"/>
      <w:bookmarkEnd w:id="248"/>
    </w:p>
    <w:p w14:paraId="3A5D4AFF" w14:textId="47821CFA" w:rsidR="006B087E" w:rsidRPr="003B11BD" w:rsidRDefault="001951F7" w:rsidP="000E3086">
      <w:pPr>
        <w:pStyle w:val="Heading2"/>
        <w:rPr>
          <w:noProof/>
          <w:lang w:val="en-IE"/>
        </w:rPr>
      </w:pPr>
      <w:bookmarkStart w:id="249" w:name="_Toc120045200"/>
      <w:bookmarkStart w:id="250" w:name="_Toc120045287"/>
      <w:bookmarkStart w:id="251" w:name="_Toc120045217"/>
      <w:bookmarkStart w:id="252" w:name="_Toc120045304"/>
      <w:bookmarkStart w:id="253" w:name="_Toc120731220"/>
      <w:bookmarkStart w:id="254" w:name="_Toc121386379"/>
      <w:bookmarkStart w:id="255" w:name="_Toc121489597"/>
      <w:bookmarkStart w:id="256" w:name="_Toc121496349"/>
      <w:bookmarkStart w:id="257" w:name="_Toc121748016"/>
      <w:bookmarkStart w:id="258" w:name="_Toc133435369"/>
      <w:bookmarkEnd w:id="249"/>
      <w:bookmarkEnd w:id="250"/>
      <w:bookmarkEnd w:id="251"/>
      <w:bookmarkEnd w:id="252"/>
      <w:r w:rsidRPr="003B11BD">
        <w:rPr>
          <w:noProof/>
          <w:lang w:val="en-IE"/>
        </w:rPr>
        <w:t xml:space="preserve">Option 1 – </w:t>
      </w:r>
      <w:r w:rsidR="003928F5" w:rsidRPr="003B11BD">
        <w:rPr>
          <w:rStyle w:val="normaltextrun"/>
          <w:noProof/>
          <w:lang w:val="en-IE"/>
        </w:rPr>
        <w:t xml:space="preserve">Recommendation </w:t>
      </w:r>
      <w:r w:rsidRPr="003B11BD">
        <w:rPr>
          <w:rStyle w:val="normaltextrun"/>
          <w:noProof/>
          <w:lang w:val="en-IE"/>
        </w:rPr>
        <w:t>on compulsory licensing for crisis management</w:t>
      </w:r>
      <w:bookmarkEnd w:id="253"/>
      <w:bookmarkEnd w:id="254"/>
      <w:bookmarkEnd w:id="255"/>
      <w:bookmarkEnd w:id="256"/>
      <w:bookmarkEnd w:id="257"/>
      <w:bookmarkEnd w:id="258"/>
      <w:r w:rsidRPr="003B11BD">
        <w:rPr>
          <w:rStyle w:val="normaltextrun"/>
          <w:noProof/>
          <w:lang w:val="en-IE"/>
        </w:rPr>
        <w:t xml:space="preserve"> </w:t>
      </w:r>
      <w:r w:rsidRPr="003B11BD">
        <w:rPr>
          <w:rStyle w:val="eop"/>
          <w:noProof/>
          <w:lang w:val="en-IE"/>
        </w:rPr>
        <w:t> </w:t>
      </w:r>
    </w:p>
    <w:p w14:paraId="41086A33" w14:textId="05015D96" w:rsidR="003A276A" w:rsidRPr="003B11BD" w:rsidRDefault="00C412C4" w:rsidP="00ED49E6">
      <w:pPr>
        <w:pStyle w:val="Heading3"/>
        <w:rPr>
          <w:noProof/>
        </w:rPr>
      </w:pPr>
      <w:bookmarkStart w:id="259" w:name="_Toc121489598"/>
      <w:bookmarkStart w:id="260" w:name="_Toc121496350"/>
      <w:bookmarkStart w:id="261" w:name="_Toc121748017"/>
      <w:bookmarkStart w:id="262" w:name="_Toc133435370"/>
      <w:r w:rsidRPr="003B11BD">
        <w:rPr>
          <w:noProof/>
        </w:rPr>
        <w:t>Improve the key features</w:t>
      </w:r>
      <w:r w:rsidR="00842AC5" w:rsidRPr="003B11BD">
        <w:rPr>
          <w:noProof/>
        </w:rPr>
        <w:t xml:space="preserve"> of compulsory licensing</w:t>
      </w:r>
      <w:bookmarkEnd w:id="259"/>
      <w:bookmarkEnd w:id="260"/>
      <w:bookmarkEnd w:id="261"/>
      <w:bookmarkEnd w:id="262"/>
    </w:p>
    <w:p w14:paraId="56C69EB5" w14:textId="20154F6F" w:rsidR="7E373BE6" w:rsidRPr="003B11BD" w:rsidRDefault="00F63089" w:rsidP="7E373BE6">
      <w:pPr>
        <w:pStyle w:val="Text2"/>
        <w:ind w:left="0"/>
        <w:rPr>
          <w:noProof/>
          <w:lang w:val="en-IE"/>
        </w:rPr>
      </w:pPr>
      <w:r w:rsidRPr="003B11BD">
        <w:rPr>
          <w:noProof/>
          <w:lang w:val="en-IE"/>
        </w:rPr>
        <w:t>Under Option 1, Member States</w:t>
      </w:r>
      <w:r w:rsidRPr="003B11BD">
        <w:rPr>
          <w:bCs/>
          <w:noProof/>
          <w:lang w:val="en-IE"/>
        </w:rPr>
        <w:t xml:space="preserve"> would </w:t>
      </w:r>
      <w:r w:rsidRPr="003B11BD">
        <w:rPr>
          <w:noProof/>
          <w:lang w:val="en-IE"/>
        </w:rPr>
        <w:t xml:space="preserve">retain their margin of manoeuvre as regards the features of their national compulsory </w:t>
      </w:r>
      <w:r w:rsidR="00C55853" w:rsidRPr="003B11BD">
        <w:rPr>
          <w:noProof/>
          <w:lang w:val="en-IE"/>
        </w:rPr>
        <w:t>licensing</w:t>
      </w:r>
      <w:r w:rsidRPr="003B11BD">
        <w:rPr>
          <w:noProof/>
          <w:lang w:val="en-IE"/>
        </w:rPr>
        <w:t xml:space="preserve"> schemes.</w:t>
      </w:r>
      <w:r w:rsidR="00937D5E" w:rsidRPr="003B11BD">
        <w:rPr>
          <w:noProof/>
          <w:lang w:val="en-IE"/>
        </w:rPr>
        <w:t xml:space="preserve"> </w:t>
      </w:r>
      <w:r w:rsidRPr="003B11BD">
        <w:rPr>
          <w:noProof/>
          <w:lang w:val="en-IE"/>
        </w:rPr>
        <w:t xml:space="preserve">The </w:t>
      </w:r>
      <w:r w:rsidR="00D1334B" w:rsidRPr="003B11BD">
        <w:rPr>
          <w:noProof/>
          <w:lang w:val="en-IE"/>
        </w:rPr>
        <w:t>recommendation envisaged under PO</w:t>
      </w:r>
      <w:r w:rsidRPr="003B11BD">
        <w:rPr>
          <w:noProof/>
          <w:lang w:val="en-IE"/>
        </w:rPr>
        <w:t xml:space="preserve">1 could clarify </w:t>
      </w:r>
      <w:r w:rsidR="00BA457D" w:rsidRPr="003B11BD">
        <w:rPr>
          <w:noProof/>
          <w:lang w:val="en-IE"/>
        </w:rPr>
        <w:t xml:space="preserve">and improve </w:t>
      </w:r>
      <w:r w:rsidRPr="003B11BD">
        <w:rPr>
          <w:noProof/>
          <w:lang w:val="en-IE"/>
        </w:rPr>
        <w:t xml:space="preserve">the features of national compulsory licensing schemes </w:t>
      </w:r>
      <w:r w:rsidR="00BA457D" w:rsidRPr="003B11BD">
        <w:rPr>
          <w:noProof/>
          <w:lang w:val="en-IE"/>
        </w:rPr>
        <w:t xml:space="preserve">for crisis management </w:t>
      </w:r>
      <w:r w:rsidRPr="003B11BD">
        <w:rPr>
          <w:noProof/>
          <w:lang w:val="en-IE"/>
        </w:rPr>
        <w:t xml:space="preserve">and improve coherence across Member States. Although, the </w:t>
      </w:r>
      <w:r w:rsidR="00F64FF6" w:rsidRPr="003B11BD">
        <w:rPr>
          <w:noProof/>
          <w:lang w:val="en-IE"/>
        </w:rPr>
        <w:t xml:space="preserve">recommendation </w:t>
      </w:r>
      <w:r w:rsidRPr="003B11BD">
        <w:rPr>
          <w:noProof/>
          <w:lang w:val="en-IE"/>
        </w:rPr>
        <w:t xml:space="preserve">would raise awareness across Member States on the importance of an effective and efficient compulsory </w:t>
      </w:r>
      <w:r w:rsidR="00C55853" w:rsidRPr="003B11BD">
        <w:rPr>
          <w:noProof/>
          <w:lang w:val="en-IE"/>
        </w:rPr>
        <w:t>licensing</w:t>
      </w:r>
      <w:r w:rsidRPr="003B11BD">
        <w:rPr>
          <w:noProof/>
          <w:lang w:val="en-IE"/>
        </w:rPr>
        <w:t xml:space="preserve"> for crisis management, </w:t>
      </w:r>
      <w:r w:rsidR="76FA738D" w:rsidRPr="003B11BD">
        <w:rPr>
          <w:noProof/>
          <w:lang w:val="en-IE"/>
        </w:rPr>
        <w:t>the risk</w:t>
      </w:r>
      <w:r w:rsidRPr="003B11BD">
        <w:rPr>
          <w:noProof/>
          <w:lang w:val="en-IE"/>
        </w:rPr>
        <w:t xml:space="preserve"> remains that not all Member States would fully implement </w:t>
      </w:r>
      <w:r w:rsidR="007E04EA" w:rsidRPr="003B11BD">
        <w:rPr>
          <w:noProof/>
          <w:lang w:val="en-IE"/>
        </w:rPr>
        <w:t>it</w:t>
      </w:r>
      <w:r w:rsidR="4642145F" w:rsidRPr="003B11BD">
        <w:rPr>
          <w:noProof/>
          <w:lang w:val="en-IE"/>
        </w:rPr>
        <w:t xml:space="preserve"> because of the </w:t>
      </w:r>
      <w:r w:rsidR="009931C9" w:rsidRPr="003B11BD">
        <w:rPr>
          <w:noProof/>
          <w:lang w:val="en-IE"/>
        </w:rPr>
        <w:t>non-binding</w:t>
      </w:r>
      <w:r w:rsidR="4642145F" w:rsidRPr="003B11BD">
        <w:rPr>
          <w:noProof/>
          <w:lang w:val="en-IE"/>
        </w:rPr>
        <w:t xml:space="preserve"> nature of the recommendation</w:t>
      </w:r>
      <w:r w:rsidRPr="003B11BD">
        <w:rPr>
          <w:noProof/>
          <w:lang w:val="en-IE"/>
        </w:rPr>
        <w:t>.</w:t>
      </w:r>
      <w:r w:rsidR="00476E7F" w:rsidRPr="003B11BD">
        <w:rPr>
          <w:noProof/>
          <w:lang w:val="en-IE"/>
        </w:rPr>
        <w:t xml:space="preserve"> PO1 c</w:t>
      </w:r>
      <w:r w:rsidR="001F1B9C" w:rsidRPr="003B11BD">
        <w:rPr>
          <w:noProof/>
          <w:lang w:val="en-IE"/>
        </w:rPr>
        <w:t xml:space="preserve">ould </w:t>
      </w:r>
      <w:r w:rsidR="00037FF5" w:rsidRPr="003B11BD">
        <w:rPr>
          <w:noProof/>
          <w:lang w:val="en-IE"/>
        </w:rPr>
        <w:t xml:space="preserve">therefore have </w:t>
      </w:r>
      <w:r w:rsidR="00476E7F" w:rsidRPr="003B11BD">
        <w:rPr>
          <w:noProof/>
          <w:lang w:val="en-IE"/>
        </w:rPr>
        <w:t xml:space="preserve">only </w:t>
      </w:r>
      <w:r w:rsidR="00037FF5" w:rsidRPr="003B11BD">
        <w:rPr>
          <w:noProof/>
          <w:lang w:val="en-IE"/>
        </w:rPr>
        <w:t>a limited harmonising effect.</w:t>
      </w:r>
      <w:r w:rsidRPr="003B11BD">
        <w:rPr>
          <w:noProof/>
          <w:lang w:val="en-IE"/>
        </w:rPr>
        <w:t xml:space="preserve"> </w:t>
      </w:r>
      <w:r w:rsidR="007E04EA" w:rsidRPr="003B11BD">
        <w:rPr>
          <w:noProof/>
          <w:lang w:val="en-IE"/>
        </w:rPr>
        <w:t>In addition</w:t>
      </w:r>
      <w:r w:rsidRPr="003B11BD">
        <w:rPr>
          <w:noProof/>
          <w:lang w:val="en-IE"/>
        </w:rPr>
        <w:t xml:space="preserve">, one deviation by a Member State (for instance an embargo period in the Member State with the manufacturing capacities) </w:t>
      </w:r>
      <w:r w:rsidR="00180FFE" w:rsidRPr="003B11BD">
        <w:rPr>
          <w:noProof/>
          <w:lang w:val="en-IE"/>
        </w:rPr>
        <w:t xml:space="preserve">would </w:t>
      </w:r>
      <w:r w:rsidRPr="003B11BD">
        <w:rPr>
          <w:noProof/>
          <w:lang w:val="en-IE"/>
        </w:rPr>
        <w:t xml:space="preserve">already </w:t>
      </w:r>
      <w:r w:rsidR="00C07CC3" w:rsidRPr="003B11BD">
        <w:rPr>
          <w:noProof/>
          <w:lang w:val="en-IE"/>
        </w:rPr>
        <w:t>suffice</w:t>
      </w:r>
      <w:r w:rsidRPr="003B11BD">
        <w:rPr>
          <w:noProof/>
          <w:lang w:val="en-IE"/>
        </w:rPr>
        <w:t xml:space="preserve"> to block or significantly impair the supply of crisis relevant goods produced under a compulsory licensing in certain cross border situations. Consequently, Option 1 is expected to </w:t>
      </w:r>
      <w:r w:rsidR="002D5250" w:rsidRPr="003B11BD">
        <w:rPr>
          <w:noProof/>
          <w:lang w:val="en-IE"/>
        </w:rPr>
        <w:t>lead to limited improvements, in terms of effectiveness and efficiency, of national compulsory licensing schemes</w:t>
      </w:r>
      <w:r w:rsidR="00617643" w:rsidRPr="003B11BD">
        <w:rPr>
          <w:noProof/>
          <w:lang w:val="en-IE"/>
        </w:rPr>
        <w:t xml:space="preserve"> for crisis management</w:t>
      </w:r>
      <w:r w:rsidRPr="003B11BD">
        <w:rPr>
          <w:noProof/>
          <w:lang w:val="en-IE"/>
        </w:rPr>
        <w:t xml:space="preserve">. </w:t>
      </w:r>
    </w:p>
    <w:p w14:paraId="5945FA80" w14:textId="2A1E53DF" w:rsidR="003A276A" w:rsidRPr="003B11BD" w:rsidRDefault="00A94F37" w:rsidP="00ED49E6">
      <w:pPr>
        <w:pStyle w:val="Heading3"/>
        <w:rPr>
          <w:noProof/>
        </w:rPr>
      </w:pPr>
      <w:bookmarkStart w:id="263" w:name="_Toc121496351"/>
      <w:bookmarkStart w:id="264" w:name="_Toc121748018"/>
      <w:bookmarkStart w:id="265" w:name="_Toc133435371"/>
      <w:bookmarkStart w:id="266" w:name="_Toc120731222"/>
      <w:bookmarkStart w:id="267" w:name="_Toc121386381"/>
      <w:bookmarkStart w:id="268" w:name="_Toc121489599"/>
      <w:r w:rsidRPr="003B11BD">
        <w:rPr>
          <w:noProof/>
        </w:rPr>
        <w:t>Territorial reach</w:t>
      </w:r>
      <w:r w:rsidR="003A276A" w:rsidRPr="003B11BD">
        <w:rPr>
          <w:noProof/>
        </w:rPr>
        <w:t xml:space="preserve"> </w:t>
      </w:r>
      <w:r w:rsidR="00933D80" w:rsidRPr="003B11BD">
        <w:rPr>
          <w:noProof/>
        </w:rPr>
        <w:t xml:space="preserve">of </w:t>
      </w:r>
      <w:r w:rsidR="005B4B45" w:rsidRPr="003B11BD">
        <w:rPr>
          <w:noProof/>
        </w:rPr>
        <w:t>compulsory licensing</w:t>
      </w:r>
      <w:bookmarkEnd w:id="263"/>
      <w:bookmarkEnd w:id="264"/>
      <w:bookmarkEnd w:id="265"/>
      <w:r w:rsidR="005B4B45" w:rsidRPr="003B11BD">
        <w:rPr>
          <w:noProof/>
        </w:rPr>
        <w:t xml:space="preserve"> </w:t>
      </w:r>
      <w:bookmarkEnd w:id="266"/>
      <w:bookmarkEnd w:id="267"/>
      <w:bookmarkEnd w:id="268"/>
    </w:p>
    <w:p w14:paraId="1F4418A2" w14:textId="1E466046" w:rsidR="00A40B14" w:rsidRPr="003B11BD" w:rsidRDefault="00A40B14" w:rsidP="00A40B14">
      <w:pPr>
        <w:pStyle w:val="Text2"/>
        <w:ind w:left="0"/>
        <w:rPr>
          <w:rStyle w:val="eop"/>
          <w:noProof/>
          <w:lang w:val="en-IE"/>
        </w:rPr>
      </w:pPr>
      <w:r w:rsidRPr="003B11BD">
        <w:rPr>
          <w:noProof/>
          <w:lang w:val="en-IE"/>
        </w:rPr>
        <w:t xml:space="preserve">Under Option 1 compulsory licensing would remain in the remit of Member States and their effect would </w:t>
      </w:r>
      <w:r w:rsidR="00476E7F" w:rsidRPr="003B11BD">
        <w:rPr>
          <w:noProof/>
          <w:lang w:val="en-IE"/>
        </w:rPr>
        <w:t xml:space="preserve">be </w:t>
      </w:r>
      <w:r w:rsidRPr="003B11BD">
        <w:rPr>
          <w:noProof/>
          <w:lang w:val="en-IE"/>
        </w:rPr>
        <w:t xml:space="preserve">limited to the national territory. </w:t>
      </w:r>
      <w:r w:rsidR="007D3115" w:rsidRPr="003B11BD">
        <w:rPr>
          <w:noProof/>
          <w:lang w:val="en-IE"/>
        </w:rPr>
        <w:t>By clarifying</w:t>
      </w:r>
      <w:r w:rsidRPr="003B11BD">
        <w:rPr>
          <w:rStyle w:val="eop"/>
          <w:noProof/>
          <w:lang w:val="en-IE"/>
        </w:rPr>
        <w:t xml:space="preserve"> </w:t>
      </w:r>
      <w:r w:rsidR="007D3115" w:rsidRPr="003B11BD">
        <w:rPr>
          <w:rStyle w:val="eop"/>
          <w:noProof/>
          <w:lang w:val="en-IE"/>
        </w:rPr>
        <w:t xml:space="preserve">the </w:t>
      </w:r>
      <w:r w:rsidRPr="003B11BD">
        <w:rPr>
          <w:rStyle w:val="eop"/>
          <w:noProof/>
          <w:lang w:val="en-IE"/>
        </w:rPr>
        <w:t>obligations and flexibilities under the TRIPS agreement</w:t>
      </w:r>
      <w:r w:rsidR="007D3115" w:rsidRPr="003B11BD">
        <w:rPr>
          <w:rStyle w:val="eop"/>
          <w:noProof/>
          <w:lang w:val="en-IE"/>
        </w:rPr>
        <w:t>, the recommendation</w:t>
      </w:r>
      <w:r w:rsidRPr="003B11BD">
        <w:rPr>
          <w:rStyle w:val="eop"/>
          <w:noProof/>
          <w:lang w:val="en-IE"/>
        </w:rPr>
        <w:t xml:space="preserve"> would bring legal certainty as to the </w:t>
      </w:r>
      <w:r w:rsidR="00706847" w:rsidRPr="003B11BD">
        <w:rPr>
          <w:rStyle w:val="eop"/>
          <w:noProof/>
          <w:lang w:val="en-IE"/>
        </w:rPr>
        <w:t xml:space="preserve">possible </w:t>
      </w:r>
      <w:r w:rsidRPr="003B11BD">
        <w:rPr>
          <w:rStyle w:val="eop"/>
          <w:noProof/>
          <w:lang w:val="en-IE"/>
        </w:rPr>
        <w:t xml:space="preserve">territorial reach of </w:t>
      </w:r>
      <w:r w:rsidR="00706847" w:rsidRPr="003B11BD">
        <w:rPr>
          <w:rStyle w:val="eop"/>
          <w:noProof/>
          <w:lang w:val="en-IE"/>
        </w:rPr>
        <w:t xml:space="preserve">national </w:t>
      </w:r>
      <w:r w:rsidRPr="003B11BD">
        <w:rPr>
          <w:rStyle w:val="eop"/>
          <w:noProof/>
          <w:lang w:val="en-IE"/>
        </w:rPr>
        <w:t>compulsory licen</w:t>
      </w:r>
      <w:r w:rsidR="00672315" w:rsidRPr="003B11BD">
        <w:rPr>
          <w:rStyle w:val="eop"/>
          <w:noProof/>
          <w:lang w:val="en-IE"/>
        </w:rPr>
        <w:t>ce</w:t>
      </w:r>
      <w:r w:rsidRPr="003B11BD">
        <w:rPr>
          <w:rStyle w:val="eop"/>
          <w:noProof/>
          <w:lang w:val="en-IE"/>
        </w:rPr>
        <w:t>s, including on the possibility to export a part of the goods manufactured under a compulsory licence to another Member State. However, Member States would remain free to decide whether and how to take advantage of these flexibilities. In addition, the lack of EU-wide exhaustion would continue to limit the territorial reach of a compulsory licence. Multiple compulsory licences</w:t>
      </w:r>
      <w:r w:rsidRPr="003B11BD">
        <w:rPr>
          <w:rStyle w:val="FootnoteReference"/>
          <w:noProof/>
          <w:lang w:val="en-IE"/>
        </w:rPr>
        <w:footnoteReference w:id="129"/>
      </w:r>
      <w:r w:rsidRPr="003B11BD">
        <w:rPr>
          <w:rStyle w:val="eop"/>
          <w:noProof/>
          <w:lang w:val="en-IE"/>
        </w:rPr>
        <w:t xml:space="preserve"> would still be needed for distributing products produced under a compulsory licence within the </w:t>
      </w:r>
      <w:r w:rsidR="00D43F3F" w:rsidRPr="003B11BD">
        <w:rPr>
          <w:rStyle w:val="eop"/>
          <w:noProof/>
          <w:lang w:val="en-IE"/>
        </w:rPr>
        <w:t>Single Market</w:t>
      </w:r>
      <w:r w:rsidRPr="003B11BD">
        <w:rPr>
          <w:rStyle w:val="eop"/>
          <w:noProof/>
          <w:lang w:val="en-IE"/>
        </w:rPr>
        <w:t>. Coherence between the national compulsory licences would be subject to Member States’ willingness to carry out a joint harmonising effort of their national granting decisions and procedures. Consequently, the objective of giving national compulsory licences a more appropriate cross-border reach in</w:t>
      </w:r>
      <w:r w:rsidR="004814D2" w:rsidRPr="003B11BD">
        <w:rPr>
          <w:rStyle w:val="eop"/>
          <w:noProof/>
          <w:lang w:val="en-IE"/>
        </w:rPr>
        <w:t xml:space="preserve"> </w:t>
      </w:r>
      <w:r w:rsidRPr="003B11BD">
        <w:rPr>
          <w:rStyle w:val="eop"/>
          <w:noProof/>
          <w:lang w:val="en-IE"/>
        </w:rPr>
        <w:t xml:space="preserve">crisis </w:t>
      </w:r>
      <w:r w:rsidR="004814D2" w:rsidRPr="003B11BD">
        <w:rPr>
          <w:rStyle w:val="eop"/>
          <w:noProof/>
          <w:lang w:val="en-IE"/>
        </w:rPr>
        <w:t>would</w:t>
      </w:r>
      <w:r w:rsidRPr="003B11BD">
        <w:rPr>
          <w:rStyle w:val="eop"/>
          <w:noProof/>
          <w:lang w:val="en-IE"/>
        </w:rPr>
        <w:t xml:space="preserve"> be achieved to a very limited ex</w:t>
      </w:r>
      <w:r w:rsidR="00476E7F" w:rsidRPr="003B11BD">
        <w:rPr>
          <w:rStyle w:val="eop"/>
          <w:noProof/>
          <w:lang w:val="en-IE"/>
        </w:rPr>
        <w:t>tent under</w:t>
      </w:r>
      <w:r w:rsidRPr="003B11BD">
        <w:rPr>
          <w:rStyle w:val="eop"/>
          <w:noProof/>
          <w:lang w:val="en-IE"/>
        </w:rPr>
        <w:t xml:space="preserve"> Option 1. </w:t>
      </w:r>
    </w:p>
    <w:p w14:paraId="7E02D230" w14:textId="7325C652" w:rsidR="003A276A" w:rsidRPr="003B11BD" w:rsidRDefault="003A276A" w:rsidP="00ED49E6">
      <w:pPr>
        <w:pStyle w:val="Heading3"/>
        <w:rPr>
          <w:noProof/>
        </w:rPr>
      </w:pPr>
      <w:bookmarkStart w:id="269" w:name="_Toc121496261"/>
      <w:bookmarkStart w:id="270" w:name="_Toc121496352"/>
      <w:bookmarkStart w:id="271" w:name="_Toc121497994"/>
      <w:bookmarkStart w:id="272" w:name="_Toc121498091"/>
      <w:bookmarkStart w:id="273" w:name="_Toc121498188"/>
      <w:bookmarkStart w:id="274" w:name="_Toc121498285"/>
      <w:bookmarkStart w:id="275" w:name="_Toc121499717"/>
      <w:bookmarkStart w:id="276" w:name="_Toc121499814"/>
      <w:bookmarkStart w:id="277" w:name="_Toc121499911"/>
      <w:bookmarkStart w:id="278" w:name="_Toc121500008"/>
      <w:bookmarkStart w:id="279" w:name="_Toc121500105"/>
      <w:bookmarkStart w:id="280" w:name="_Toc121500202"/>
      <w:bookmarkStart w:id="281" w:name="_Toc121500744"/>
      <w:bookmarkStart w:id="282" w:name="_Toc121500981"/>
      <w:bookmarkStart w:id="283" w:name="_Toc121501804"/>
      <w:bookmarkStart w:id="284" w:name="_Toc121502386"/>
      <w:bookmarkStart w:id="285" w:name="_Toc121502980"/>
      <w:bookmarkStart w:id="286" w:name="_Toc121504997"/>
      <w:bookmarkStart w:id="287" w:name="_Toc121658228"/>
      <w:bookmarkStart w:id="288" w:name="_Toc121658496"/>
      <w:bookmarkStart w:id="289" w:name="_Toc121658816"/>
      <w:bookmarkStart w:id="290" w:name="_Toc121659490"/>
      <w:bookmarkStart w:id="291" w:name="_Toc121659574"/>
      <w:bookmarkStart w:id="292" w:name="_Toc121496262"/>
      <w:bookmarkStart w:id="293" w:name="_Toc121496353"/>
      <w:bookmarkStart w:id="294" w:name="_Toc121497995"/>
      <w:bookmarkStart w:id="295" w:name="_Toc121498092"/>
      <w:bookmarkStart w:id="296" w:name="_Toc121498189"/>
      <w:bookmarkStart w:id="297" w:name="_Toc121498286"/>
      <w:bookmarkStart w:id="298" w:name="_Toc121499718"/>
      <w:bookmarkStart w:id="299" w:name="_Toc121499815"/>
      <w:bookmarkStart w:id="300" w:name="_Toc121499912"/>
      <w:bookmarkStart w:id="301" w:name="_Toc121500009"/>
      <w:bookmarkStart w:id="302" w:name="_Toc121500106"/>
      <w:bookmarkStart w:id="303" w:name="_Toc121500203"/>
      <w:bookmarkStart w:id="304" w:name="_Toc121500745"/>
      <w:bookmarkStart w:id="305" w:name="_Toc121500982"/>
      <w:bookmarkStart w:id="306" w:name="_Toc121501805"/>
      <w:bookmarkStart w:id="307" w:name="_Toc121502387"/>
      <w:bookmarkStart w:id="308" w:name="_Toc121502981"/>
      <w:bookmarkStart w:id="309" w:name="_Toc121504998"/>
      <w:bookmarkStart w:id="310" w:name="_Toc121658229"/>
      <w:bookmarkStart w:id="311" w:name="_Toc121658497"/>
      <w:bookmarkStart w:id="312" w:name="_Toc121658817"/>
      <w:bookmarkStart w:id="313" w:name="_Toc121659491"/>
      <w:bookmarkStart w:id="314" w:name="_Toc121659575"/>
      <w:bookmarkStart w:id="315" w:name="_Toc120731223"/>
      <w:bookmarkStart w:id="316" w:name="_Toc121386382"/>
      <w:bookmarkStart w:id="317" w:name="_Toc121489600"/>
      <w:bookmarkStart w:id="318" w:name="_Toc121496354"/>
      <w:bookmarkStart w:id="319" w:name="_Toc121748019"/>
      <w:bookmarkStart w:id="320" w:name="_Toc133435372"/>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3B11BD">
        <w:rPr>
          <w:noProof/>
        </w:rPr>
        <w:t>Support to EU resilience</w:t>
      </w:r>
      <w:bookmarkEnd w:id="315"/>
      <w:bookmarkEnd w:id="316"/>
      <w:bookmarkEnd w:id="317"/>
      <w:bookmarkEnd w:id="318"/>
      <w:bookmarkEnd w:id="319"/>
      <w:bookmarkEnd w:id="320"/>
    </w:p>
    <w:p w14:paraId="4913126C" w14:textId="0596C9E8" w:rsidR="00DF1091" w:rsidRPr="003B11BD" w:rsidRDefault="4BDFED8D" w:rsidP="00DF1091">
      <w:pPr>
        <w:rPr>
          <w:noProof/>
          <w:lang w:val="en-IE"/>
        </w:rPr>
      </w:pPr>
      <w:r w:rsidRPr="003B11BD">
        <w:rPr>
          <w:noProof/>
          <w:lang w:val="en-IE"/>
        </w:rPr>
        <w:t xml:space="preserve">By identifying the </w:t>
      </w:r>
      <w:r w:rsidR="5515BB3B" w:rsidRPr="003B11BD">
        <w:rPr>
          <w:noProof/>
          <w:lang w:val="en-IE"/>
        </w:rPr>
        <w:t>relevant EU crisis instruments and related transparency and coordination requirements</w:t>
      </w:r>
      <w:r w:rsidRPr="003B11BD">
        <w:rPr>
          <w:noProof/>
          <w:lang w:val="en-IE"/>
        </w:rPr>
        <w:t>,</w:t>
      </w:r>
      <w:r w:rsidR="5515BB3B" w:rsidRPr="003B11BD">
        <w:rPr>
          <w:noProof/>
          <w:lang w:val="en-IE"/>
        </w:rPr>
        <w:t xml:space="preserve"> the recommendation would clarify the role compulsory </w:t>
      </w:r>
      <w:r w:rsidR="56CC4610" w:rsidRPr="003B11BD">
        <w:rPr>
          <w:noProof/>
          <w:lang w:val="en-IE"/>
        </w:rPr>
        <w:t>licensing</w:t>
      </w:r>
      <w:r w:rsidR="5515BB3B" w:rsidRPr="003B11BD">
        <w:rPr>
          <w:noProof/>
          <w:lang w:val="en-IE"/>
        </w:rPr>
        <w:t xml:space="preserve"> can play in the context of the different EU crisis instruments. In that respect, the recommendation could support the EU resilience by reinforcing coherence between national compulsory licences and EU crisis instruments. However, the decision to trigger the compulsory licence would remain </w:t>
      </w:r>
      <w:r w:rsidR="504188D4" w:rsidRPr="003B11BD">
        <w:rPr>
          <w:noProof/>
          <w:lang w:val="en-IE"/>
        </w:rPr>
        <w:t xml:space="preserve">in </w:t>
      </w:r>
      <w:r w:rsidR="5515BB3B" w:rsidRPr="003B11BD">
        <w:rPr>
          <w:noProof/>
          <w:lang w:val="en-IE"/>
        </w:rPr>
        <w:t xml:space="preserve">the Member Sates’ remit. A seamless embedding of national compulsory </w:t>
      </w:r>
      <w:r w:rsidR="56CC4610" w:rsidRPr="003B11BD">
        <w:rPr>
          <w:noProof/>
          <w:lang w:val="en-IE"/>
        </w:rPr>
        <w:t>licensing</w:t>
      </w:r>
      <w:r w:rsidR="5515BB3B" w:rsidRPr="003B11BD">
        <w:rPr>
          <w:noProof/>
          <w:lang w:val="en-IE"/>
        </w:rPr>
        <w:t xml:space="preserve"> schemes into EU crisis instruments is therefore not to be expected. The promotion of good practices in terms of cooperation, transparency and information sharing between Member States, including for compulsory licences for export purposes </w:t>
      </w:r>
      <w:r w:rsidR="5CC38AD7" w:rsidRPr="003B11BD">
        <w:rPr>
          <w:noProof/>
          <w:lang w:val="en-IE"/>
        </w:rPr>
        <w:t xml:space="preserve">to </w:t>
      </w:r>
      <w:r w:rsidR="002D606C" w:rsidRPr="003B11BD">
        <w:rPr>
          <w:noProof/>
          <w:lang w:val="en-IE"/>
        </w:rPr>
        <w:t xml:space="preserve">non-EU </w:t>
      </w:r>
      <w:r w:rsidR="5CC38AD7" w:rsidRPr="003B11BD">
        <w:rPr>
          <w:noProof/>
          <w:lang w:val="en-IE"/>
        </w:rPr>
        <w:t xml:space="preserve">countries </w:t>
      </w:r>
      <w:r w:rsidR="5515BB3B" w:rsidRPr="003B11BD">
        <w:rPr>
          <w:noProof/>
          <w:lang w:val="en-IE"/>
        </w:rPr>
        <w:t xml:space="preserve">would facilitate interaction among Member States and between Member States and the Commission. However, divergences regarding the granting authority of a compulsory licence would remain. National actors </w:t>
      </w:r>
      <w:r w:rsidR="64253D82" w:rsidRPr="003B11BD">
        <w:rPr>
          <w:noProof/>
          <w:lang w:val="en-IE"/>
        </w:rPr>
        <w:t xml:space="preserve">would remain </w:t>
      </w:r>
      <w:r w:rsidR="5515BB3B" w:rsidRPr="003B11BD">
        <w:rPr>
          <w:noProof/>
          <w:lang w:val="en-IE"/>
        </w:rPr>
        <w:t>diverse</w:t>
      </w:r>
      <w:r w:rsidR="64253D82" w:rsidRPr="003B11BD">
        <w:rPr>
          <w:noProof/>
          <w:lang w:val="en-IE"/>
        </w:rPr>
        <w:t>, which</w:t>
      </w:r>
      <w:r w:rsidR="5515BB3B" w:rsidRPr="003B11BD">
        <w:rPr>
          <w:noProof/>
          <w:lang w:val="en-IE"/>
        </w:rPr>
        <w:t xml:space="preserve"> would frustrate the possibility of communication between authorities across borders and could ultimately create barriers against engaging in holistic and uniform crisis responses across the EU. </w:t>
      </w:r>
    </w:p>
    <w:p w14:paraId="6202030B" w14:textId="5D92B87D" w:rsidR="003117F8" w:rsidRPr="003B11BD" w:rsidRDefault="00D7081B" w:rsidP="00ED49E6">
      <w:pPr>
        <w:pStyle w:val="Heading3"/>
        <w:rPr>
          <w:noProof/>
        </w:rPr>
      </w:pPr>
      <w:bookmarkStart w:id="321" w:name="_Toc121496264"/>
      <w:bookmarkStart w:id="322" w:name="_Toc121496355"/>
      <w:bookmarkStart w:id="323" w:name="_Toc121497997"/>
      <w:bookmarkStart w:id="324" w:name="_Toc121498094"/>
      <w:bookmarkStart w:id="325" w:name="_Toc121498191"/>
      <w:bookmarkStart w:id="326" w:name="_Toc121498288"/>
      <w:bookmarkStart w:id="327" w:name="_Toc121499720"/>
      <w:bookmarkStart w:id="328" w:name="_Toc121499817"/>
      <w:bookmarkStart w:id="329" w:name="_Toc121499914"/>
      <w:bookmarkStart w:id="330" w:name="_Toc121500011"/>
      <w:bookmarkStart w:id="331" w:name="_Toc121500108"/>
      <w:bookmarkStart w:id="332" w:name="_Toc121500205"/>
      <w:bookmarkStart w:id="333" w:name="_Toc121500747"/>
      <w:bookmarkStart w:id="334" w:name="_Toc121500984"/>
      <w:bookmarkStart w:id="335" w:name="_Toc121501807"/>
      <w:bookmarkStart w:id="336" w:name="_Toc121502389"/>
      <w:bookmarkStart w:id="337" w:name="_Toc121502983"/>
      <w:bookmarkStart w:id="338" w:name="_Toc121505000"/>
      <w:bookmarkStart w:id="339" w:name="_Toc121658231"/>
      <w:bookmarkStart w:id="340" w:name="_Toc121658499"/>
      <w:bookmarkStart w:id="341" w:name="_Toc121658819"/>
      <w:bookmarkStart w:id="342" w:name="_Toc121659493"/>
      <w:bookmarkStart w:id="343" w:name="_Toc121659577"/>
      <w:bookmarkStart w:id="344" w:name="_Toc121496265"/>
      <w:bookmarkStart w:id="345" w:name="_Toc121496356"/>
      <w:bookmarkStart w:id="346" w:name="_Toc121497998"/>
      <w:bookmarkStart w:id="347" w:name="_Toc121498095"/>
      <w:bookmarkStart w:id="348" w:name="_Toc121498192"/>
      <w:bookmarkStart w:id="349" w:name="_Toc121498289"/>
      <w:bookmarkStart w:id="350" w:name="_Toc121499721"/>
      <w:bookmarkStart w:id="351" w:name="_Toc121499818"/>
      <w:bookmarkStart w:id="352" w:name="_Toc121499915"/>
      <w:bookmarkStart w:id="353" w:name="_Toc121500012"/>
      <w:bookmarkStart w:id="354" w:name="_Toc121500109"/>
      <w:bookmarkStart w:id="355" w:name="_Toc121500206"/>
      <w:bookmarkStart w:id="356" w:name="_Toc121500748"/>
      <w:bookmarkStart w:id="357" w:name="_Toc121500985"/>
      <w:bookmarkStart w:id="358" w:name="_Toc121501808"/>
      <w:bookmarkStart w:id="359" w:name="_Toc121502390"/>
      <w:bookmarkStart w:id="360" w:name="_Toc121502984"/>
      <w:bookmarkStart w:id="361" w:name="_Toc121505001"/>
      <w:bookmarkStart w:id="362" w:name="_Toc121658232"/>
      <w:bookmarkStart w:id="363" w:name="_Toc121658500"/>
      <w:bookmarkStart w:id="364" w:name="_Toc121658820"/>
      <w:bookmarkStart w:id="365" w:name="_Toc121659494"/>
      <w:bookmarkStart w:id="366" w:name="_Toc121659578"/>
      <w:bookmarkStart w:id="367" w:name="_Toc121496266"/>
      <w:bookmarkStart w:id="368" w:name="_Toc121496357"/>
      <w:bookmarkStart w:id="369" w:name="_Toc121497999"/>
      <w:bookmarkStart w:id="370" w:name="_Toc121498096"/>
      <w:bookmarkStart w:id="371" w:name="_Toc121498193"/>
      <w:bookmarkStart w:id="372" w:name="_Toc121498290"/>
      <w:bookmarkStart w:id="373" w:name="_Toc121499722"/>
      <w:bookmarkStart w:id="374" w:name="_Toc121499819"/>
      <w:bookmarkStart w:id="375" w:name="_Toc121499916"/>
      <w:bookmarkStart w:id="376" w:name="_Toc121500013"/>
      <w:bookmarkStart w:id="377" w:name="_Toc121500110"/>
      <w:bookmarkStart w:id="378" w:name="_Toc121500207"/>
      <w:bookmarkStart w:id="379" w:name="_Toc121500749"/>
      <w:bookmarkStart w:id="380" w:name="_Toc121500986"/>
      <w:bookmarkStart w:id="381" w:name="_Toc121501809"/>
      <w:bookmarkStart w:id="382" w:name="_Toc121502391"/>
      <w:bookmarkStart w:id="383" w:name="_Toc121502985"/>
      <w:bookmarkStart w:id="384" w:name="_Toc121505002"/>
      <w:bookmarkStart w:id="385" w:name="_Toc121658233"/>
      <w:bookmarkStart w:id="386" w:name="_Toc121658501"/>
      <w:bookmarkStart w:id="387" w:name="_Toc121658821"/>
      <w:bookmarkStart w:id="388" w:name="_Toc121659495"/>
      <w:bookmarkStart w:id="389" w:name="_Toc121659579"/>
      <w:bookmarkStart w:id="390" w:name="_Toc121386383"/>
      <w:bookmarkStart w:id="391" w:name="_Toc121489601"/>
      <w:bookmarkStart w:id="392" w:name="_Toc121496358"/>
      <w:bookmarkStart w:id="393" w:name="_Toc121748020"/>
      <w:bookmarkStart w:id="394" w:name="_Toc133435373"/>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3B11BD">
        <w:rPr>
          <w:noProof/>
        </w:rPr>
        <w:t>Impacts</w:t>
      </w:r>
      <w:r w:rsidR="009B3C37" w:rsidRPr="003B11BD">
        <w:rPr>
          <w:noProof/>
        </w:rPr>
        <w:t xml:space="preserve"> per stakeholder group</w:t>
      </w:r>
      <w:bookmarkEnd w:id="390"/>
      <w:bookmarkEnd w:id="391"/>
      <w:bookmarkEnd w:id="392"/>
      <w:bookmarkEnd w:id="393"/>
      <w:bookmarkEnd w:id="394"/>
    </w:p>
    <w:p w14:paraId="0A2638D4" w14:textId="4DCA9F1C" w:rsidR="009B3C37" w:rsidRPr="003B11BD" w:rsidRDefault="20FF0359" w:rsidP="009B3C37">
      <w:pPr>
        <w:rPr>
          <w:noProof/>
          <w:lang w:val="en-IE"/>
        </w:rPr>
      </w:pPr>
      <w:r w:rsidRPr="003B11BD">
        <w:rPr>
          <w:noProof/>
          <w:lang w:val="en-IE"/>
        </w:rPr>
        <w:t xml:space="preserve">As </w:t>
      </w:r>
      <w:r w:rsidR="00675E25" w:rsidRPr="003B11BD">
        <w:rPr>
          <w:noProof/>
          <w:lang w:val="en-IE"/>
        </w:rPr>
        <w:t>P</w:t>
      </w:r>
      <w:r w:rsidRPr="003B11BD">
        <w:rPr>
          <w:noProof/>
          <w:lang w:val="en-IE"/>
        </w:rPr>
        <w:t xml:space="preserve">O1 would be based on </w:t>
      </w:r>
      <w:r w:rsidR="000C4478" w:rsidRPr="003B11BD">
        <w:rPr>
          <w:noProof/>
          <w:lang w:val="en-IE"/>
        </w:rPr>
        <w:t>non-binding actions</w:t>
      </w:r>
      <w:r w:rsidRPr="003B11BD">
        <w:rPr>
          <w:noProof/>
          <w:lang w:val="en-IE"/>
        </w:rPr>
        <w:t>, the cost and benefits are to a large extent uncertain, as they depe</w:t>
      </w:r>
      <w:r w:rsidR="73A7757D" w:rsidRPr="003B11BD">
        <w:rPr>
          <w:noProof/>
          <w:lang w:val="en-IE"/>
        </w:rPr>
        <w:t>nd on individual decisions of each Member State</w:t>
      </w:r>
      <w:r w:rsidRPr="003B11BD">
        <w:rPr>
          <w:noProof/>
          <w:lang w:val="en-IE"/>
        </w:rPr>
        <w:t xml:space="preserve">. </w:t>
      </w:r>
      <w:r w:rsidR="001C10F5" w:rsidRPr="003B11BD">
        <w:rPr>
          <w:noProof/>
          <w:lang w:val="en-IE"/>
        </w:rPr>
        <w:t>First, the countries which decide to apply t</w:t>
      </w:r>
      <w:r w:rsidR="00DF468C" w:rsidRPr="003B11BD">
        <w:rPr>
          <w:noProof/>
          <w:lang w:val="en-IE"/>
        </w:rPr>
        <w:t>he recommendation on good practices would bear certain one-off</w:t>
      </w:r>
      <w:r w:rsidR="001C10F5" w:rsidRPr="003B11BD">
        <w:rPr>
          <w:noProof/>
          <w:lang w:val="en-IE"/>
        </w:rPr>
        <w:t xml:space="preserve"> cost of implementing </w:t>
      </w:r>
      <w:r w:rsidR="00DF468C" w:rsidRPr="003B11BD">
        <w:rPr>
          <w:noProof/>
          <w:lang w:val="en-IE"/>
        </w:rPr>
        <w:t>them</w:t>
      </w:r>
      <w:r w:rsidR="00F97DEE" w:rsidRPr="003B11BD">
        <w:rPr>
          <w:noProof/>
          <w:lang w:val="en-IE"/>
        </w:rPr>
        <w:t>. Second</w:t>
      </w:r>
      <w:r w:rsidRPr="003B11BD">
        <w:rPr>
          <w:noProof/>
          <w:lang w:val="en-IE"/>
        </w:rPr>
        <w:t xml:space="preserve">, </w:t>
      </w:r>
      <w:r w:rsidR="4A7D8E7A" w:rsidRPr="003B11BD">
        <w:rPr>
          <w:noProof/>
          <w:lang w:val="en-IE"/>
        </w:rPr>
        <w:t xml:space="preserve">if </w:t>
      </w:r>
      <w:r w:rsidR="73A7757D" w:rsidRPr="003B11BD">
        <w:rPr>
          <w:noProof/>
          <w:lang w:val="en-IE"/>
        </w:rPr>
        <w:t xml:space="preserve">the </w:t>
      </w:r>
      <w:r w:rsidR="4A7D8E7A" w:rsidRPr="003B11BD">
        <w:rPr>
          <w:noProof/>
          <w:lang w:val="en-IE"/>
        </w:rPr>
        <w:t xml:space="preserve">majority of </w:t>
      </w:r>
      <w:r w:rsidR="00F97DEE" w:rsidRPr="003B11BD">
        <w:rPr>
          <w:noProof/>
          <w:lang w:val="en-IE"/>
        </w:rPr>
        <w:t xml:space="preserve">Member States </w:t>
      </w:r>
      <w:r w:rsidR="000C4478" w:rsidRPr="003B11BD">
        <w:rPr>
          <w:noProof/>
          <w:lang w:val="en-IE"/>
        </w:rPr>
        <w:t xml:space="preserve">follows such </w:t>
      </w:r>
      <w:r w:rsidR="009B3C37" w:rsidRPr="003B11BD" w:rsidDel="4A7D8E7A">
        <w:rPr>
          <w:noProof/>
          <w:lang w:val="en-IE"/>
        </w:rPr>
        <w:t>approach</w:t>
      </w:r>
      <w:r w:rsidR="14163A45" w:rsidRPr="003B11BD">
        <w:rPr>
          <w:noProof/>
          <w:lang w:val="en-IE"/>
        </w:rPr>
        <w:t>,</w:t>
      </w:r>
      <w:r w:rsidR="4A7D8E7A" w:rsidRPr="003B11BD">
        <w:rPr>
          <w:noProof/>
          <w:lang w:val="en-IE"/>
        </w:rPr>
        <w:t xml:space="preserve"> then</w:t>
      </w:r>
      <w:r w:rsidRPr="003B11BD">
        <w:rPr>
          <w:noProof/>
          <w:lang w:val="en-IE"/>
        </w:rPr>
        <w:t xml:space="preserve"> it could be assumed that </w:t>
      </w:r>
      <w:r w:rsidR="00B540C0" w:rsidRPr="003B11BD">
        <w:rPr>
          <w:noProof/>
          <w:lang w:val="en-IE"/>
        </w:rPr>
        <w:t>impact</w:t>
      </w:r>
      <w:r w:rsidRPr="003B11BD">
        <w:rPr>
          <w:noProof/>
          <w:lang w:val="en-IE"/>
        </w:rPr>
        <w:t xml:space="preserve"> discussed in </w:t>
      </w:r>
      <w:r w:rsidR="000B44D7" w:rsidRPr="003B11BD">
        <w:rPr>
          <w:noProof/>
          <w:lang w:val="en-IE"/>
        </w:rPr>
        <w:fldChar w:fldCharType="begin"/>
      </w:r>
      <w:r w:rsidR="000B44D7" w:rsidRPr="003B11BD">
        <w:rPr>
          <w:noProof/>
          <w:lang w:val="en-IE"/>
        </w:rPr>
        <w:instrText xml:space="preserve"> REF _Ref121487778 \h </w:instrText>
      </w:r>
      <w:r w:rsidR="0010202B" w:rsidRPr="003B11BD">
        <w:rPr>
          <w:noProof/>
          <w:lang w:val="en-IE"/>
        </w:rPr>
        <w:instrText xml:space="preserve"> \* MERGEFORMAT </w:instrText>
      </w:r>
      <w:r w:rsidR="000B44D7" w:rsidRPr="003B11BD">
        <w:rPr>
          <w:noProof/>
          <w:lang w:val="en-IE"/>
        </w:rPr>
      </w:r>
      <w:r w:rsidR="000B44D7" w:rsidRPr="003B11BD">
        <w:rPr>
          <w:noProof/>
          <w:lang w:val="en-IE"/>
        </w:rPr>
        <w:fldChar w:fldCharType="separate"/>
      </w:r>
      <w:r w:rsidR="00C6592A" w:rsidRPr="003B11BD">
        <w:rPr>
          <w:noProof/>
          <w:lang w:val="en-IE"/>
        </w:rPr>
        <w:t xml:space="preserve">Table </w:t>
      </w:r>
      <w:r w:rsidR="00C6592A">
        <w:rPr>
          <w:noProof/>
          <w:lang w:val="en-IE"/>
        </w:rPr>
        <w:t>2</w:t>
      </w:r>
      <w:r w:rsidR="000B44D7" w:rsidRPr="003B11BD">
        <w:rPr>
          <w:noProof/>
          <w:lang w:val="en-IE"/>
        </w:rPr>
        <w:fldChar w:fldCharType="end"/>
      </w:r>
      <w:r w:rsidRPr="003B11BD">
        <w:rPr>
          <w:noProof/>
          <w:lang w:val="en-IE"/>
        </w:rPr>
        <w:t xml:space="preserve"> </w:t>
      </w:r>
      <w:r w:rsidR="4A7D8E7A" w:rsidRPr="003B11BD">
        <w:rPr>
          <w:noProof/>
          <w:lang w:val="en-IE"/>
        </w:rPr>
        <w:t>below, can indeed materialise</w:t>
      </w:r>
      <w:r w:rsidR="00993331" w:rsidRPr="003B11BD">
        <w:rPr>
          <w:noProof/>
          <w:lang w:val="en-IE"/>
        </w:rPr>
        <w:t xml:space="preserve"> </w:t>
      </w:r>
      <w:r w:rsidR="007976EA" w:rsidRPr="003B11BD">
        <w:rPr>
          <w:noProof/>
          <w:lang w:val="en-IE"/>
        </w:rPr>
        <w:t>in the event of a</w:t>
      </w:r>
      <w:r w:rsidR="00993331" w:rsidRPr="003B11BD">
        <w:rPr>
          <w:noProof/>
          <w:lang w:val="en-IE"/>
        </w:rPr>
        <w:t xml:space="preserve"> cross-border crisis</w:t>
      </w:r>
      <w:r w:rsidR="4A7D8E7A" w:rsidRPr="003B11BD">
        <w:rPr>
          <w:noProof/>
          <w:lang w:val="en-IE"/>
        </w:rPr>
        <w:t>.</w:t>
      </w:r>
    </w:p>
    <w:p w14:paraId="05E360F7" w14:textId="7245146E" w:rsidR="00617F27" w:rsidRPr="003B11BD" w:rsidRDefault="00617F27" w:rsidP="009075D3">
      <w:pPr>
        <w:pStyle w:val="Caption"/>
        <w:keepNext/>
        <w:rPr>
          <w:noProof/>
          <w:lang w:val="en-IE"/>
        </w:rPr>
      </w:pPr>
      <w:bookmarkStart w:id="395" w:name="_Ref121168329"/>
      <w:bookmarkStart w:id="396" w:name="_Ref121487778"/>
      <w:r w:rsidRPr="003B11BD">
        <w:rPr>
          <w:noProof/>
          <w:lang w:val="en-IE"/>
        </w:rPr>
        <w:t xml:space="preserve">Table </w:t>
      </w:r>
      <w:bookmarkEnd w:id="395"/>
      <w:r w:rsidR="00C6592A">
        <w:rPr>
          <w:noProof/>
          <w:lang w:val="en-IE"/>
        </w:rPr>
        <w:t>2</w:t>
      </w:r>
      <w:bookmarkEnd w:id="396"/>
      <w:r w:rsidRPr="003B11BD">
        <w:rPr>
          <w:noProof/>
          <w:lang w:val="en-IE"/>
        </w:rPr>
        <w:t xml:space="preserve">: </w:t>
      </w:r>
      <w:r w:rsidR="00D7081B" w:rsidRPr="003B11BD">
        <w:rPr>
          <w:noProof/>
          <w:lang w:val="en-IE"/>
        </w:rPr>
        <w:t>Impacts on stakeholders</w:t>
      </w:r>
      <w:r w:rsidR="001C10F5" w:rsidRPr="003B11BD">
        <w:rPr>
          <w:noProof/>
          <w:lang w:val="en-IE"/>
        </w:rPr>
        <w:t xml:space="preserve"> </w:t>
      </w:r>
      <w:r w:rsidR="007976EA" w:rsidRPr="003B11BD">
        <w:rPr>
          <w:noProof/>
          <w:lang w:val="en-IE"/>
        </w:rPr>
        <w:t>in the event of a</w:t>
      </w:r>
      <w:r w:rsidR="00993331" w:rsidRPr="003B11BD">
        <w:rPr>
          <w:noProof/>
          <w:lang w:val="en-IE"/>
        </w:rPr>
        <w:t xml:space="preserve"> cross-border</w:t>
      </w:r>
      <w:r w:rsidR="001C10F5" w:rsidRPr="003B11BD">
        <w:rPr>
          <w:noProof/>
          <w:lang w:val="en-IE"/>
        </w:rPr>
        <w:t xml:space="preserve"> crisis</w:t>
      </w:r>
      <w:r w:rsidR="00D7081B" w:rsidRPr="003B11BD">
        <w:rPr>
          <w:noProof/>
          <w:lang w:val="en-IE"/>
        </w:rPr>
        <w:t xml:space="preserve"> - </w:t>
      </w:r>
      <w:r w:rsidRPr="003B11BD">
        <w:rPr>
          <w:noProof/>
          <w:lang w:val="en-IE"/>
        </w:rPr>
        <w:t xml:space="preserve">Option 1 </w:t>
      </w:r>
      <w:r w:rsidR="000D42C0" w:rsidRPr="003B11BD">
        <w:rPr>
          <w:noProof/>
          <w:lang w:val="en-IE"/>
        </w:rPr>
        <w:t>compared to the baseline</w:t>
      </w:r>
    </w:p>
    <w:tbl>
      <w:tblPr>
        <w:tblStyle w:val="TableGrid"/>
        <w:tblW w:w="9039" w:type="dxa"/>
        <w:tblLayout w:type="fixed"/>
        <w:tblLook w:val="04A0" w:firstRow="1" w:lastRow="0" w:firstColumn="1" w:lastColumn="0" w:noHBand="0" w:noVBand="1"/>
      </w:tblPr>
      <w:tblGrid>
        <w:gridCol w:w="1418"/>
        <w:gridCol w:w="5778"/>
        <w:gridCol w:w="1843"/>
      </w:tblGrid>
      <w:tr w:rsidR="00CA222E" w:rsidRPr="003B11BD" w14:paraId="3F0596A1" w14:textId="4AFDF68B" w:rsidTr="004A10C5">
        <w:tc>
          <w:tcPr>
            <w:tcW w:w="1418" w:type="dxa"/>
            <w:tcBorders>
              <w:top w:val="single" w:sz="12" w:space="0" w:color="FFFFFF" w:themeColor="background1"/>
              <w:left w:val="single" w:sz="12" w:space="0" w:color="FFFFFF" w:themeColor="background1"/>
            </w:tcBorders>
          </w:tcPr>
          <w:p w14:paraId="419F89F9" w14:textId="163ED62C" w:rsidR="00CA222E" w:rsidRPr="003B11BD" w:rsidRDefault="00CA222E" w:rsidP="00CA222E">
            <w:pPr>
              <w:pStyle w:val="NoSpacing"/>
              <w:rPr>
                <w:noProof/>
                <w:lang w:val="en-IE"/>
              </w:rPr>
            </w:pPr>
          </w:p>
        </w:tc>
        <w:tc>
          <w:tcPr>
            <w:tcW w:w="5778" w:type="dxa"/>
          </w:tcPr>
          <w:p w14:paraId="721ABD9E" w14:textId="6DCB5E24" w:rsidR="00CA222E" w:rsidRPr="003B11BD" w:rsidRDefault="00CA222E" w:rsidP="00CA222E">
            <w:pPr>
              <w:pStyle w:val="NoSpacing"/>
              <w:rPr>
                <w:b/>
                <w:noProof/>
                <w:lang w:val="en-IE"/>
              </w:rPr>
            </w:pPr>
            <w:r w:rsidRPr="003B11BD">
              <w:rPr>
                <w:b/>
                <w:noProof/>
                <w:lang w:val="en-IE"/>
              </w:rPr>
              <w:t>Advantages</w:t>
            </w:r>
          </w:p>
        </w:tc>
        <w:tc>
          <w:tcPr>
            <w:tcW w:w="1843" w:type="dxa"/>
          </w:tcPr>
          <w:p w14:paraId="0BE80838" w14:textId="76372E6F" w:rsidR="00CA222E" w:rsidRPr="003B11BD" w:rsidRDefault="00993331" w:rsidP="00CA222E">
            <w:pPr>
              <w:pStyle w:val="NoSpacing"/>
              <w:rPr>
                <w:b/>
                <w:noProof/>
                <w:lang w:val="en-IE"/>
              </w:rPr>
            </w:pPr>
            <w:r w:rsidRPr="003B11BD">
              <w:rPr>
                <w:b/>
                <w:noProof/>
                <w:lang w:val="en-IE"/>
              </w:rPr>
              <w:t>Disadvantages</w:t>
            </w:r>
          </w:p>
        </w:tc>
      </w:tr>
      <w:tr w:rsidR="00CA222E" w:rsidRPr="003B11BD" w14:paraId="78114694" w14:textId="58D56E20" w:rsidTr="004A10C5">
        <w:tc>
          <w:tcPr>
            <w:tcW w:w="1418" w:type="dxa"/>
          </w:tcPr>
          <w:p w14:paraId="54706FDC" w14:textId="06F36321" w:rsidR="00CA222E" w:rsidRPr="003B11BD" w:rsidRDefault="00CA222E" w:rsidP="00CA222E">
            <w:pPr>
              <w:pStyle w:val="NoSpacing"/>
              <w:rPr>
                <w:noProof/>
                <w:lang w:val="en-IE"/>
              </w:rPr>
            </w:pPr>
            <w:r w:rsidRPr="003B11BD">
              <w:rPr>
                <w:noProof/>
                <w:lang w:val="en-IE"/>
              </w:rPr>
              <w:t>Patent owners</w:t>
            </w:r>
          </w:p>
        </w:tc>
        <w:tc>
          <w:tcPr>
            <w:tcW w:w="5778" w:type="dxa"/>
          </w:tcPr>
          <w:p w14:paraId="1A8A6EC3" w14:textId="292166FF" w:rsidR="00CA222E" w:rsidRPr="003B11BD" w:rsidRDefault="22DA9627" w:rsidP="0053626E">
            <w:pPr>
              <w:pStyle w:val="NoSpacing"/>
              <w:ind w:left="-37"/>
              <w:rPr>
                <w:noProof/>
                <w:lang w:val="en-IE"/>
              </w:rPr>
            </w:pPr>
            <w:r w:rsidRPr="003B11BD">
              <w:rPr>
                <w:noProof/>
                <w:lang w:val="en-IE"/>
              </w:rPr>
              <w:t>(0/+) Some</w:t>
            </w:r>
            <w:r w:rsidR="4102C906" w:rsidRPr="003B11BD">
              <w:rPr>
                <w:noProof/>
                <w:lang w:val="en-IE"/>
              </w:rPr>
              <w:t xml:space="preserve">what </w:t>
            </w:r>
            <w:r w:rsidRPr="003B11BD">
              <w:rPr>
                <w:noProof/>
                <w:lang w:val="en-IE"/>
              </w:rPr>
              <w:t xml:space="preserve">lower costs of </w:t>
            </w:r>
            <w:r w:rsidR="00E6068C" w:rsidRPr="003B11BD">
              <w:rPr>
                <w:noProof/>
                <w:lang w:val="en-IE"/>
              </w:rPr>
              <w:t xml:space="preserve">compulsory licensing </w:t>
            </w:r>
            <w:r w:rsidRPr="003B11BD">
              <w:rPr>
                <w:noProof/>
                <w:lang w:val="en-IE"/>
              </w:rPr>
              <w:t xml:space="preserve">negotiations, </w:t>
            </w:r>
            <w:r w:rsidRPr="003B11BD">
              <w:rPr>
                <w:noProof/>
                <w:u w:val="single"/>
                <w:lang w:val="en-IE"/>
              </w:rPr>
              <w:t>if recommendation applied by majority of MS</w:t>
            </w:r>
            <w:r w:rsidRPr="003B11BD">
              <w:rPr>
                <w:noProof/>
                <w:lang w:val="en-IE"/>
              </w:rPr>
              <w:t>.</w:t>
            </w:r>
          </w:p>
          <w:p w14:paraId="68904D2E" w14:textId="05CD6A0E" w:rsidR="00CA222E" w:rsidRPr="003B11BD" w:rsidRDefault="22DA9627" w:rsidP="0053626E">
            <w:pPr>
              <w:pStyle w:val="NoSpacing"/>
              <w:ind w:left="-37"/>
              <w:rPr>
                <w:noProof/>
                <w:lang w:val="en-IE"/>
              </w:rPr>
            </w:pPr>
            <w:r w:rsidRPr="003B11BD">
              <w:rPr>
                <w:noProof/>
                <w:lang w:val="en-IE"/>
              </w:rPr>
              <w:t xml:space="preserve">(0/+) </w:t>
            </w:r>
            <w:r w:rsidR="34703167" w:rsidRPr="003B11BD">
              <w:rPr>
                <w:noProof/>
                <w:lang w:val="en-IE"/>
              </w:rPr>
              <w:t>Increased legal certainty (e.g. m</w:t>
            </w:r>
            <w:r w:rsidRPr="003B11BD">
              <w:rPr>
                <w:noProof/>
                <w:lang w:val="en-IE"/>
              </w:rPr>
              <w:t xml:space="preserve">ore clarity on </w:t>
            </w:r>
            <w:r w:rsidR="746BAB86" w:rsidRPr="003B11BD">
              <w:rPr>
                <w:noProof/>
                <w:lang w:val="en-IE"/>
              </w:rPr>
              <w:t xml:space="preserve">the scope and </w:t>
            </w:r>
            <w:r w:rsidRPr="003B11BD">
              <w:rPr>
                <w:noProof/>
                <w:lang w:val="en-IE"/>
              </w:rPr>
              <w:t xml:space="preserve">what </w:t>
            </w:r>
            <w:r w:rsidR="2F896943" w:rsidRPr="003B11BD">
              <w:rPr>
                <w:noProof/>
                <w:lang w:val="en-IE"/>
              </w:rPr>
              <w:t>amount of</w:t>
            </w:r>
            <w:r w:rsidRPr="003B11BD">
              <w:rPr>
                <w:noProof/>
                <w:lang w:val="en-IE"/>
              </w:rPr>
              <w:t xml:space="preserve"> remuneration may be expected</w:t>
            </w:r>
            <w:r w:rsidR="34703167" w:rsidRPr="003B11BD">
              <w:rPr>
                <w:noProof/>
                <w:lang w:val="en-IE"/>
              </w:rPr>
              <w:t>)</w:t>
            </w:r>
            <w:r w:rsidRPr="003B11BD">
              <w:rPr>
                <w:noProof/>
                <w:lang w:val="en-IE"/>
              </w:rPr>
              <w:t xml:space="preserve">, </w:t>
            </w:r>
            <w:r w:rsidRPr="003B11BD">
              <w:rPr>
                <w:noProof/>
                <w:u w:val="single"/>
                <w:lang w:val="en-IE"/>
              </w:rPr>
              <w:t>if recommendation applied by majority of MS</w:t>
            </w:r>
            <w:r w:rsidRPr="003B11BD">
              <w:rPr>
                <w:noProof/>
                <w:lang w:val="en-IE"/>
              </w:rPr>
              <w:t>.</w:t>
            </w:r>
          </w:p>
        </w:tc>
        <w:tc>
          <w:tcPr>
            <w:tcW w:w="1843" w:type="dxa"/>
          </w:tcPr>
          <w:p w14:paraId="0EEEB59E" w14:textId="7282AD75" w:rsidR="00CA222E" w:rsidRPr="003B11BD" w:rsidRDefault="22DA9627" w:rsidP="0053626E">
            <w:pPr>
              <w:pStyle w:val="NoSpacing"/>
              <w:ind w:left="-37"/>
              <w:rPr>
                <w:noProof/>
                <w:lang w:val="en-IE"/>
              </w:rPr>
            </w:pPr>
            <w:r w:rsidRPr="003B11BD">
              <w:rPr>
                <w:noProof/>
                <w:lang w:val="en-IE"/>
              </w:rPr>
              <w:t>/</w:t>
            </w:r>
          </w:p>
        </w:tc>
      </w:tr>
      <w:tr w:rsidR="00CA222E" w:rsidRPr="003B11BD" w14:paraId="6F9BA208" w14:textId="406993D7" w:rsidTr="004A10C5">
        <w:tc>
          <w:tcPr>
            <w:tcW w:w="1418" w:type="dxa"/>
          </w:tcPr>
          <w:p w14:paraId="49CD8258" w14:textId="7C1D279A" w:rsidR="00CA222E" w:rsidRPr="003B11BD" w:rsidRDefault="00CA222E" w:rsidP="00CA222E">
            <w:pPr>
              <w:pStyle w:val="NoSpacing"/>
              <w:rPr>
                <w:noProof/>
                <w:lang w:val="en-IE"/>
              </w:rPr>
            </w:pPr>
            <w:r w:rsidRPr="003B11BD">
              <w:rPr>
                <w:noProof/>
                <w:lang w:val="en-IE"/>
              </w:rPr>
              <w:t>Manufacturers – potential licensees</w:t>
            </w:r>
          </w:p>
        </w:tc>
        <w:tc>
          <w:tcPr>
            <w:tcW w:w="5778" w:type="dxa"/>
          </w:tcPr>
          <w:p w14:paraId="7BD31C48" w14:textId="182E4732" w:rsidR="00CA222E" w:rsidRPr="003B11BD" w:rsidRDefault="22DA9627" w:rsidP="0053626E">
            <w:pPr>
              <w:pStyle w:val="NoSpacing"/>
              <w:ind w:left="-37"/>
              <w:rPr>
                <w:noProof/>
                <w:lang w:val="en-IE"/>
              </w:rPr>
            </w:pPr>
            <w:r w:rsidRPr="003B11BD">
              <w:rPr>
                <w:noProof/>
                <w:lang w:val="en-IE"/>
              </w:rPr>
              <w:t>(0/+) Some</w:t>
            </w:r>
            <w:r w:rsidR="3B27CDBE" w:rsidRPr="003B11BD">
              <w:rPr>
                <w:noProof/>
                <w:lang w:val="en-IE"/>
              </w:rPr>
              <w:t>what</w:t>
            </w:r>
            <w:r w:rsidRPr="003B11BD">
              <w:rPr>
                <w:noProof/>
                <w:lang w:val="en-IE"/>
              </w:rPr>
              <w:t xml:space="preserve"> lower costs of </w:t>
            </w:r>
            <w:r w:rsidR="00E6068C" w:rsidRPr="003B11BD">
              <w:rPr>
                <w:noProof/>
                <w:lang w:val="en-IE"/>
              </w:rPr>
              <w:t xml:space="preserve">compulsory licensing </w:t>
            </w:r>
            <w:r w:rsidRPr="003B11BD">
              <w:rPr>
                <w:noProof/>
                <w:lang w:val="en-IE"/>
              </w:rPr>
              <w:t xml:space="preserve">negotiations </w:t>
            </w:r>
            <w:r w:rsidRPr="003B11BD">
              <w:rPr>
                <w:noProof/>
                <w:u w:val="single"/>
                <w:lang w:val="en-IE"/>
              </w:rPr>
              <w:t>if recommendation applied by majority of MS</w:t>
            </w:r>
            <w:r w:rsidRPr="003B11BD">
              <w:rPr>
                <w:noProof/>
                <w:lang w:val="en-IE"/>
              </w:rPr>
              <w:t xml:space="preserve">. </w:t>
            </w:r>
          </w:p>
        </w:tc>
        <w:tc>
          <w:tcPr>
            <w:tcW w:w="1843" w:type="dxa"/>
          </w:tcPr>
          <w:p w14:paraId="2D59775F" w14:textId="364567B9" w:rsidR="00CA222E" w:rsidRPr="003B11BD" w:rsidRDefault="22DA9627" w:rsidP="0053626E">
            <w:pPr>
              <w:pStyle w:val="NoSpacing"/>
              <w:ind w:left="-37"/>
              <w:rPr>
                <w:noProof/>
                <w:lang w:val="en-IE"/>
              </w:rPr>
            </w:pPr>
            <w:r w:rsidRPr="003B11BD">
              <w:rPr>
                <w:noProof/>
                <w:lang w:val="en-IE"/>
              </w:rPr>
              <w:t>/</w:t>
            </w:r>
          </w:p>
        </w:tc>
      </w:tr>
      <w:tr w:rsidR="00CA222E" w:rsidRPr="003B11BD" w14:paraId="4A0DD0A4" w14:textId="619D1411" w:rsidTr="004A10C5">
        <w:tc>
          <w:tcPr>
            <w:tcW w:w="1418" w:type="dxa"/>
          </w:tcPr>
          <w:p w14:paraId="40A4119B" w14:textId="1585F6C8" w:rsidR="00CA222E" w:rsidRPr="003B11BD" w:rsidRDefault="00270487" w:rsidP="00CA222E">
            <w:pPr>
              <w:pStyle w:val="NoSpacing"/>
              <w:rPr>
                <w:noProof/>
                <w:lang w:val="en-IE"/>
              </w:rPr>
            </w:pPr>
            <w:r w:rsidRPr="003B11BD">
              <w:rPr>
                <w:noProof/>
                <w:lang w:val="en-IE"/>
              </w:rPr>
              <w:t>EU countries</w:t>
            </w:r>
          </w:p>
        </w:tc>
        <w:tc>
          <w:tcPr>
            <w:tcW w:w="5778" w:type="dxa"/>
          </w:tcPr>
          <w:p w14:paraId="60B8352B" w14:textId="31B53F7C" w:rsidR="00CA222E" w:rsidRPr="003B11BD" w:rsidRDefault="22DA9627" w:rsidP="0053626E">
            <w:pPr>
              <w:pStyle w:val="NoSpacing"/>
              <w:ind w:left="-37"/>
              <w:rPr>
                <w:noProof/>
                <w:lang w:val="en-IE"/>
              </w:rPr>
            </w:pPr>
            <w:r w:rsidRPr="003B11BD">
              <w:rPr>
                <w:noProof/>
                <w:lang w:val="en-IE"/>
              </w:rPr>
              <w:t xml:space="preserve">(0/+) Marginally lower costs of </w:t>
            </w:r>
            <w:r w:rsidR="364756CE" w:rsidRPr="003B11BD">
              <w:rPr>
                <w:noProof/>
                <w:lang w:val="en-IE"/>
              </w:rPr>
              <w:t>running</w:t>
            </w:r>
            <w:r w:rsidRPr="003B11BD">
              <w:rPr>
                <w:noProof/>
                <w:lang w:val="en-IE"/>
              </w:rPr>
              <w:t xml:space="preserve"> the </w:t>
            </w:r>
            <w:r w:rsidR="00E6068C" w:rsidRPr="003B11BD">
              <w:rPr>
                <w:noProof/>
                <w:lang w:val="en-IE"/>
              </w:rPr>
              <w:t xml:space="preserve">compulsory licensing </w:t>
            </w:r>
            <w:r w:rsidRPr="003B11BD">
              <w:rPr>
                <w:noProof/>
                <w:lang w:val="en-IE"/>
              </w:rPr>
              <w:t xml:space="preserve">procedure as </w:t>
            </w:r>
            <w:r w:rsidR="005E4F9D" w:rsidRPr="003B11BD">
              <w:rPr>
                <w:noProof/>
                <w:lang w:val="en-IE"/>
              </w:rPr>
              <w:t xml:space="preserve">EU countries </w:t>
            </w:r>
            <w:r w:rsidRPr="003B11BD">
              <w:rPr>
                <w:noProof/>
                <w:lang w:val="en-IE"/>
              </w:rPr>
              <w:t>can rely on additional information or support from other MS</w:t>
            </w:r>
            <w:r w:rsidR="004E6979" w:rsidRPr="003B11BD">
              <w:rPr>
                <w:noProof/>
                <w:lang w:val="en-IE"/>
              </w:rPr>
              <w:t xml:space="preserve">, but the main cost of launching and implementing the </w:t>
            </w:r>
            <w:r w:rsidR="00E6068C" w:rsidRPr="003B11BD">
              <w:rPr>
                <w:noProof/>
                <w:lang w:val="en-IE"/>
              </w:rPr>
              <w:t xml:space="preserve">compulsory licensing </w:t>
            </w:r>
            <w:r w:rsidR="004E6979" w:rsidRPr="003B11BD">
              <w:rPr>
                <w:noProof/>
                <w:lang w:val="en-IE"/>
              </w:rPr>
              <w:t>procedure (negotiations with the patent holders and manufacturers) remain unchanged.</w:t>
            </w:r>
          </w:p>
        </w:tc>
        <w:tc>
          <w:tcPr>
            <w:tcW w:w="1843" w:type="dxa"/>
          </w:tcPr>
          <w:p w14:paraId="6217BF84" w14:textId="52502E48" w:rsidR="00CA222E" w:rsidRPr="003B11BD" w:rsidRDefault="22DA9627" w:rsidP="004A10C5">
            <w:pPr>
              <w:pStyle w:val="NoSpacing"/>
              <w:ind w:left="-37"/>
              <w:rPr>
                <w:noProof/>
                <w:lang w:val="en-IE"/>
              </w:rPr>
            </w:pPr>
            <w:r w:rsidRPr="003B11BD">
              <w:rPr>
                <w:noProof/>
                <w:lang w:val="en-IE"/>
              </w:rPr>
              <w:t xml:space="preserve">(0/-) Cost of information exchange with other </w:t>
            </w:r>
            <w:r w:rsidR="005E4F9D" w:rsidRPr="003B11BD">
              <w:rPr>
                <w:noProof/>
                <w:lang w:val="en-IE"/>
              </w:rPr>
              <w:t xml:space="preserve">EU countries </w:t>
            </w:r>
            <w:r w:rsidR="004A10C5" w:rsidRPr="003B11BD">
              <w:rPr>
                <w:noProof/>
                <w:lang w:val="en-IE"/>
              </w:rPr>
              <w:t xml:space="preserve">and the EC </w:t>
            </w:r>
            <w:r w:rsidRPr="003B11BD">
              <w:rPr>
                <w:noProof/>
                <w:lang w:val="en-IE"/>
              </w:rPr>
              <w:t>(</w:t>
            </w:r>
            <w:r w:rsidR="004A10C5" w:rsidRPr="003B11BD">
              <w:rPr>
                <w:noProof/>
                <w:lang w:val="en-IE"/>
              </w:rPr>
              <w:t>optional</w:t>
            </w:r>
            <w:r w:rsidRPr="003B11BD">
              <w:rPr>
                <w:noProof/>
                <w:lang w:val="en-IE"/>
              </w:rPr>
              <w:t xml:space="preserve">). </w:t>
            </w:r>
          </w:p>
        </w:tc>
      </w:tr>
      <w:tr w:rsidR="00CA222E" w:rsidRPr="003B11BD" w14:paraId="3D3FAE21" w14:textId="415097DF" w:rsidTr="004A10C5">
        <w:tc>
          <w:tcPr>
            <w:tcW w:w="1418" w:type="dxa"/>
          </w:tcPr>
          <w:p w14:paraId="0F0A0177" w14:textId="0792D9B9" w:rsidR="00CA222E" w:rsidRPr="003B11BD" w:rsidRDefault="00270487" w:rsidP="00A96DF8">
            <w:pPr>
              <w:pStyle w:val="NoSpacing"/>
              <w:rPr>
                <w:noProof/>
                <w:lang w:val="en-IE"/>
              </w:rPr>
            </w:pPr>
            <w:r w:rsidRPr="003B11BD">
              <w:rPr>
                <w:noProof/>
                <w:lang w:val="en-IE"/>
              </w:rPr>
              <w:t>The general public (</w:t>
            </w:r>
            <w:r w:rsidR="000A407D" w:rsidRPr="003B11BD">
              <w:rPr>
                <w:noProof/>
                <w:lang w:val="en-IE"/>
              </w:rPr>
              <w:t xml:space="preserve">EU </w:t>
            </w:r>
            <w:r w:rsidR="00A96DF8" w:rsidRPr="003B11BD">
              <w:rPr>
                <w:noProof/>
                <w:lang w:val="en-IE"/>
              </w:rPr>
              <w:t>c</w:t>
            </w:r>
            <w:r w:rsidR="00CA222E" w:rsidRPr="003B11BD">
              <w:rPr>
                <w:noProof/>
                <w:lang w:val="en-IE"/>
              </w:rPr>
              <w:t>itizens</w:t>
            </w:r>
            <w:r w:rsidRPr="003B11BD">
              <w:rPr>
                <w:noProof/>
                <w:lang w:val="en-IE"/>
              </w:rPr>
              <w:t>)</w:t>
            </w:r>
          </w:p>
        </w:tc>
        <w:tc>
          <w:tcPr>
            <w:tcW w:w="5778" w:type="dxa"/>
          </w:tcPr>
          <w:p w14:paraId="7173DAFB" w14:textId="59C52802" w:rsidR="00CA222E" w:rsidRPr="003B11BD" w:rsidRDefault="22DA9627" w:rsidP="0053626E">
            <w:pPr>
              <w:pStyle w:val="NoSpacing"/>
              <w:ind w:left="-37"/>
              <w:rPr>
                <w:noProof/>
                <w:lang w:val="en-IE"/>
              </w:rPr>
            </w:pPr>
            <w:r w:rsidRPr="003B11BD">
              <w:rPr>
                <w:noProof/>
                <w:lang w:val="en-IE"/>
              </w:rPr>
              <w:t xml:space="preserve">(0/+) Marginally lower risk of </w:t>
            </w:r>
            <w:r w:rsidR="004E6979" w:rsidRPr="003B11BD">
              <w:rPr>
                <w:noProof/>
                <w:lang w:val="en-IE"/>
              </w:rPr>
              <w:t xml:space="preserve">delays or </w:t>
            </w:r>
            <w:r w:rsidRPr="003B11BD">
              <w:rPr>
                <w:noProof/>
                <w:lang w:val="en-IE"/>
              </w:rPr>
              <w:t xml:space="preserve">unavailability of critical products during crisis, </w:t>
            </w:r>
            <w:r w:rsidRPr="003B11BD">
              <w:rPr>
                <w:noProof/>
                <w:u w:val="single"/>
                <w:lang w:val="en-IE"/>
              </w:rPr>
              <w:t>if recommendation applied by majority of MS.</w:t>
            </w:r>
          </w:p>
        </w:tc>
        <w:tc>
          <w:tcPr>
            <w:tcW w:w="1843" w:type="dxa"/>
          </w:tcPr>
          <w:p w14:paraId="4BDF2ADD" w14:textId="30295589" w:rsidR="00CA222E" w:rsidRPr="003B11BD" w:rsidRDefault="22DA9627" w:rsidP="0053626E">
            <w:pPr>
              <w:pStyle w:val="NoSpacing"/>
              <w:ind w:left="-37"/>
              <w:rPr>
                <w:noProof/>
                <w:lang w:val="en-IE"/>
              </w:rPr>
            </w:pPr>
            <w:r w:rsidRPr="003B11BD">
              <w:rPr>
                <w:noProof/>
                <w:lang w:val="en-IE"/>
              </w:rPr>
              <w:t>/</w:t>
            </w:r>
          </w:p>
        </w:tc>
      </w:tr>
      <w:tr w:rsidR="00CA222E" w:rsidRPr="003B11BD" w14:paraId="0E25C20F" w14:textId="7FEB38A9" w:rsidTr="004A10C5">
        <w:tc>
          <w:tcPr>
            <w:tcW w:w="1418" w:type="dxa"/>
          </w:tcPr>
          <w:p w14:paraId="745BEE2E" w14:textId="75EE07E9" w:rsidR="00CA222E" w:rsidRPr="003B11BD" w:rsidRDefault="00EF1136" w:rsidP="00CA222E">
            <w:pPr>
              <w:pStyle w:val="NoSpacing"/>
              <w:rPr>
                <w:noProof/>
                <w:lang w:val="en-IE"/>
              </w:rPr>
            </w:pPr>
            <w:r w:rsidRPr="003B11BD">
              <w:rPr>
                <w:noProof/>
                <w:lang w:val="en-IE"/>
              </w:rPr>
              <w:t>Non-EU</w:t>
            </w:r>
            <w:r w:rsidR="00CA222E" w:rsidRPr="003B11BD">
              <w:rPr>
                <w:noProof/>
                <w:lang w:val="en-IE"/>
              </w:rPr>
              <w:t xml:space="preserve"> countries</w:t>
            </w:r>
          </w:p>
        </w:tc>
        <w:tc>
          <w:tcPr>
            <w:tcW w:w="5778" w:type="dxa"/>
          </w:tcPr>
          <w:p w14:paraId="3233F409" w14:textId="29749AF4" w:rsidR="00CA222E" w:rsidRPr="003B11BD" w:rsidRDefault="22DA9627" w:rsidP="0053626E">
            <w:pPr>
              <w:pStyle w:val="NoSpacing"/>
              <w:ind w:left="-37"/>
              <w:rPr>
                <w:noProof/>
                <w:lang w:val="en-IE"/>
              </w:rPr>
            </w:pPr>
            <w:r w:rsidRPr="003B11BD">
              <w:rPr>
                <w:noProof/>
                <w:lang w:val="en-IE"/>
              </w:rPr>
              <w:t>(0/+) Some</w:t>
            </w:r>
            <w:r w:rsidR="3B27CDBE" w:rsidRPr="003B11BD">
              <w:rPr>
                <w:noProof/>
                <w:lang w:val="en-IE"/>
              </w:rPr>
              <w:t>what lower costs and</w:t>
            </w:r>
            <w:r w:rsidRPr="003B11BD">
              <w:rPr>
                <w:noProof/>
                <w:lang w:val="en-IE"/>
              </w:rPr>
              <w:t xml:space="preserve"> improvement in legal certainty</w:t>
            </w:r>
            <w:r w:rsidR="53CD0A71" w:rsidRPr="003B11BD">
              <w:rPr>
                <w:noProof/>
                <w:lang w:val="en-IE"/>
              </w:rPr>
              <w:t xml:space="preserve"> </w:t>
            </w:r>
            <w:r w:rsidR="008F064F" w:rsidRPr="003B11BD">
              <w:rPr>
                <w:noProof/>
                <w:lang w:val="en-IE"/>
              </w:rPr>
              <w:t xml:space="preserve">as regards </w:t>
            </w:r>
            <w:r w:rsidR="00E6068C" w:rsidRPr="003B11BD">
              <w:rPr>
                <w:noProof/>
                <w:lang w:val="en-IE"/>
              </w:rPr>
              <w:t xml:space="preserve">compulsory licensing </w:t>
            </w:r>
            <w:r w:rsidR="008F064F" w:rsidRPr="003B11BD">
              <w:rPr>
                <w:noProof/>
                <w:lang w:val="en-IE"/>
              </w:rPr>
              <w:t>for export</w:t>
            </w:r>
            <w:r w:rsidRPr="003B11BD">
              <w:rPr>
                <w:noProof/>
                <w:lang w:val="en-IE"/>
              </w:rPr>
              <w:t xml:space="preserve">, </w:t>
            </w:r>
            <w:r w:rsidRPr="003B11BD">
              <w:rPr>
                <w:noProof/>
                <w:u w:val="single"/>
                <w:lang w:val="en-IE"/>
              </w:rPr>
              <w:t>if recommendation applied by majority of MS</w:t>
            </w:r>
            <w:r w:rsidRPr="003B11BD">
              <w:rPr>
                <w:noProof/>
                <w:lang w:val="en-IE"/>
              </w:rPr>
              <w:t>.</w:t>
            </w:r>
          </w:p>
        </w:tc>
        <w:tc>
          <w:tcPr>
            <w:tcW w:w="1843" w:type="dxa"/>
          </w:tcPr>
          <w:p w14:paraId="7DE9B0FD" w14:textId="31A58945" w:rsidR="00CA222E" w:rsidRPr="003B11BD" w:rsidRDefault="22DA9627" w:rsidP="0053626E">
            <w:pPr>
              <w:pStyle w:val="NoSpacing"/>
              <w:ind w:left="-37"/>
              <w:rPr>
                <w:noProof/>
                <w:lang w:val="en-IE"/>
              </w:rPr>
            </w:pPr>
            <w:r w:rsidRPr="003B11BD">
              <w:rPr>
                <w:noProof/>
                <w:lang w:val="en-IE"/>
              </w:rPr>
              <w:t>/</w:t>
            </w:r>
          </w:p>
        </w:tc>
      </w:tr>
    </w:tbl>
    <w:p w14:paraId="499D098D" w14:textId="6FE2C2AB" w:rsidR="008F59D5" w:rsidRPr="003B11BD" w:rsidRDefault="00EF063C" w:rsidP="0019192A">
      <w:pPr>
        <w:pStyle w:val="Caption"/>
        <w:rPr>
          <w:noProof/>
          <w:lang w:val="en-IE"/>
        </w:rPr>
      </w:pPr>
      <w:r w:rsidRPr="003B11BD">
        <w:rPr>
          <w:noProof/>
          <w:lang w:val="en-IE"/>
        </w:rPr>
        <w:t>Note: (0) neutral impact; (+) minor positive impact; (++) positive impact; (+++) significant positive impact; (-) minor negative impact; (- -) negative impact; (- - -) significant negative impact</w:t>
      </w:r>
    </w:p>
    <w:p w14:paraId="5AA965C3" w14:textId="484652C1" w:rsidR="009A6222" w:rsidRPr="003B11BD" w:rsidRDefault="009A6222" w:rsidP="009A6222">
      <w:pPr>
        <w:rPr>
          <w:noProof/>
          <w:lang w:val="en-IE"/>
        </w:rPr>
      </w:pPr>
      <w:r w:rsidRPr="003B11BD">
        <w:rPr>
          <w:noProof/>
          <w:lang w:val="en-IE"/>
        </w:rPr>
        <w:t xml:space="preserve">The impacts on </w:t>
      </w:r>
      <w:r w:rsidRPr="003B11BD">
        <w:rPr>
          <w:b/>
          <w:noProof/>
          <w:lang w:val="en-IE"/>
        </w:rPr>
        <w:t xml:space="preserve">patent </w:t>
      </w:r>
      <w:r w:rsidR="005C6997" w:rsidRPr="003B11BD">
        <w:rPr>
          <w:b/>
          <w:noProof/>
          <w:lang w:val="en-IE"/>
        </w:rPr>
        <w:t>owners</w:t>
      </w:r>
      <w:r w:rsidR="005C6997" w:rsidRPr="003B11BD">
        <w:rPr>
          <w:noProof/>
          <w:lang w:val="en-IE"/>
        </w:rPr>
        <w:t xml:space="preserve"> </w:t>
      </w:r>
      <w:r w:rsidRPr="003B11BD">
        <w:rPr>
          <w:noProof/>
          <w:lang w:val="en-IE"/>
        </w:rPr>
        <w:t>would stay broadly the sa</w:t>
      </w:r>
      <w:r w:rsidR="00C8226F" w:rsidRPr="003B11BD">
        <w:rPr>
          <w:noProof/>
          <w:lang w:val="en-IE"/>
        </w:rPr>
        <w:t>me as in the baseline. The c</w:t>
      </w:r>
      <w:r w:rsidRPr="003B11BD">
        <w:rPr>
          <w:noProof/>
          <w:lang w:val="en-IE"/>
        </w:rPr>
        <w:t xml:space="preserve">ost </w:t>
      </w:r>
      <w:r w:rsidR="00C8226F" w:rsidRPr="003B11BD">
        <w:rPr>
          <w:noProof/>
          <w:lang w:val="en-IE"/>
        </w:rPr>
        <w:t>of participating</w:t>
      </w:r>
      <w:r w:rsidRPr="003B11BD">
        <w:rPr>
          <w:noProof/>
          <w:lang w:val="en-IE"/>
        </w:rPr>
        <w:t xml:space="preserve"> in </w:t>
      </w:r>
      <w:r w:rsidR="00E6068C" w:rsidRPr="003B11BD">
        <w:rPr>
          <w:noProof/>
          <w:lang w:val="en-IE"/>
        </w:rPr>
        <w:t xml:space="preserve">compulsory licensing </w:t>
      </w:r>
      <w:r w:rsidRPr="003B11BD">
        <w:rPr>
          <w:noProof/>
          <w:lang w:val="en-IE"/>
        </w:rPr>
        <w:t>negotiations</w:t>
      </w:r>
      <w:r w:rsidR="00C8226F" w:rsidRPr="003B11BD">
        <w:rPr>
          <w:noProof/>
          <w:lang w:val="en-IE"/>
        </w:rPr>
        <w:t xml:space="preserve"> would still be borne in each jurisdictions concerned, but they</w:t>
      </w:r>
      <w:r w:rsidRPr="003B11BD">
        <w:rPr>
          <w:noProof/>
          <w:lang w:val="en-IE"/>
        </w:rPr>
        <w:t xml:space="preserve"> could be</w:t>
      </w:r>
      <w:r w:rsidR="00993331" w:rsidRPr="003B11BD">
        <w:rPr>
          <w:noProof/>
          <w:lang w:val="en-IE"/>
        </w:rPr>
        <w:t xml:space="preserve"> </w:t>
      </w:r>
      <w:r w:rsidRPr="003B11BD">
        <w:rPr>
          <w:noProof/>
          <w:lang w:val="en-IE"/>
        </w:rPr>
        <w:t>marginally lower if the compulsory licence features gain in coheren</w:t>
      </w:r>
      <w:r w:rsidR="00DF468C" w:rsidRPr="003B11BD">
        <w:rPr>
          <w:noProof/>
          <w:lang w:val="en-IE"/>
        </w:rPr>
        <w:t>ce</w:t>
      </w:r>
      <w:r w:rsidRPr="003B11BD">
        <w:rPr>
          <w:noProof/>
          <w:lang w:val="en-IE"/>
        </w:rPr>
        <w:t xml:space="preserve"> across the EU. </w:t>
      </w:r>
      <w:r w:rsidR="00C8226F" w:rsidRPr="003B11BD">
        <w:rPr>
          <w:noProof/>
          <w:lang w:val="en-IE"/>
        </w:rPr>
        <w:t>Recommendations could improve legal certainty of patent holders, for example as regards the determination of remuneration (still, the</w:t>
      </w:r>
      <w:r w:rsidRPr="003B11BD">
        <w:rPr>
          <w:noProof/>
          <w:lang w:val="en-IE"/>
        </w:rPr>
        <w:t xml:space="preserve"> remuneration t</w:t>
      </w:r>
      <w:r w:rsidR="00C8226F" w:rsidRPr="003B11BD">
        <w:rPr>
          <w:noProof/>
          <w:lang w:val="en-IE"/>
        </w:rPr>
        <w:t>o compensate the loss of income is</w:t>
      </w:r>
      <w:r w:rsidRPr="003B11BD">
        <w:rPr>
          <w:noProof/>
          <w:lang w:val="en-IE"/>
        </w:rPr>
        <w:t xml:space="preserve"> likely be lower than the one to be received in voluntary agreements</w:t>
      </w:r>
      <w:r w:rsidR="00C8226F" w:rsidRPr="003B11BD">
        <w:rPr>
          <w:noProof/>
          <w:lang w:val="en-IE"/>
        </w:rPr>
        <w:t>)</w:t>
      </w:r>
      <w:r w:rsidRPr="003B11BD">
        <w:rPr>
          <w:noProof/>
          <w:lang w:val="en-IE"/>
        </w:rPr>
        <w:t xml:space="preserve">. </w:t>
      </w:r>
      <w:r w:rsidRPr="003B11BD">
        <w:rPr>
          <w:b/>
          <w:noProof/>
          <w:lang w:val="en-IE"/>
        </w:rPr>
        <w:t>Potential licensees</w:t>
      </w:r>
      <w:r w:rsidRPr="003B11BD">
        <w:rPr>
          <w:noProof/>
          <w:lang w:val="en-IE"/>
        </w:rPr>
        <w:t xml:space="preserve"> would not experience much difference compared to the baseline scenario, except for a more streamlined approach of negotiations, </w:t>
      </w:r>
      <w:r w:rsidR="00C37DDE" w:rsidRPr="003B11BD">
        <w:rPr>
          <w:noProof/>
          <w:lang w:val="en-IE"/>
        </w:rPr>
        <w:t xml:space="preserve">and consequently marginally lower participating costs, </w:t>
      </w:r>
      <w:r w:rsidRPr="003B11BD">
        <w:rPr>
          <w:noProof/>
          <w:lang w:val="en-IE"/>
        </w:rPr>
        <w:t xml:space="preserve">should recommendations be implemented at national level. </w:t>
      </w:r>
      <w:r w:rsidR="00270487" w:rsidRPr="003B11BD">
        <w:rPr>
          <w:b/>
          <w:noProof/>
          <w:lang w:val="en-IE"/>
        </w:rPr>
        <w:t>EU countries</w:t>
      </w:r>
      <w:r w:rsidRPr="003B11BD">
        <w:rPr>
          <w:noProof/>
          <w:lang w:val="en-IE"/>
        </w:rPr>
        <w:t xml:space="preserve"> </w:t>
      </w:r>
      <w:r w:rsidR="00C8226F" w:rsidRPr="003B11BD">
        <w:rPr>
          <w:noProof/>
          <w:lang w:val="en-IE"/>
        </w:rPr>
        <w:t xml:space="preserve">could entail </w:t>
      </w:r>
      <w:r w:rsidR="00DF468C" w:rsidRPr="003B11BD">
        <w:rPr>
          <w:noProof/>
          <w:lang w:val="en-IE"/>
        </w:rPr>
        <w:t xml:space="preserve">costs should they decide to implement the recommendation as regards cooperation, transparency and information sharing. </w:t>
      </w:r>
      <w:r w:rsidR="00C8226F" w:rsidRPr="003B11BD">
        <w:rPr>
          <w:noProof/>
          <w:lang w:val="en-IE"/>
        </w:rPr>
        <w:t xml:space="preserve">The costs of running </w:t>
      </w:r>
      <w:r w:rsidR="00E6068C" w:rsidRPr="003B11BD">
        <w:rPr>
          <w:noProof/>
          <w:lang w:val="en-IE"/>
        </w:rPr>
        <w:t xml:space="preserve">compulsory licensing </w:t>
      </w:r>
      <w:r w:rsidR="00C8226F" w:rsidRPr="003B11BD">
        <w:rPr>
          <w:noProof/>
          <w:lang w:val="en-IE"/>
        </w:rPr>
        <w:t xml:space="preserve">procedures </w:t>
      </w:r>
      <w:r w:rsidRPr="003B11BD">
        <w:rPr>
          <w:noProof/>
          <w:lang w:val="en-IE"/>
        </w:rPr>
        <w:t xml:space="preserve">could be decreased should all Member States adopt a more coherent approach to national compulsory licensing and share information thereon. Under the condition that the respective Member State makes use of the </w:t>
      </w:r>
      <w:r w:rsidR="00DB11BD" w:rsidRPr="003B11BD">
        <w:rPr>
          <w:noProof/>
          <w:lang w:val="en-IE"/>
        </w:rPr>
        <w:t>recommendation</w:t>
      </w:r>
      <w:r w:rsidRPr="003B11BD">
        <w:rPr>
          <w:noProof/>
          <w:lang w:val="en-IE"/>
        </w:rPr>
        <w:t xml:space="preserve">, </w:t>
      </w:r>
      <w:r w:rsidRPr="003B11BD">
        <w:rPr>
          <w:b/>
          <w:noProof/>
          <w:lang w:val="en-IE"/>
        </w:rPr>
        <w:t>citizens</w:t>
      </w:r>
      <w:r w:rsidRPr="003B11BD">
        <w:rPr>
          <w:noProof/>
          <w:lang w:val="en-IE"/>
        </w:rPr>
        <w:t xml:space="preserve"> might profit from an improved welfare as their possibility of gaining access to critical products would be more </w:t>
      </w:r>
      <w:r w:rsidR="00DB11BD" w:rsidRPr="003B11BD">
        <w:rPr>
          <w:noProof/>
          <w:lang w:val="en-IE"/>
        </w:rPr>
        <w:t>effective</w:t>
      </w:r>
      <w:r w:rsidRPr="003B11BD">
        <w:rPr>
          <w:noProof/>
          <w:lang w:val="en-IE"/>
        </w:rPr>
        <w:t xml:space="preserve">. If Member States would implement EU-wide best practices on cooperation, transparency and information sharing for export purposes, </w:t>
      </w:r>
      <w:r w:rsidR="002D606C" w:rsidRPr="003B11BD">
        <w:rPr>
          <w:b/>
          <w:noProof/>
          <w:lang w:val="en-IE"/>
        </w:rPr>
        <w:t xml:space="preserve">non-EU </w:t>
      </w:r>
      <w:r w:rsidRPr="003B11BD">
        <w:rPr>
          <w:b/>
          <w:noProof/>
          <w:lang w:val="en-IE"/>
        </w:rPr>
        <w:t>countries</w:t>
      </w:r>
      <w:r w:rsidRPr="003B11BD">
        <w:rPr>
          <w:noProof/>
          <w:lang w:val="en-IE"/>
        </w:rPr>
        <w:t xml:space="preserve"> might benefit of increased legal certainty and some administrative savings.</w:t>
      </w:r>
    </w:p>
    <w:p w14:paraId="682B5C47" w14:textId="0B673260" w:rsidR="001951F7" w:rsidRPr="003B11BD" w:rsidRDefault="002A143E" w:rsidP="000E3086">
      <w:pPr>
        <w:pStyle w:val="Heading2"/>
        <w:rPr>
          <w:rStyle w:val="normaltextrun"/>
          <w:noProof/>
          <w:lang w:val="en-IE"/>
        </w:rPr>
      </w:pPr>
      <w:bookmarkStart w:id="397" w:name="_Toc121496268"/>
      <w:bookmarkStart w:id="398" w:name="_Toc121496359"/>
      <w:bookmarkStart w:id="399" w:name="_Toc121498001"/>
      <w:bookmarkStart w:id="400" w:name="_Toc121498098"/>
      <w:bookmarkStart w:id="401" w:name="_Toc121498195"/>
      <w:bookmarkStart w:id="402" w:name="_Toc121498292"/>
      <w:bookmarkStart w:id="403" w:name="_Toc121499724"/>
      <w:bookmarkStart w:id="404" w:name="_Toc121499821"/>
      <w:bookmarkStart w:id="405" w:name="_Toc121499918"/>
      <w:bookmarkStart w:id="406" w:name="_Toc121500015"/>
      <w:bookmarkStart w:id="407" w:name="_Toc121500112"/>
      <w:bookmarkStart w:id="408" w:name="_Toc121500209"/>
      <w:bookmarkStart w:id="409" w:name="_Toc121500988"/>
      <w:bookmarkStart w:id="410" w:name="_Toc121502393"/>
      <w:bookmarkStart w:id="411" w:name="_Toc121502987"/>
      <w:bookmarkStart w:id="412" w:name="_Toc121505004"/>
      <w:bookmarkStart w:id="413" w:name="_Toc121658235"/>
      <w:bookmarkStart w:id="414" w:name="_Toc121658503"/>
      <w:bookmarkStart w:id="415" w:name="_Toc121659581"/>
      <w:bookmarkStart w:id="416" w:name="_Toc121496269"/>
      <w:bookmarkStart w:id="417" w:name="_Toc121496360"/>
      <w:bookmarkStart w:id="418" w:name="_Toc121498002"/>
      <w:bookmarkStart w:id="419" w:name="_Toc121498099"/>
      <w:bookmarkStart w:id="420" w:name="_Toc121498196"/>
      <w:bookmarkStart w:id="421" w:name="_Toc121498293"/>
      <w:bookmarkStart w:id="422" w:name="_Toc121499725"/>
      <w:bookmarkStart w:id="423" w:name="_Toc121499822"/>
      <w:bookmarkStart w:id="424" w:name="_Toc121499919"/>
      <w:bookmarkStart w:id="425" w:name="_Toc121500016"/>
      <w:bookmarkStart w:id="426" w:name="_Toc121500113"/>
      <w:bookmarkStart w:id="427" w:name="_Toc121500210"/>
      <w:bookmarkStart w:id="428" w:name="_Toc121500989"/>
      <w:bookmarkStart w:id="429" w:name="_Toc121502394"/>
      <w:bookmarkStart w:id="430" w:name="_Toc121502988"/>
      <w:bookmarkStart w:id="431" w:name="_Toc121505005"/>
      <w:bookmarkStart w:id="432" w:name="_Toc121658236"/>
      <w:bookmarkStart w:id="433" w:name="_Toc121658504"/>
      <w:bookmarkStart w:id="434" w:name="_Toc121659582"/>
      <w:bookmarkStart w:id="435" w:name="_Toc121496270"/>
      <w:bookmarkStart w:id="436" w:name="_Toc121496361"/>
      <w:bookmarkStart w:id="437" w:name="_Toc121498003"/>
      <w:bookmarkStart w:id="438" w:name="_Toc121498100"/>
      <w:bookmarkStart w:id="439" w:name="_Toc121498197"/>
      <w:bookmarkStart w:id="440" w:name="_Toc121498294"/>
      <w:bookmarkStart w:id="441" w:name="_Toc121499726"/>
      <w:bookmarkStart w:id="442" w:name="_Toc121499823"/>
      <w:bookmarkStart w:id="443" w:name="_Toc121499920"/>
      <w:bookmarkStart w:id="444" w:name="_Toc121500017"/>
      <w:bookmarkStart w:id="445" w:name="_Toc121500114"/>
      <w:bookmarkStart w:id="446" w:name="_Toc121500211"/>
      <w:bookmarkStart w:id="447" w:name="_Toc121500990"/>
      <w:bookmarkStart w:id="448" w:name="_Toc121502395"/>
      <w:bookmarkStart w:id="449" w:name="_Toc121502989"/>
      <w:bookmarkStart w:id="450" w:name="_Toc121505006"/>
      <w:bookmarkStart w:id="451" w:name="_Toc121658237"/>
      <w:bookmarkStart w:id="452" w:name="_Toc121658505"/>
      <w:bookmarkStart w:id="453" w:name="_Toc121659583"/>
      <w:bookmarkStart w:id="454" w:name="_Toc120731225"/>
      <w:bookmarkStart w:id="455" w:name="_Toc121386384"/>
      <w:bookmarkStart w:id="456" w:name="_Toc121489602"/>
      <w:bookmarkStart w:id="457" w:name="_Toc121496362"/>
      <w:bookmarkStart w:id="458" w:name="_Toc121748021"/>
      <w:bookmarkStart w:id="459" w:name="_Toc133435374"/>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3B11BD">
        <w:rPr>
          <w:noProof/>
          <w:lang w:val="en-IE"/>
        </w:rPr>
        <w:t xml:space="preserve">Option 2 – </w:t>
      </w:r>
      <w:r w:rsidRPr="003B11BD">
        <w:rPr>
          <w:rStyle w:val="normaltextrun"/>
          <w:noProof/>
          <w:lang w:val="en-IE"/>
        </w:rPr>
        <w:t>Harmonisation of national laws on compulsory licensing for crisis management</w:t>
      </w:r>
      <w:bookmarkEnd w:id="454"/>
      <w:bookmarkEnd w:id="455"/>
      <w:bookmarkEnd w:id="456"/>
      <w:bookmarkEnd w:id="457"/>
      <w:bookmarkEnd w:id="458"/>
      <w:bookmarkEnd w:id="459"/>
    </w:p>
    <w:p w14:paraId="503AB201" w14:textId="02E5365D" w:rsidR="00FF27EF" w:rsidRPr="003B11BD" w:rsidRDefault="00C412C4" w:rsidP="00ED49E6">
      <w:pPr>
        <w:pStyle w:val="Heading3"/>
        <w:rPr>
          <w:noProof/>
        </w:rPr>
      </w:pPr>
      <w:bookmarkStart w:id="460" w:name="_Toc121489603"/>
      <w:bookmarkStart w:id="461" w:name="_Toc121496363"/>
      <w:bookmarkStart w:id="462" w:name="_Toc121748022"/>
      <w:bookmarkStart w:id="463" w:name="_Toc133435375"/>
      <w:bookmarkStart w:id="464" w:name="_Toc120731226"/>
      <w:bookmarkStart w:id="465" w:name="_Toc121386385"/>
      <w:r w:rsidRPr="003B11BD">
        <w:rPr>
          <w:noProof/>
        </w:rPr>
        <w:t>Improve the key features</w:t>
      </w:r>
      <w:r w:rsidR="00FF27EF" w:rsidRPr="003B11BD">
        <w:rPr>
          <w:noProof/>
        </w:rPr>
        <w:t xml:space="preserve"> of compulsory licensing</w:t>
      </w:r>
      <w:bookmarkEnd w:id="460"/>
      <w:bookmarkEnd w:id="461"/>
      <w:bookmarkEnd w:id="462"/>
      <w:bookmarkEnd w:id="463"/>
    </w:p>
    <w:bookmarkEnd w:id="464"/>
    <w:bookmarkEnd w:id="465"/>
    <w:p w14:paraId="2AA9B50D" w14:textId="1FEB4452" w:rsidR="003E1EC8" w:rsidRPr="003B11BD" w:rsidRDefault="0007341F" w:rsidP="003E1EC8">
      <w:pPr>
        <w:pStyle w:val="Text2"/>
        <w:ind w:left="0"/>
        <w:rPr>
          <w:noProof/>
          <w:lang w:val="en-IE"/>
        </w:rPr>
      </w:pPr>
      <w:r w:rsidRPr="003B11BD">
        <w:rPr>
          <w:noProof/>
          <w:lang w:val="en-IE"/>
        </w:rPr>
        <w:t>Under PO</w:t>
      </w:r>
      <w:r w:rsidR="003E1EC8" w:rsidRPr="003B11BD">
        <w:rPr>
          <w:noProof/>
          <w:lang w:val="en-IE"/>
        </w:rPr>
        <w:t xml:space="preserve">2, a </w:t>
      </w:r>
      <w:r w:rsidR="00D47FD5" w:rsidRPr="003B11BD">
        <w:rPr>
          <w:noProof/>
          <w:lang w:val="en-IE"/>
        </w:rPr>
        <w:t xml:space="preserve">directive </w:t>
      </w:r>
      <w:r w:rsidR="003E1EC8" w:rsidRPr="003B11BD">
        <w:rPr>
          <w:noProof/>
          <w:lang w:val="en-IE"/>
        </w:rPr>
        <w:t>would be adopted to approximate national laws on the grounds, procedures, scope</w:t>
      </w:r>
      <w:r w:rsidR="00055EF4" w:rsidRPr="003B11BD">
        <w:rPr>
          <w:noProof/>
          <w:lang w:val="en-IE"/>
        </w:rPr>
        <w:t>,</w:t>
      </w:r>
      <w:r w:rsidR="003E1EC8" w:rsidRPr="003B11BD">
        <w:rPr>
          <w:noProof/>
          <w:lang w:val="en-IE"/>
        </w:rPr>
        <w:t xml:space="preserve"> and conditions of compulsory </w:t>
      </w:r>
      <w:r w:rsidR="00C55853" w:rsidRPr="003B11BD">
        <w:rPr>
          <w:noProof/>
          <w:lang w:val="en-IE"/>
        </w:rPr>
        <w:t>licensing</w:t>
      </w:r>
      <w:r w:rsidR="00FD25FD" w:rsidRPr="003B11BD">
        <w:rPr>
          <w:noProof/>
          <w:lang w:val="en-IE"/>
        </w:rPr>
        <w:t xml:space="preserve"> for crisis management</w:t>
      </w:r>
      <w:r w:rsidR="003E1EC8" w:rsidRPr="003B11BD">
        <w:rPr>
          <w:noProof/>
          <w:lang w:val="en-IE"/>
        </w:rPr>
        <w:t xml:space="preserve">. This would create a certain degree of harmonisation </w:t>
      </w:r>
      <w:r w:rsidR="00095375" w:rsidRPr="003B11BD">
        <w:rPr>
          <w:noProof/>
          <w:lang w:val="en-IE"/>
        </w:rPr>
        <w:t>on</w:t>
      </w:r>
      <w:r w:rsidR="00055EF4" w:rsidRPr="003B11BD">
        <w:rPr>
          <w:noProof/>
          <w:lang w:val="en-IE"/>
        </w:rPr>
        <w:t xml:space="preserve"> e.g.</w:t>
      </w:r>
      <w:r w:rsidR="003E1EC8" w:rsidRPr="003B11BD">
        <w:rPr>
          <w:noProof/>
          <w:lang w:val="en-IE"/>
        </w:rPr>
        <w:t xml:space="preserve"> </w:t>
      </w:r>
      <w:r w:rsidR="00B639C7" w:rsidRPr="003B11BD">
        <w:rPr>
          <w:noProof/>
          <w:lang w:val="en-IE"/>
        </w:rPr>
        <w:t>key aspects of the procedure</w:t>
      </w:r>
      <w:r w:rsidR="003E1EC8" w:rsidRPr="003B11BD">
        <w:rPr>
          <w:noProof/>
          <w:lang w:val="en-IE"/>
        </w:rPr>
        <w:t xml:space="preserve">, the </w:t>
      </w:r>
      <w:r w:rsidR="00055EF4" w:rsidRPr="003B11BD">
        <w:rPr>
          <w:noProof/>
          <w:lang w:val="en-IE"/>
        </w:rPr>
        <w:t xml:space="preserve">competent granting </w:t>
      </w:r>
      <w:r w:rsidR="003E1EC8" w:rsidRPr="003B11BD">
        <w:rPr>
          <w:noProof/>
          <w:lang w:val="en-IE"/>
        </w:rPr>
        <w:t>authority and</w:t>
      </w:r>
      <w:r w:rsidR="00B639C7" w:rsidRPr="003B11BD">
        <w:rPr>
          <w:noProof/>
          <w:lang w:val="en-IE"/>
        </w:rPr>
        <w:t xml:space="preserve"> criteria for the calculation of the remuneration</w:t>
      </w:r>
      <w:r w:rsidR="003E1EC8" w:rsidRPr="003B11BD">
        <w:rPr>
          <w:noProof/>
          <w:lang w:val="en-IE"/>
        </w:rPr>
        <w:t xml:space="preserve">. This would improve </w:t>
      </w:r>
      <w:r w:rsidR="00B7192B" w:rsidRPr="003B11BD">
        <w:rPr>
          <w:noProof/>
          <w:lang w:val="en-IE"/>
        </w:rPr>
        <w:t>and clarify</w:t>
      </w:r>
      <w:r w:rsidR="003E1EC8" w:rsidRPr="003B11BD">
        <w:rPr>
          <w:noProof/>
          <w:lang w:val="en-IE"/>
        </w:rPr>
        <w:t xml:space="preserve"> the features of national compulsory licensing </w:t>
      </w:r>
      <w:r w:rsidR="00FB62E3" w:rsidRPr="003B11BD">
        <w:rPr>
          <w:noProof/>
          <w:lang w:val="en-IE"/>
        </w:rPr>
        <w:t xml:space="preserve">for crisis management </w:t>
      </w:r>
      <w:r w:rsidR="003E1EC8" w:rsidRPr="003B11BD">
        <w:rPr>
          <w:noProof/>
          <w:lang w:val="en-IE"/>
        </w:rPr>
        <w:t xml:space="preserve">across the EU. However, the Member States would remain competent to determine whether a crisis exists </w:t>
      </w:r>
      <w:r w:rsidR="006D71D2" w:rsidRPr="003B11BD">
        <w:rPr>
          <w:noProof/>
          <w:lang w:val="en-IE"/>
        </w:rPr>
        <w:t>and whether to</w:t>
      </w:r>
      <w:r w:rsidR="00D47FD5" w:rsidRPr="003B11BD">
        <w:rPr>
          <w:noProof/>
          <w:lang w:val="en-IE"/>
        </w:rPr>
        <w:t xml:space="preserve"> </w:t>
      </w:r>
      <w:r w:rsidR="006D71D2" w:rsidRPr="003B11BD">
        <w:rPr>
          <w:noProof/>
          <w:lang w:val="en-IE"/>
        </w:rPr>
        <w:t>grant</w:t>
      </w:r>
      <w:r w:rsidR="003E1EC8" w:rsidRPr="003B11BD">
        <w:rPr>
          <w:noProof/>
          <w:lang w:val="en-IE"/>
        </w:rPr>
        <w:t xml:space="preserve"> a compulsory licence.</w:t>
      </w:r>
      <w:r w:rsidR="00B639C7" w:rsidRPr="003B11BD">
        <w:rPr>
          <w:noProof/>
          <w:lang w:val="en-IE"/>
        </w:rPr>
        <w:t xml:space="preserve"> Hence, t</w:t>
      </w:r>
      <w:r w:rsidR="003E1EC8" w:rsidRPr="003B11BD">
        <w:rPr>
          <w:noProof/>
          <w:lang w:val="en-IE"/>
        </w:rPr>
        <w:t xml:space="preserve">he risk would remain that the </w:t>
      </w:r>
      <w:r w:rsidR="00D47FD5" w:rsidRPr="003B11BD">
        <w:rPr>
          <w:noProof/>
          <w:lang w:val="en-IE"/>
        </w:rPr>
        <w:t xml:space="preserve">directive </w:t>
      </w:r>
      <w:r w:rsidR="00E50314" w:rsidRPr="003B11BD">
        <w:rPr>
          <w:noProof/>
          <w:lang w:val="en-IE"/>
        </w:rPr>
        <w:t xml:space="preserve">would </w:t>
      </w:r>
      <w:r w:rsidR="003E1EC8" w:rsidRPr="003B11BD">
        <w:rPr>
          <w:noProof/>
          <w:lang w:val="en-IE"/>
        </w:rPr>
        <w:t xml:space="preserve">not be implemented and applied in a uniform manner </w:t>
      </w:r>
      <w:r w:rsidR="00D47FD5" w:rsidRPr="003B11BD">
        <w:rPr>
          <w:noProof/>
          <w:lang w:val="en-IE"/>
        </w:rPr>
        <w:t>due to</w:t>
      </w:r>
      <w:r w:rsidR="003E1EC8" w:rsidRPr="003B11BD">
        <w:rPr>
          <w:noProof/>
          <w:lang w:val="en-IE"/>
        </w:rPr>
        <w:t xml:space="preserve"> existing differences in national law proceedings and judicial traditions. Those minimum standards of harmonisation </w:t>
      </w:r>
      <w:r w:rsidR="65D0D2CF" w:rsidRPr="003B11BD">
        <w:rPr>
          <w:noProof/>
          <w:lang w:val="en-IE"/>
        </w:rPr>
        <w:t>c</w:t>
      </w:r>
      <w:r w:rsidR="003E1EC8" w:rsidRPr="003B11BD">
        <w:rPr>
          <w:noProof/>
          <w:lang w:val="en-IE"/>
        </w:rPr>
        <w:t xml:space="preserve">ould result in </w:t>
      </w:r>
      <w:r w:rsidR="009D2C82" w:rsidRPr="003B11BD">
        <w:rPr>
          <w:noProof/>
          <w:lang w:val="en-IE"/>
        </w:rPr>
        <w:t>incoherent</w:t>
      </w:r>
      <w:r w:rsidR="003E1EC8" w:rsidRPr="003B11BD">
        <w:rPr>
          <w:noProof/>
          <w:lang w:val="en-IE"/>
        </w:rPr>
        <w:t xml:space="preserve"> national compulsory</w:t>
      </w:r>
      <w:r w:rsidR="003E1EC8" w:rsidRPr="003B11BD">
        <w:rPr>
          <w:b/>
          <w:noProof/>
          <w:lang w:val="en-IE"/>
        </w:rPr>
        <w:t xml:space="preserve"> </w:t>
      </w:r>
      <w:r w:rsidR="003E1EC8" w:rsidRPr="003B11BD">
        <w:rPr>
          <w:noProof/>
          <w:lang w:val="en-IE"/>
        </w:rPr>
        <w:t xml:space="preserve">licences </w:t>
      </w:r>
      <w:r w:rsidR="00E646DD" w:rsidRPr="003B11BD">
        <w:rPr>
          <w:noProof/>
          <w:lang w:val="en-IE"/>
        </w:rPr>
        <w:t>for crisis management</w:t>
      </w:r>
      <w:r w:rsidR="003E1EC8" w:rsidRPr="003B11BD">
        <w:rPr>
          <w:noProof/>
          <w:lang w:val="en-IE"/>
        </w:rPr>
        <w:t xml:space="preserve">. </w:t>
      </w:r>
    </w:p>
    <w:p w14:paraId="17303045" w14:textId="1B21B010" w:rsidR="00E26A92" w:rsidRPr="003B11BD" w:rsidRDefault="00A94F37" w:rsidP="00ED49E6">
      <w:pPr>
        <w:pStyle w:val="Heading3"/>
        <w:rPr>
          <w:noProof/>
        </w:rPr>
      </w:pPr>
      <w:bookmarkStart w:id="466" w:name="_Toc121498006"/>
      <w:bookmarkStart w:id="467" w:name="_Toc121498103"/>
      <w:bookmarkStart w:id="468" w:name="_Toc121498200"/>
      <w:bookmarkStart w:id="469" w:name="_Toc121498297"/>
      <w:bookmarkStart w:id="470" w:name="_Toc121499729"/>
      <w:bookmarkStart w:id="471" w:name="_Toc121499826"/>
      <w:bookmarkStart w:id="472" w:name="_Toc121499923"/>
      <w:bookmarkStart w:id="473" w:name="_Toc121500020"/>
      <w:bookmarkStart w:id="474" w:name="_Toc121500117"/>
      <w:bookmarkStart w:id="475" w:name="_Toc121500214"/>
      <w:bookmarkStart w:id="476" w:name="_Toc121500993"/>
      <w:bookmarkStart w:id="477" w:name="_Toc121502398"/>
      <w:bookmarkStart w:id="478" w:name="_Toc121502992"/>
      <w:bookmarkStart w:id="479" w:name="_Toc121505009"/>
      <w:bookmarkStart w:id="480" w:name="_Toc121658240"/>
      <w:bookmarkStart w:id="481" w:name="_Toc121658508"/>
      <w:bookmarkStart w:id="482" w:name="_Toc121658825"/>
      <w:bookmarkStart w:id="483" w:name="_Toc121659499"/>
      <w:bookmarkStart w:id="484" w:name="_Toc121659586"/>
      <w:bookmarkStart w:id="485" w:name="_Toc121748023"/>
      <w:bookmarkStart w:id="486" w:name="_Toc133435376"/>
      <w:bookmarkStart w:id="487" w:name="_Toc120731227"/>
      <w:bookmarkStart w:id="488" w:name="_Toc121386386"/>
      <w:bookmarkStart w:id="489" w:name="_Toc121489604"/>
      <w:bookmarkStart w:id="490" w:name="_Toc121496364"/>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3B11BD">
        <w:rPr>
          <w:noProof/>
        </w:rPr>
        <w:t>Territorial reach</w:t>
      </w:r>
      <w:r w:rsidR="00E26A92" w:rsidRPr="003B11BD">
        <w:rPr>
          <w:noProof/>
        </w:rPr>
        <w:t xml:space="preserve"> </w:t>
      </w:r>
      <w:r w:rsidR="00933D80" w:rsidRPr="003B11BD">
        <w:rPr>
          <w:noProof/>
        </w:rPr>
        <w:t xml:space="preserve">of </w:t>
      </w:r>
      <w:r w:rsidR="00E26A92" w:rsidRPr="003B11BD">
        <w:rPr>
          <w:noProof/>
        </w:rPr>
        <w:t>compulsory licensing</w:t>
      </w:r>
      <w:bookmarkEnd w:id="485"/>
      <w:bookmarkEnd w:id="486"/>
      <w:r w:rsidR="00E26A92" w:rsidRPr="003B11BD">
        <w:rPr>
          <w:noProof/>
        </w:rPr>
        <w:t xml:space="preserve"> </w:t>
      </w:r>
    </w:p>
    <w:bookmarkEnd w:id="487"/>
    <w:bookmarkEnd w:id="488"/>
    <w:bookmarkEnd w:id="489"/>
    <w:bookmarkEnd w:id="490"/>
    <w:p w14:paraId="7F901407" w14:textId="060F277E" w:rsidR="00837667" w:rsidRPr="003B11BD" w:rsidRDefault="00C8226F" w:rsidP="00837667">
      <w:pPr>
        <w:pStyle w:val="Text2"/>
        <w:ind w:left="0"/>
        <w:rPr>
          <w:rStyle w:val="eop"/>
          <w:noProof/>
          <w:lang w:val="en-IE"/>
        </w:rPr>
      </w:pPr>
      <w:r w:rsidRPr="003B11BD">
        <w:rPr>
          <w:rStyle w:val="eop"/>
          <w:noProof/>
          <w:lang w:val="en-IE"/>
        </w:rPr>
        <w:t>T</w:t>
      </w:r>
      <w:r w:rsidR="00837667" w:rsidRPr="003B11BD">
        <w:rPr>
          <w:rStyle w:val="eop"/>
          <w:noProof/>
          <w:lang w:val="en-IE"/>
        </w:rPr>
        <w:t>he harmoni</w:t>
      </w:r>
      <w:r w:rsidR="00F03230" w:rsidRPr="003B11BD">
        <w:rPr>
          <w:rStyle w:val="eop"/>
          <w:noProof/>
          <w:lang w:val="en-IE"/>
        </w:rPr>
        <w:t xml:space="preserve">sation of national schemes </w:t>
      </w:r>
      <w:r w:rsidRPr="003B11BD">
        <w:rPr>
          <w:rStyle w:val="eop"/>
          <w:noProof/>
          <w:lang w:val="en-IE"/>
        </w:rPr>
        <w:t xml:space="preserve">envisaged under PO2 </w:t>
      </w:r>
      <w:r w:rsidR="00837667" w:rsidRPr="003B11BD">
        <w:rPr>
          <w:rStyle w:val="eop"/>
          <w:noProof/>
          <w:lang w:val="en-IE"/>
        </w:rPr>
        <w:t xml:space="preserve">could facilitate the cross-border </w:t>
      </w:r>
      <w:r w:rsidR="00653F3B" w:rsidRPr="003B11BD">
        <w:rPr>
          <w:rStyle w:val="eop"/>
          <w:noProof/>
          <w:lang w:val="en-IE"/>
        </w:rPr>
        <w:t xml:space="preserve">supply </w:t>
      </w:r>
      <w:r w:rsidR="00837667" w:rsidRPr="003B11BD">
        <w:rPr>
          <w:rStyle w:val="eop"/>
          <w:noProof/>
          <w:lang w:val="en-IE"/>
        </w:rPr>
        <w:t xml:space="preserve">of goods as both, the compulsory licence granted in the manufacturing Member State and those granted in the importing Member States, would be based on </w:t>
      </w:r>
      <w:r w:rsidR="00F03230" w:rsidRPr="003B11BD">
        <w:rPr>
          <w:rStyle w:val="eop"/>
          <w:noProof/>
          <w:lang w:val="en-IE"/>
        </w:rPr>
        <w:t>similar</w:t>
      </w:r>
      <w:r w:rsidR="00837667" w:rsidRPr="003B11BD">
        <w:rPr>
          <w:rStyle w:val="eop"/>
          <w:noProof/>
          <w:lang w:val="en-IE"/>
        </w:rPr>
        <w:t xml:space="preserve"> rules. However, this would only slightly improve the situation </w:t>
      </w:r>
      <w:r w:rsidR="00F03230" w:rsidRPr="003B11BD">
        <w:rPr>
          <w:rStyle w:val="eop"/>
          <w:noProof/>
          <w:lang w:val="en-IE"/>
        </w:rPr>
        <w:t xml:space="preserve">if </w:t>
      </w:r>
      <w:r w:rsidR="002838C6" w:rsidRPr="003B11BD">
        <w:rPr>
          <w:rStyle w:val="eop"/>
          <w:noProof/>
          <w:lang w:val="en-IE"/>
        </w:rPr>
        <w:t xml:space="preserve">manufacturing capacities </w:t>
      </w:r>
      <w:r w:rsidR="00F03230" w:rsidRPr="003B11BD">
        <w:rPr>
          <w:rStyle w:val="eop"/>
          <w:noProof/>
          <w:lang w:val="en-IE"/>
        </w:rPr>
        <w:t xml:space="preserve">are located </w:t>
      </w:r>
      <w:r w:rsidR="002838C6" w:rsidRPr="003B11BD">
        <w:rPr>
          <w:rStyle w:val="eop"/>
          <w:noProof/>
          <w:lang w:val="en-IE"/>
        </w:rPr>
        <w:t>in multiple Member States</w:t>
      </w:r>
      <w:r w:rsidR="00837667" w:rsidRPr="003B11BD">
        <w:rPr>
          <w:rStyle w:val="eop"/>
          <w:noProof/>
          <w:lang w:val="en-IE"/>
        </w:rPr>
        <w:t>.</w:t>
      </w:r>
      <w:r w:rsidR="0085640E" w:rsidRPr="003B11BD">
        <w:rPr>
          <w:rStyle w:val="eop"/>
          <w:noProof/>
          <w:lang w:val="en-IE"/>
        </w:rPr>
        <w:t xml:space="preserve"> </w:t>
      </w:r>
      <w:r w:rsidR="4B8BFA9B" w:rsidRPr="003B11BD">
        <w:rPr>
          <w:rStyle w:val="eop"/>
          <w:noProof/>
          <w:lang w:val="en-IE"/>
        </w:rPr>
        <w:t>T</w:t>
      </w:r>
      <w:r w:rsidR="0085640E" w:rsidRPr="003B11BD">
        <w:rPr>
          <w:rStyle w:val="eop"/>
          <w:noProof/>
          <w:lang w:val="en-IE"/>
        </w:rPr>
        <w:t xml:space="preserve">he lack of exhaustion would still require </w:t>
      </w:r>
      <w:r w:rsidR="0D5F8363" w:rsidRPr="003B11BD">
        <w:rPr>
          <w:rStyle w:val="eop"/>
          <w:noProof/>
          <w:lang w:val="en-IE"/>
        </w:rPr>
        <w:t xml:space="preserve">each </w:t>
      </w:r>
      <w:r w:rsidR="0085640E" w:rsidRPr="003B11BD">
        <w:rPr>
          <w:rStyle w:val="eop"/>
          <w:noProof/>
          <w:lang w:val="en-IE"/>
        </w:rPr>
        <w:t>importing Member States to issue a licence to import the critical goods.</w:t>
      </w:r>
    </w:p>
    <w:p w14:paraId="6803BB38" w14:textId="0A274327" w:rsidR="00BF248B" w:rsidRPr="003B11BD" w:rsidRDefault="00BF248B" w:rsidP="00ED49E6">
      <w:pPr>
        <w:pStyle w:val="Heading3"/>
        <w:rPr>
          <w:noProof/>
        </w:rPr>
      </w:pPr>
      <w:bookmarkStart w:id="491" w:name="_Toc121498008"/>
      <w:bookmarkStart w:id="492" w:name="_Toc121498105"/>
      <w:bookmarkStart w:id="493" w:name="_Toc121498202"/>
      <w:bookmarkStart w:id="494" w:name="_Toc121498299"/>
      <w:bookmarkStart w:id="495" w:name="_Toc121499731"/>
      <w:bookmarkStart w:id="496" w:name="_Toc121499828"/>
      <w:bookmarkStart w:id="497" w:name="_Toc121499925"/>
      <w:bookmarkStart w:id="498" w:name="_Toc121500022"/>
      <w:bookmarkStart w:id="499" w:name="_Toc121500119"/>
      <w:bookmarkStart w:id="500" w:name="_Toc121500216"/>
      <w:bookmarkStart w:id="501" w:name="_Toc121500995"/>
      <w:bookmarkStart w:id="502" w:name="_Toc121502400"/>
      <w:bookmarkStart w:id="503" w:name="_Toc121502994"/>
      <w:bookmarkStart w:id="504" w:name="_Toc121505011"/>
      <w:bookmarkStart w:id="505" w:name="_Toc121658242"/>
      <w:bookmarkStart w:id="506" w:name="_Toc121658510"/>
      <w:bookmarkStart w:id="507" w:name="_Toc121658827"/>
      <w:bookmarkStart w:id="508" w:name="_Toc121659501"/>
      <w:bookmarkStart w:id="509" w:name="_Toc121659588"/>
      <w:bookmarkStart w:id="510" w:name="_Toc120731228"/>
      <w:bookmarkStart w:id="511" w:name="_Toc121386387"/>
      <w:bookmarkStart w:id="512" w:name="_Toc121489605"/>
      <w:bookmarkStart w:id="513" w:name="_Toc121496365"/>
      <w:bookmarkStart w:id="514" w:name="_Toc121748024"/>
      <w:bookmarkStart w:id="515" w:name="_Toc133435377"/>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3B11BD">
        <w:rPr>
          <w:noProof/>
        </w:rPr>
        <w:t>Support to EU resilience</w:t>
      </w:r>
      <w:bookmarkEnd w:id="510"/>
      <w:bookmarkEnd w:id="511"/>
      <w:bookmarkEnd w:id="512"/>
      <w:bookmarkEnd w:id="513"/>
      <w:bookmarkEnd w:id="514"/>
      <w:bookmarkEnd w:id="515"/>
    </w:p>
    <w:p w14:paraId="63D9E33B" w14:textId="6C220B99" w:rsidR="00023158" w:rsidRPr="003B11BD" w:rsidRDefault="00F03230" w:rsidP="00023158">
      <w:pPr>
        <w:pStyle w:val="Text2"/>
        <w:ind w:left="0"/>
        <w:rPr>
          <w:noProof/>
          <w:lang w:val="en-IE"/>
        </w:rPr>
      </w:pPr>
      <w:r w:rsidRPr="003B11BD">
        <w:rPr>
          <w:noProof/>
          <w:lang w:val="en-IE"/>
        </w:rPr>
        <w:t>Under PO</w:t>
      </w:r>
      <w:r w:rsidR="00023158" w:rsidRPr="003B11BD">
        <w:rPr>
          <w:noProof/>
          <w:lang w:val="en-IE"/>
        </w:rPr>
        <w:t>2</w:t>
      </w:r>
      <w:r w:rsidRPr="003B11BD">
        <w:rPr>
          <w:noProof/>
          <w:lang w:val="en-IE"/>
        </w:rPr>
        <w:t>,</w:t>
      </w:r>
      <w:r w:rsidR="00023158" w:rsidRPr="003B11BD">
        <w:rPr>
          <w:noProof/>
          <w:lang w:val="en-IE"/>
        </w:rPr>
        <w:t xml:space="preserve"> clarification will be provided that national compulsory licences could also be issued in the context of an EU decision activating or declaring a crisis or emergency mode. Thereby, the risk of frictions and opposing decisions resulting from the two levels of decision making (at EU level and at national level) could be mitigated (</w:t>
      </w:r>
      <w:r w:rsidRPr="003B11BD">
        <w:rPr>
          <w:noProof/>
          <w:lang w:val="en-IE"/>
        </w:rPr>
        <w:t xml:space="preserve">e.g. </w:t>
      </w:r>
      <w:r w:rsidR="00023158" w:rsidRPr="003B11BD">
        <w:rPr>
          <w:noProof/>
          <w:lang w:val="en-IE"/>
        </w:rPr>
        <w:t xml:space="preserve">the risk that </w:t>
      </w:r>
      <w:r w:rsidRPr="003B11BD">
        <w:rPr>
          <w:noProof/>
          <w:lang w:val="en-IE"/>
        </w:rPr>
        <w:t>a national authority denies the existence of a crisis in the context of its decision on a compulsory licence</w:t>
      </w:r>
      <w:r w:rsidR="00B639C7" w:rsidRPr="003B11BD">
        <w:rPr>
          <w:noProof/>
          <w:lang w:val="en-IE"/>
        </w:rPr>
        <w:t>,</w:t>
      </w:r>
      <w:r w:rsidRPr="003B11BD">
        <w:rPr>
          <w:noProof/>
          <w:lang w:val="en-IE"/>
        </w:rPr>
        <w:t xml:space="preserve"> despite</w:t>
      </w:r>
      <w:r w:rsidR="00023158" w:rsidRPr="003B11BD">
        <w:rPr>
          <w:noProof/>
          <w:lang w:val="en-IE"/>
        </w:rPr>
        <w:t xml:space="preserve"> a decision at EU level declaring a crisis and activating an emergency mode). Transparency and information sharing obligation would allow national compulsory licences to be better coordinated and therefore to provide a better support to EU crisis. As the granting authority of a compulsory licence is one of the aspects subject to harmonisation, Option 2 could facilitate cooperation and coordination among Member States and between Member States and the Commission. </w:t>
      </w:r>
    </w:p>
    <w:p w14:paraId="4B68BA92" w14:textId="023F26D5" w:rsidR="00364BA7" w:rsidRPr="003B11BD" w:rsidRDefault="00D7081B" w:rsidP="00ED49E6">
      <w:pPr>
        <w:pStyle w:val="Heading3"/>
        <w:rPr>
          <w:noProof/>
        </w:rPr>
      </w:pPr>
      <w:bookmarkStart w:id="516" w:name="_Toc121498010"/>
      <w:bookmarkStart w:id="517" w:name="_Toc121498107"/>
      <w:bookmarkStart w:id="518" w:name="_Toc121498204"/>
      <w:bookmarkStart w:id="519" w:name="_Toc121498301"/>
      <w:bookmarkStart w:id="520" w:name="_Toc121499733"/>
      <w:bookmarkStart w:id="521" w:name="_Toc121499830"/>
      <w:bookmarkStart w:id="522" w:name="_Toc121499927"/>
      <w:bookmarkStart w:id="523" w:name="_Toc121500024"/>
      <w:bookmarkStart w:id="524" w:name="_Toc121500121"/>
      <w:bookmarkStart w:id="525" w:name="_Toc121500218"/>
      <w:bookmarkStart w:id="526" w:name="_Toc121500997"/>
      <w:bookmarkStart w:id="527" w:name="_Toc121502402"/>
      <w:bookmarkStart w:id="528" w:name="_Toc121502996"/>
      <w:bookmarkStart w:id="529" w:name="_Toc121505013"/>
      <w:bookmarkStart w:id="530" w:name="_Toc121658244"/>
      <w:bookmarkStart w:id="531" w:name="_Toc121658512"/>
      <w:bookmarkStart w:id="532" w:name="_Toc121658829"/>
      <w:bookmarkStart w:id="533" w:name="_Toc121659503"/>
      <w:bookmarkStart w:id="534" w:name="_Toc121659590"/>
      <w:bookmarkStart w:id="535" w:name="_Toc121498011"/>
      <w:bookmarkStart w:id="536" w:name="_Toc121498108"/>
      <w:bookmarkStart w:id="537" w:name="_Toc121498205"/>
      <w:bookmarkStart w:id="538" w:name="_Toc121498302"/>
      <w:bookmarkStart w:id="539" w:name="_Toc121499734"/>
      <w:bookmarkStart w:id="540" w:name="_Toc121499831"/>
      <w:bookmarkStart w:id="541" w:name="_Toc121499928"/>
      <w:bookmarkStart w:id="542" w:name="_Toc121500025"/>
      <w:bookmarkStart w:id="543" w:name="_Toc121500122"/>
      <w:bookmarkStart w:id="544" w:name="_Toc121500219"/>
      <w:bookmarkStart w:id="545" w:name="_Toc121500998"/>
      <w:bookmarkStart w:id="546" w:name="_Toc121502403"/>
      <w:bookmarkStart w:id="547" w:name="_Toc121502997"/>
      <w:bookmarkStart w:id="548" w:name="_Toc121505014"/>
      <w:bookmarkStart w:id="549" w:name="_Toc121658245"/>
      <w:bookmarkStart w:id="550" w:name="_Toc121658513"/>
      <w:bookmarkStart w:id="551" w:name="_Toc121658830"/>
      <w:bookmarkStart w:id="552" w:name="_Toc121659504"/>
      <w:bookmarkStart w:id="553" w:name="_Toc121659591"/>
      <w:bookmarkStart w:id="554" w:name="_Toc121386388"/>
      <w:bookmarkStart w:id="555" w:name="_Toc121489606"/>
      <w:bookmarkStart w:id="556" w:name="_Toc121496366"/>
      <w:bookmarkStart w:id="557" w:name="_Toc121748025"/>
      <w:bookmarkStart w:id="558" w:name="_Toc133435378"/>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3B11BD">
        <w:rPr>
          <w:noProof/>
        </w:rPr>
        <w:t>Impacts</w:t>
      </w:r>
      <w:r w:rsidR="00364BA7" w:rsidRPr="003B11BD">
        <w:rPr>
          <w:noProof/>
        </w:rPr>
        <w:t xml:space="preserve"> per stakeholder group</w:t>
      </w:r>
      <w:bookmarkEnd w:id="554"/>
      <w:bookmarkEnd w:id="555"/>
      <w:bookmarkEnd w:id="556"/>
      <w:bookmarkEnd w:id="557"/>
      <w:bookmarkEnd w:id="558"/>
    </w:p>
    <w:p w14:paraId="73590368" w14:textId="16D0C305" w:rsidR="00C3180C" w:rsidRPr="003B11BD" w:rsidRDefault="003A3407">
      <w:pPr>
        <w:rPr>
          <w:noProof/>
          <w:lang w:val="en-IE"/>
        </w:rPr>
      </w:pPr>
      <w:r w:rsidRPr="003B11BD">
        <w:rPr>
          <w:noProof/>
          <w:lang w:val="en-IE"/>
        </w:rPr>
        <w:t>The impacts of PO2 per stakeholder group are summarized in Table 3 below</w:t>
      </w:r>
      <w:r w:rsidR="00C3180C" w:rsidRPr="003B11BD">
        <w:rPr>
          <w:noProof/>
          <w:lang w:val="en-IE"/>
        </w:rPr>
        <w:t xml:space="preserve">. </w:t>
      </w:r>
    </w:p>
    <w:p w14:paraId="41C9A864" w14:textId="76C4F8F0" w:rsidR="003636FD" w:rsidRPr="003B11BD" w:rsidRDefault="00364BA7" w:rsidP="003636FD">
      <w:pPr>
        <w:pStyle w:val="Caption"/>
        <w:keepNext/>
        <w:rPr>
          <w:noProof/>
          <w:lang w:val="en-IE"/>
        </w:rPr>
      </w:pPr>
      <w:r w:rsidRPr="003B11BD">
        <w:rPr>
          <w:noProof/>
          <w:lang w:val="en-IE"/>
        </w:rPr>
        <w:t xml:space="preserve">Table </w:t>
      </w:r>
      <w:r w:rsidR="00C6592A">
        <w:rPr>
          <w:noProof/>
          <w:lang w:val="en-IE"/>
        </w:rPr>
        <w:t>3</w:t>
      </w:r>
      <w:r w:rsidR="00D7081B" w:rsidRPr="003B11BD">
        <w:rPr>
          <w:noProof/>
          <w:lang w:val="en-IE"/>
        </w:rPr>
        <w:t>: Impacts on stakeholders</w:t>
      </w:r>
      <w:r w:rsidR="001C10F5" w:rsidRPr="003B11BD">
        <w:rPr>
          <w:noProof/>
          <w:lang w:val="en-IE"/>
        </w:rPr>
        <w:t xml:space="preserve"> </w:t>
      </w:r>
      <w:r w:rsidR="007976EA" w:rsidRPr="003B11BD">
        <w:rPr>
          <w:noProof/>
          <w:lang w:val="en-IE"/>
        </w:rPr>
        <w:t>in the event of a</w:t>
      </w:r>
      <w:r w:rsidR="001C10F5" w:rsidRPr="003B11BD">
        <w:rPr>
          <w:noProof/>
          <w:lang w:val="en-IE"/>
        </w:rPr>
        <w:t xml:space="preserve"> </w:t>
      </w:r>
      <w:r w:rsidR="007976EA" w:rsidRPr="003B11BD">
        <w:rPr>
          <w:noProof/>
          <w:lang w:val="en-IE"/>
        </w:rPr>
        <w:t xml:space="preserve">cross-border </w:t>
      </w:r>
      <w:r w:rsidR="001C10F5" w:rsidRPr="003B11BD">
        <w:rPr>
          <w:noProof/>
          <w:lang w:val="en-IE"/>
        </w:rPr>
        <w:t>crisis</w:t>
      </w:r>
      <w:r w:rsidR="00D7081B" w:rsidRPr="003B11BD">
        <w:rPr>
          <w:noProof/>
          <w:lang w:val="en-IE"/>
        </w:rPr>
        <w:t xml:space="preserve"> - </w:t>
      </w:r>
      <w:r w:rsidRPr="003B11BD">
        <w:rPr>
          <w:noProof/>
          <w:lang w:val="en-IE"/>
        </w:rPr>
        <w:t xml:space="preserve">Option </w:t>
      </w:r>
      <w:r w:rsidR="00C46F61" w:rsidRPr="003B11BD">
        <w:rPr>
          <w:noProof/>
          <w:lang w:val="en-IE"/>
        </w:rPr>
        <w:t>2</w:t>
      </w:r>
      <w:r w:rsidRPr="003B11BD">
        <w:rPr>
          <w:noProof/>
          <w:lang w:val="en-IE"/>
        </w:rPr>
        <w:t xml:space="preserve"> </w:t>
      </w:r>
      <w:r w:rsidR="000D42C0" w:rsidRPr="003B11BD">
        <w:rPr>
          <w:noProof/>
          <w:lang w:val="en-IE"/>
        </w:rPr>
        <w:t>compared to the baseline</w:t>
      </w:r>
    </w:p>
    <w:tbl>
      <w:tblPr>
        <w:tblStyle w:val="TableGrid"/>
        <w:tblW w:w="0" w:type="auto"/>
        <w:tblLayout w:type="fixed"/>
        <w:tblLook w:val="04A0" w:firstRow="1" w:lastRow="0" w:firstColumn="1" w:lastColumn="0" w:noHBand="0" w:noVBand="1"/>
      </w:tblPr>
      <w:tblGrid>
        <w:gridCol w:w="1418"/>
        <w:gridCol w:w="5387"/>
        <w:gridCol w:w="2268"/>
      </w:tblGrid>
      <w:tr w:rsidR="003636FD" w:rsidRPr="003B11BD" w14:paraId="0FFE2C1A" w14:textId="77777777" w:rsidTr="009F6C2D">
        <w:tc>
          <w:tcPr>
            <w:tcW w:w="1418" w:type="dxa"/>
            <w:tcBorders>
              <w:top w:val="single" w:sz="12" w:space="0" w:color="FFFFFF" w:themeColor="background1"/>
              <w:left w:val="single" w:sz="12" w:space="0" w:color="FFFFFF" w:themeColor="background1"/>
            </w:tcBorders>
          </w:tcPr>
          <w:p w14:paraId="704DD2ED" w14:textId="77777777" w:rsidR="003636FD" w:rsidRPr="003B11BD" w:rsidRDefault="003636FD" w:rsidP="006C75FC">
            <w:pPr>
              <w:pStyle w:val="NoSpacing"/>
              <w:rPr>
                <w:noProof/>
                <w:lang w:val="en-IE"/>
              </w:rPr>
            </w:pPr>
          </w:p>
        </w:tc>
        <w:tc>
          <w:tcPr>
            <w:tcW w:w="5387" w:type="dxa"/>
          </w:tcPr>
          <w:p w14:paraId="74A1BCB0" w14:textId="3BC6EA37" w:rsidR="003636FD" w:rsidRPr="003B11BD" w:rsidRDefault="00A95090" w:rsidP="006C75FC">
            <w:pPr>
              <w:pStyle w:val="NoSpacing"/>
              <w:rPr>
                <w:b/>
                <w:noProof/>
                <w:lang w:val="en-IE"/>
              </w:rPr>
            </w:pPr>
            <w:r w:rsidRPr="003B11BD">
              <w:rPr>
                <w:b/>
                <w:noProof/>
                <w:lang w:val="en-IE"/>
              </w:rPr>
              <w:t>Advantages</w:t>
            </w:r>
          </w:p>
        </w:tc>
        <w:tc>
          <w:tcPr>
            <w:tcW w:w="2268" w:type="dxa"/>
          </w:tcPr>
          <w:p w14:paraId="7BD0B008" w14:textId="59140716" w:rsidR="003636FD" w:rsidRPr="003B11BD" w:rsidRDefault="00A95090" w:rsidP="006C75FC">
            <w:pPr>
              <w:pStyle w:val="NoSpacing"/>
              <w:rPr>
                <w:b/>
                <w:noProof/>
                <w:lang w:val="en-IE"/>
              </w:rPr>
            </w:pPr>
            <w:r w:rsidRPr="003B11BD">
              <w:rPr>
                <w:b/>
                <w:noProof/>
                <w:lang w:val="en-IE"/>
              </w:rPr>
              <w:t>Disadvantages</w:t>
            </w:r>
          </w:p>
        </w:tc>
      </w:tr>
      <w:tr w:rsidR="003636FD" w:rsidRPr="003B11BD" w14:paraId="1F20811E" w14:textId="77777777" w:rsidTr="009F6C2D">
        <w:tc>
          <w:tcPr>
            <w:tcW w:w="1418" w:type="dxa"/>
          </w:tcPr>
          <w:p w14:paraId="24EEAB67" w14:textId="77777777" w:rsidR="003636FD" w:rsidRPr="003B11BD" w:rsidRDefault="003636FD" w:rsidP="006C75FC">
            <w:pPr>
              <w:pStyle w:val="NoSpacing"/>
              <w:rPr>
                <w:noProof/>
                <w:lang w:val="en-IE"/>
              </w:rPr>
            </w:pPr>
            <w:r w:rsidRPr="003B11BD">
              <w:rPr>
                <w:noProof/>
                <w:lang w:val="en-IE"/>
              </w:rPr>
              <w:t>Patent owners</w:t>
            </w:r>
          </w:p>
        </w:tc>
        <w:tc>
          <w:tcPr>
            <w:tcW w:w="5387" w:type="dxa"/>
          </w:tcPr>
          <w:p w14:paraId="3A9745C2" w14:textId="326BEF00" w:rsidR="00A95090" w:rsidRPr="003B11BD" w:rsidRDefault="003636FD" w:rsidP="0053626E">
            <w:pPr>
              <w:pStyle w:val="NoSpacing"/>
              <w:ind w:left="-38"/>
              <w:rPr>
                <w:noProof/>
                <w:lang w:val="en-IE"/>
              </w:rPr>
            </w:pPr>
            <w:r w:rsidRPr="003B11BD">
              <w:rPr>
                <w:noProof/>
                <w:lang w:val="en-IE"/>
              </w:rPr>
              <w:t>(+)</w:t>
            </w:r>
            <w:r w:rsidR="000D42C0" w:rsidRPr="003B11BD">
              <w:rPr>
                <w:noProof/>
                <w:lang w:val="en-IE"/>
              </w:rPr>
              <w:t xml:space="preserve"> Somewhat lower costs of </w:t>
            </w:r>
            <w:r w:rsidR="00E6068C" w:rsidRPr="003B11BD">
              <w:rPr>
                <w:noProof/>
                <w:lang w:val="en-IE"/>
              </w:rPr>
              <w:t xml:space="preserve">compulsory licensing </w:t>
            </w:r>
            <w:r w:rsidR="000D42C0" w:rsidRPr="003B11BD">
              <w:rPr>
                <w:noProof/>
                <w:lang w:val="en-IE"/>
              </w:rPr>
              <w:t>negotiations</w:t>
            </w:r>
            <w:r w:rsidR="774EDDC9" w:rsidRPr="003B11BD">
              <w:rPr>
                <w:noProof/>
                <w:lang w:val="en-IE"/>
              </w:rPr>
              <w:t xml:space="preserve"> </w:t>
            </w:r>
            <w:r w:rsidR="61B27EEE" w:rsidRPr="003B11BD">
              <w:rPr>
                <w:noProof/>
                <w:lang w:val="en-IE"/>
              </w:rPr>
              <w:t xml:space="preserve">as </w:t>
            </w:r>
            <w:r w:rsidR="774EDDC9" w:rsidRPr="003B11BD">
              <w:rPr>
                <w:noProof/>
                <w:lang w:val="en-IE"/>
              </w:rPr>
              <w:t>rules more coherent across MS.</w:t>
            </w:r>
            <w:r w:rsidR="53130465" w:rsidRPr="003B11BD">
              <w:rPr>
                <w:noProof/>
                <w:lang w:val="en-IE"/>
              </w:rPr>
              <w:t xml:space="preserve"> </w:t>
            </w:r>
          </w:p>
          <w:p w14:paraId="73324C9B" w14:textId="099EBDE1" w:rsidR="003636FD" w:rsidRPr="003B11BD" w:rsidRDefault="00A95090" w:rsidP="0053626E">
            <w:pPr>
              <w:pStyle w:val="NoSpacing"/>
              <w:ind w:left="-37"/>
              <w:rPr>
                <w:noProof/>
                <w:lang w:val="en-IE"/>
              </w:rPr>
            </w:pPr>
            <w:r w:rsidRPr="003B11BD">
              <w:rPr>
                <w:noProof/>
                <w:lang w:val="en-IE"/>
              </w:rPr>
              <w:t>(+)</w:t>
            </w:r>
            <w:r w:rsidR="007A7F24" w:rsidRPr="003B11BD">
              <w:rPr>
                <w:noProof/>
                <w:lang w:val="en-IE"/>
              </w:rPr>
              <w:t xml:space="preserve"> Some i</w:t>
            </w:r>
            <w:r w:rsidRPr="003B11BD">
              <w:rPr>
                <w:noProof/>
                <w:lang w:val="en-IE"/>
              </w:rPr>
              <w:t>mprove</w:t>
            </w:r>
            <w:r w:rsidR="007A7F24" w:rsidRPr="003B11BD">
              <w:rPr>
                <w:noProof/>
                <w:lang w:val="en-IE"/>
              </w:rPr>
              <w:t>ment in</w:t>
            </w:r>
            <w:r w:rsidRPr="003B11BD">
              <w:rPr>
                <w:noProof/>
                <w:lang w:val="en-IE"/>
              </w:rPr>
              <w:t xml:space="preserve"> </w:t>
            </w:r>
            <w:r w:rsidR="00E90C8A" w:rsidRPr="003B11BD">
              <w:rPr>
                <w:noProof/>
                <w:lang w:val="en-IE"/>
              </w:rPr>
              <w:t xml:space="preserve">legal certainty (e.g. </w:t>
            </w:r>
            <w:r w:rsidR="53130465" w:rsidRPr="003B11BD">
              <w:rPr>
                <w:noProof/>
                <w:lang w:val="en-IE"/>
              </w:rPr>
              <w:t xml:space="preserve">clarity on </w:t>
            </w:r>
            <w:r w:rsidR="5FE5049A" w:rsidRPr="003B11BD">
              <w:rPr>
                <w:noProof/>
                <w:lang w:val="en-IE"/>
              </w:rPr>
              <w:t xml:space="preserve">the scope and </w:t>
            </w:r>
            <w:r w:rsidR="67BF031C" w:rsidRPr="003B11BD">
              <w:rPr>
                <w:noProof/>
                <w:lang w:val="en-IE"/>
              </w:rPr>
              <w:t>what</w:t>
            </w:r>
            <w:r w:rsidR="53130465" w:rsidRPr="003B11BD">
              <w:rPr>
                <w:noProof/>
                <w:lang w:val="en-IE"/>
              </w:rPr>
              <w:t xml:space="preserve"> </w:t>
            </w:r>
            <w:r w:rsidR="2270DAC6" w:rsidRPr="003B11BD">
              <w:rPr>
                <w:noProof/>
                <w:lang w:val="en-IE"/>
              </w:rPr>
              <w:t xml:space="preserve">amount of </w:t>
            </w:r>
            <w:r w:rsidR="53130465" w:rsidRPr="003B11BD">
              <w:rPr>
                <w:noProof/>
                <w:lang w:val="en-IE"/>
              </w:rPr>
              <w:t>remuneration may be expected</w:t>
            </w:r>
            <w:r w:rsidR="3B27CDBE" w:rsidRPr="003B11BD">
              <w:rPr>
                <w:noProof/>
                <w:lang w:val="en-IE"/>
              </w:rPr>
              <w:t>),</w:t>
            </w:r>
            <w:r w:rsidR="53130465" w:rsidRPr="003B11BD">
              <w:rPr>
                <w:noProof/>
                <w:lang w:val="en-IE"/>
              </w:rPr>
              <w:t xml:space="preserve"> as rules more coherent across MS.</w:t>
            </w:r>
          </w:p>
        </w:tc>
        <w:tc>
          <w:tcPr>
            <w:tcW w:w="2268" w:type="dxa"/>
          </w:tcPr>
          <w:p w14:paraId="6BB1CD5E" w14:textId="10B55F03" w:rsidR="003636FD" w:rsidRPr="003B11BD" w:rsidRDefault="6242E044" w:rsidP="0053626E">
            <w:pPr>
              <w:pStyle w:val="NoSpacing"/>
              <w:ind w:left="-40"/>
              <w:rPr>
                <w:noProof/>
                <w:lang w:val="en-IE"/>
              </w:rPr>
            </w:pPr>
            <w:r w:rsidRPr="003B11BD">
              <w:rPr>
                <w:noProof/>
                <w:lang w:val="en-IE"/>
              </w:rPr>
              <w:t>(</w:t>
            </w:r>
            <w:r w:rsidR="003B3211" w:rsidRPr="003B11BD">
              <w:rPr>
                <w:noProof/>
                <w:lang w:val="en-IE"/>
              </w:rPr>
              <w:t>0/</w:t>
            </w:r>
            <w:r w:rsidRPr="003B11BD">
              <w:rPr>
                <w:noProof/>
                <w:lang w:val="en-IE"/>
              </w:rPr>
              <w:t>-)</w:t>
            </w:r>
            <w:r w:rsidR="000D42C0" w:rsidRPr="003B11BD">
              <w:rPr>
                <w:noProof/>
                <w:lang w:val="en-IE"/>
              </w:rPr>
              <w:t xml:space="preserve"> Loss of control over patent rights, if harmonisation leads to wider geographical scope of CL.</w:t>
            </w:r>
          </w:p>
        </w:tc>
      </w:tr>
      <w:tr w:rsidR="003636FD" w:rsidRPr="003B11BD" w14:paraId="43C30545" w14:textId="77777777" w:rsidTr="009F6C2D">
        <w:tc>
          <w:tcPr>
            <w:tcW w:w="1418" w:type="dxa"/>
          </w:tcPr>
          <w:p w14:paraId="3D061A04" w14:textId="77777777" w:rsidR="003636FD" w:rsidRPr="003B11BD" w:rsidRDefault="003636FD" w:rsidP="006C75FC">
            <w:pPr>
              <w:pStyle w:val="NoSpacing"/>
              <w:rPr>
                <w:noProof/>
                <w:lang w:val="en-IE"/>
              </w:rPr>
            </w:pPr>
            <w:r w:rsidRPr="003B11BD">
              <w:rPr>
                <w:noProof/>
                <w:lang w:val="en-IE"/>
              </w:rPr>
              <w:t>Manufacturers – potential licensees</w:t>
            </w:r>
          </w:p>
        </w:tc>
        <w:tc>
          <w:tcPr>
            <w:tcW w:w="5387" w:type="dxa"/>
          </w:tcPr>
          <w:p w14:paraId="2E20D52F" w14:textId="701CB964" w:rsidR="003636FD" w:rsidRPr="003B11BD" w:rsidRDefault="585049A2" w:rsidP="0053626E">
            <w:pPr>
              <w:pStyle w:val="NoSpacing"/>
              <w:ind w:left="-37"/>
              <w:rPr>
                <w:noProof/>
                <w:lang w:val="en-IE"/>
              </w:rPr>
            </w:pPr>
            <w:r w:rsidRPr="003B11BD">
              <w:rPr>
                <w:noProof/>
                <w:lang w:val="en-IE"/>
              </w:rPr>
              <w:t xml:space="preserve">(+) </w:t>
            </w:r>
            <w:r w:rsidR="004E6979" w:rsidRPr="003B11BD">
              <w:rPr>
                <w:noProof/>
                <w:lang w:val="en-IE"/>
              </w:rPr>
              <w:t xml:space="preserve">Somewhat lower </w:t>
            </w:r>
            <w:r w:rsidR="1B1462BE" w:rsidRPr="003B11BD">
              <w:rPr>
                <w:noProof/>
                <w:lang w:val="en-IE"/>
              </w:rPr>
              <w:t>costs of negotiations</w:t>
            </w:r>
            <w:r w:rsidR="004E6979" w:rsidRPr="003B11BD">
              <w:rPr>
                <w:noProof/>
                <w:lang w:val="en-IE"/>
              </w:rPr>
              <w:t>,</w:t>
            </w:r>
            <w:r w:rsidR="0286E47E" w:rsidRPr="003B11BD">
              <w:rPr>
                <w:noProof/>
                <w:lang w:val="en-IE"/>
              </w:rPr>
              <w:t xml:space="preserve"> </w:t>
            </w:r>
            <w:r w:rsidR="1B1462BE" w:rsidRPr="003B11BD">
              <w:rPr>
                <w:noProof/>
                <w:lang w:val="en-IE"/>
              </w:rPr>
              <w:t>as rules more coherent across MS</w:t>
            </w:r>
            <w:r w:rsidRPr="003B11BD">
              <w:rPr>
                <w:noProof/>
                <w:lang w:val="en-IE"/>
              </w:rPr>
              <w:t>.</w:t>
            </w:r>
          </w:p>
        </w:tc>
        <w:tc>
          <w:tcPr>
            <w:tcW w:w="2268" w:type="dxa"/>
          </w:tcPr>
          <w:p w14:paraId="3C9F3BB9" w14:textId="4A977417" w:rsidR="003636FD" w:rsidRPr="003B11BD" w:rsidRDefault="53130465" w:rsidP="0053626E">
            <w:pPr>
              <w:pStyle w:val="NoSpacing"/>
              <w:ind w:left="-37"/>
              <w:rPr>
                <w:noProof/>
                <w:lang w:val="en-IE"/>
              </w:rPr>
            </w:pPr>
            <w:r w:rsidRPr="003B11BD">
              <w:rPr>
                <w:noProof/>
                <w:lang w:val="en-IE"/>
              </w:rPr>
              <w:t>/</w:t>
            </w:r>
          </w:p>
        </w:tc>
      </w:tr>
      <w:tr w:rsidR="003636FD" w:rsidRPr="003B11BD" w14:paraId="08404223" w14:textId="77777777" w:rsidTr="009F6C2D">
        <w:tc>
          <w:tcPr>
            <w:tcW w:w="1418" w:type="dxa"/>
          </w:tcPr>
          <w:p w14:paraId="2BADF279" w14:textId="4C6C1EAE" w:rsidR="003636FD" w:rsidRPr="003B11BD" w:rsidRDefault="00270487" w:rsidP="006C75FC">
            <w:pPr>
              <w:pStyle w:val="NoSpacing"/>
              <w:rPr>
                <w:noProof/>
                <w:lang w:val="en-IE"/>
              </w:rPr>
            </w:pPr>
            <w:r w:rsidRPr="003B11BD">
              <w:rPr>
                <w:noProof/>
                <w:lang w:val="en-IE"/>
              </w:rPr>
              <w:t>EU countries</w:t>
            </w:r>
          </w:p>
        </w:tc>
        <w:tc>
          <w:tcPr>
            <w:tcW w:w="5387" w:type="dxa"/>
          </w:tcPr>
          <w:p w14:paraId="160DB65F" w14:textId="1EEB2031" w:rsidR="00A95090" w:rsidRPr="003B11BD" w:rsidRDefault="5876DF6B" w:rsidP="0053626E">
            <w:pPr>
              <w:pStyle w:val="NoSpacing"/>
              <w:ind w:left="-37"/>
              <w:rPr>
                <w:noProof/>
                <w:lang w:val="en-IE"/>
              </w:rPr>
            </w:pPr>
            <w:r w:rsidRPr="003B11BD">
              <w:rPr>
                <w:noProof/>
                <w:lang w:val="en-IE"/>
              </w:rPr>
              <w:t>(</w:t>
            </w:r>
            <w:r w:rsidR="004E6979" w:rsidRPr="003B11BD">
              <w:rPr>
                <w:noProof/>
                <w:lang w:val="en-IE"/>
              </w:rPr>
              <w:t>0/</w:t>
            </w:r>
            <w:r w:rsidR="056E03AE" w:rsidRPr="003B11BD">
              <w:rPr>
                <w:noProof/>
                <w:lang w:val="en-IE"/>
              </w:rPr>
              <w:t>+</w:t>
            </w:r>
            <w:r w:rsidRPr="003B11BD">
              <w:rPr>
                <w:noProof/>
                <w:lang w:val="en-IE"/>
              </w:rPr>
              <w:t>)</w:t>
            </w:r>
            <w:r w:rsidR="00A95090" w:rsidRPr="003B11BD">
              <w:rPr>
                <w:noProof/>
                <w:lang w:val="en-IE"/>
              </w:rPr>
              <w:t xml:space="preserve"> </w:t>
            </w:r>
            <w:r w:rsidR="007A7F24" w:rsidRPr="003B11BD">
              <w:rPr>
                <w:noProof/>
                <w:lang w:val="en-IE"/>
              </w:rPr>
              <w:t>Potentially</w:t>
            </w:r>
            <w:r w:rsidR="71458798" w:rsidRPr="003B11BD">
              <w:rPr>
                <w:noProof/>
                <w:lang w:val="en-IE"/>
              </w:rPr>
              <w:t xml:space="preserve"> lower costs of </w:t>
            </w:r>
            <w:r w:rsidR="63B1A37F" w:rsidRPr="003B11BD">
              <w:rPr>
                <w:noProof/>
                <w:lang w:val="en-IE"/>
              </w:rPr>
              <w:t>running</w:t>
            </w:r>
            <w:r w:rsidR="71458798" w:rsidRPr="003B11BD">
              <w:rPr>
                <w:noProof/>
                <w:lang w:val="en-IE"/>
              </w:rPr>
              <w:t xml:space="preserve"> the </w:t>
            </w:r>
            <w:r w:rsidR="00E6068C" w:rsidRPr="003B11BD">
              <w:rPr>
                <w:noProof/>
                <w:lang w:val="en-IE"/>
              </w:rPr>
              <w:t xml:space="preserve">compulsory licensing </w:t>
            </w:r>
            <w:r w:rsidR="71458798" w:rsidRPr="003B11BD">
              <w:rPr>
                <w:noProof/>
                <w:lang w:val="en-IE"/>
              </w:rPr>
              <w:t xml:space="preserve">procedure as </w:t>
            </w:r>
            <w:r w:rsidR="005E4F9D" w:rsidRPr="003B11BD">
              <w:rPr>
                <w:noProof/>
                <w:lang w:val="en-IE"/>
              </w:rPr>
              <w:t xml:space="preserve">EU countries </w:t>
            </w:r>
            <w:r w:rsidR="71458798" w:rsidRPr="003B11BD">
              <w:rPr>
                <w:noProof/>
                <w:lang w:val="en-IE"/>
              </w:rPr>
              <w:t xml:space="preserve">can rely on additional information or support from other MS, but the main </w:t>
            </w:r>
            <w:r w:rsidR="585049A2" w:rsidRPr="003B11BD">
              <w:rPr>
                <w:noProof/>
                <w:lang w:val="en-IE"/>
              </w:rPr>
              <w:t xml:space="preserve">cost of launching and implementing the </w:t>
            </w:r>
            <w:r w:rsidR="00E6068C" w:rsidRPr="003B11BD">
              <w:rPr>
                <w:noProof/>
                <w:lang w:val="en-IE"/>
              </w:rPr>
              <w:t xml:space="preserve">compulsory licensing </w:t>
            </w:r>
            <w:r w:rsidR="585049A2" w:rsidRPr="003B11BD">
              <w:rPr>
                <w:noProof/>
                <w:lang w:val="en-IE"/>
              </w:rPr>
              <w:t>procedure (negotiations with the patent holders and manufacturers)</w:t>
            </w:r>
            <w:r w:rsidR="71458798" w:rsidRPr="003B11BD">
              <w:rPr>
                <w:noProof/>
                <w:lang w:val="en-IE"/>
              </w:rPr>
              <w:t xml:space="preserve"> remain unchanged</w:t>
            </w:r>
            <w:r w:rsidR="585049A2" w:rsidRPr="003B11BD">
              <w:rPr>
                <w:noProof/>
                <w:lang w:val="en-IE"/>
              </w:rPr>
              <w:t>.</w:t>
            </w:r>
            <w:r w:rsidR="53130465" w:rsidRPr="003B11BD">
              <w:rPr>
                <w:noProof/>
                <w:lang w:val="en-IE"/>
              </w:rPr>
              <w:t xml:space="preserve"> </w:t>
            </w:r>
          </w:p>
          <w:p w14:paraId="6CDFFB5C" w14:textId="5F9B6E72" w:rsidR="003636FD" w:rsidRPr="003B11BD" w:rsidRDefault="53130465" w:rsidP="006021EF">
            <w:pPr>
              <w:pStyle w:val="NoSpacing"/>
              <w:ind w:left="-37"/>
              <w:rPr>
                <w:noProof/>
                <w:lang w:val="en-IE"/>
              </w:rPr>
            </w:pPr>
            <w:r w:rsidRPr="003B11BD">
              <w:rPr>
                <w:noProof/>
                <w:lang w:val="en-IE"/>
              </w:rPr>
              <w:t>(+) Better exchange of information about availabilities of produ</w:t>
            </w:r>
            <w:r w:rsidR="00844A21">
              <w:rPr>
                <w:noProof/>
                <w:lang w:val="en-IE"/>
              </w:rPr>
              <w:t>ct</w:t>
            </w:r>
            <w:r w:rsidR="00DF42E5">
              <w:rPr>
                <w:noProof/>
                <w:lang w:val="en-IE"/>
              </w:rPr>
              <w:t>(s)</w:t>
            </w:r>
            <w:r w:rsidR="00844A21">
              <w:rPr>
                <w:noProof/>
                <w:lang w:val="en-IE"/>
              </w:rPr>
              <w:t>, in case of</w:t>
            </w:r>
            <w:r w:rsidR="00844A21" w:rsidRPr="00844A21">
              <w:rPr>
                <w:noProof/>
                <w:lang w:val="en-IE"/>
              </w:rPr>
              <w:t xml:space="preserve"> local shortages </w:t>
            </w:r>
            <w:r w:rsidR="00844A21">
              <w:rPr>
                <w:noProof/>
                <w:lang w:val="en-IE"/>
              </w:rPr>
              <w:t xml:space="preserve">or </w:t>
            </w:r>
            <w:r w:rsidRPr="003B11BD">
              <w:rPr>
                <w:noProof/>
                <w:lang w:val="en-IE"/>
              </w:rPr>
              <w:t>cross-border value chain disruptions.</w:t>
            </w:r>
          </w:p>
        </w:tc>
        <w:tc>
          <w:tcPr>
            <w:tcW w:w="2268" w:type="dxa"/>
          </w:tcPr>
          <w:p w14:paraId="5BA968E2" w14:textId="35707387" w:rsidR="00A95090" w:rsidRPr="003B11BD" w:rsidRDefault="004A10C5" w:rsidP="0053626E">
            <w:pPr>
              <w:pStyle w:val="NoSpacing"/>
              <w:ind w:left="-37"/>
              <w:rPr>
                <w:noProof/>
                <w:lang w:val="en-IE"/>
              </w:rPr>
            </w:pPr>
            <w:r w:rsidRPr="003B11BD">
              <w:rPr>
                <w:noProof/>
                <w:lang w:val="en-IE"/>
              </w:rPr>
              <w:t>(-) C</w:t>
            </w:r>
            <w:r w:rsidR="53130465" w:rsidRPr="003B11BD">
              <w:rPr>
                <w:noProof/>
                <w:lang w:val="en-IE"/>
              </w:rPr>
              <w:t xml:space="preserve">ost of information exchange with other MS; </w:t>
            </w:r>
            <w:r w:rsidRPr="003B11BD">
              <w:rPr>
                <w:noProof/>
                <w:lang w:val="en-IE"/>
              </w:rPr>
              <w:t>(-) Cost of reporting to the EC on the implemented CL</w:t>
            </w:r>
            <w:r w:rsidR="53130465" w:rsidRPr="003B11BD">
              <w:rPr>
                <w:noProof/>
                <w:lang w:val="en-IE"/>
              </w:rPr>
              <w:t>.</w:t>
            </w:r>
          </w:p>
          <w:p w14:paraId="67BAE717" w14:textId="6C313C27" w:rsidR="003636FD" w:rsidRPr="003B11BD" w:rsidRDefault="003636FD" w:rsidP="0053626E">
            <w:pPr>
              <w:pStyle w:val="NoSpacing"/>
              <w:ind w:left="322"/>
              <w:rPr>
                <w:noProof/>
                <w:lang w:val="en-IE"/>
              </w:rPr>
            </w:pPr>
          </w:p>
        </w:tc>
      </w:tr>
      <w:tr w:rsidR="003636FD" w:rsidRPr="003B11BD" w14:paraId="29F15065" w14:textId="77777777" w:rsidTr="009F6C2D">
        <w:tc>
          <w:tcPr>
            <w:tcW w:w="1418" w:type="dxa"/>
          </w:tcPr>
          <w:p w14:paraId="2435F7F5" w14:textId="715E083F" w:rsidR="003636FD" w:rsidRPr="003B11BD" w:rsidRDefault="00270487" w:rsidP="006C75FC">
            <w:pPr>
              <w:pStyle w:val="NoSpacing"/>
              <w:rPr>
                <w:noProof/>
                <w:lang w:val="en-IE"/>
              </w:rPr>
            </w:pPr>
            <w:r w:rsidRPr="003B11BD">
              <w:rPr>
                <w:noProof/>
                <w:lang w:val="en-IE"/>
              </w:rPr>
              <w:t>The general public (</w:t>
            </w:r>
            <w:r w:rsidR="000A407D" w:rsidRPr="003B11BD">
              <w:rPr>
                <w:noProof/>
                <w:lang w:val="en-IE"/>
              </w:rPr>
              <w:t xml:space="preserve">EU </w:t>
            </w:r>
            <w:r w:rsidR="00A96DF8" w:rsidRPr="003B11BD">
              <w:rPr>
                <w:noProof/>
                <w:lang w:val="en-IE"/>
              </w:rPr>
              <w:t>c</w:t>
            </w:r>
            <w:r w:rsidR="003636FD" w:rsidRPr="003B11BD">
              <w:rPr>
                <w:noProof/>
                <w:lang w:val="en-IE"/>
              </w:rPr>
              <w:t>itizens</w:t>
            </w:r>
            <w:r w:rsidRPr="003B11BD">
              <w:rPr>
                <w:noProof/>
                <w:lang w:val="en-IE"/>
              </w:rPr>
              <w:t>)</w:t>
            </w:r>
          </w:p>
        </w:tc>
        <w:tc>
          <w:tcPr>
            <w:tcW w:w="5387" w:type="dxa"/>
          </w:tcPr>
          <w:p w14:paraId="4576312B" w14:textId="4B231B91" w:rsidR="003636FD" w:rsidRPr="003B11BD" w:rsidRDefault="585049A2" w:rsidP="009F6C2D">
            <w:pPr>
              <w:pStyle w:val="NoSpacing"/>
              <w:ind w:left="-37" w:right="-66"/>
              <w:rPr>
                <w:noProof/>
                <w:lang w:val="en-IE"/>
              </w:rPr>
            </w:pPr>
            <w:r w:rsidRPr="003B11BD">
              <w:rPr>
                <w:noProof/>
                <w:lang w:val="en-IE"/>
              </w:rPr>
              <w:t xml:space="preserve">(+) Marginally lower risk of </w:t>
            </w:r>
            <w:r w:rsidR="004E6979" w:rsidRPr="003B11BD">
              <w:rPr>
                <w:noProof/>
                <w:lang w:val="en-IE"/>
              </w:rPr>
              <w:t>delays or</w:t>
            </w:r>
            <w:r w:rsidR="5876DF6B" w:rsidRPr="003B11BD">
              <w:rPr>
                <w:noProof/>
                <w:lang w:val="en-IE"/>
              </w:rPr>
              <w:t xml:space="preserve"> </w:t>
            </w:r>
            <w:r w:rsidRPr="003B11BD">
              <w:rPr>
                <w:noProof/>
                <w:lang w:val="en-IE"/>
              </w:rPr>
              <w:t>unavailability of critical products during crisis</w:t>
            </w:r>
            <w:r w:rsidR="71458798" w:rsidRPr="003B11BD">
              <w:rPr>
                <w:noProof/>
                <w:lang w:val="en-IE"/>
              </w:rPr>
              <w:t>, as rules more coherent across MS</w:t>
            </w:r>
            <w:r w:rsidRPr="003B11BD">
              <w:rPr>
                <w:noProof/>
                <w:lang w:val="en-IE"/>
              </w:rPr>
              <w:t>.</w:t>
            </w:r>
          </w:p>
        </w:tc>
        <w:tc>
          <w:tcPr>
            <w:tcW w:w="2268" w:type="dxa"/>
          </w:tcPr>
          <w:p w14:paraId="62491D2E" w14:textId="50ECB28C" w:rsidR="003636FD" w:rsidRPr="003B11BD" w:rsidRDefault="12AF7F18" w:rsidP="0053626E">
            <w:pPr>
              <w:pStyle w:val="NoSpacing"/>
              <w:ind w:left="-37"/>
              <w:rPr>
                <w:noProof/>
                <w:lang w:val="en-IE"/>
              </w:rPr>
            </w:pPr>
            <w:r w:rsidRPr="003B11BD">
              <w:rPr>
                <w:noProof/>
                <w:lang w:val="en-IE"/>
              </w:rPr>
              <w:t>/</w:t>
            </w:r>
          </w:p>
        </w:tc>
      </w:tr>
      <w:tr w:rsidR="003660BF" w:rsidRPr="003B11BD" w14:paraId="784FAD77" w14:textId="77777777" w:rsidTr="009F6C2D">
        <w:tc>
          <w:tcPr>
            <w:tcW w:w="1418" w:type="dxa"/>
          </w:tcPr>
          <w:p w14:paraId="47D6CE7B" w14:textId="62A94803" w:rsidR="003660BF" w:rsidRPr="003B11BD" w:rsidRDefault="00EF1136" w:rsidP="006C75FC">
            <w:pPr>
              <w:pStyle w:val="NoSpacing"/>
              <w:rPr>
                <w:noProof/>
                <w:lang w:val="en-IE"/>
              </w:rPr>
            </w:pPr>
            <w:r w:rsidRPr="003B11BD">
              <w:rPr>
                <w:noProof/>
                <w:lang w:val="en-IE"/>
              </w:rPr>
              <w:t>Non-EU</w:t>
            </w:r>
            <w:r w:rsidR="003660BF" w:rsidRPr="003B11BD">
              <w:rPr>
                <w:noProof/>
                <w:lang w:val="en-IE"/>
              </w:rPr>
              <w:t xml:space="preserve"> countries</w:t>
            </w:r>
          </w:p>
        </w:tc>
        <w:tc>
          <w:tcPr>
            <w:tcW w:w="5387" w:type="dxa"/>
          </w:tcPr>
          <w:p w14:paraId="16BC129D" w14:textId="752E6FB9" w:rsidR="003660BF" w:rsidRPr="003B11BD" w:rsidRDefault="12AF7F18" w:rsidP="0053626E">
            <w:pPr>
              <w:pStyle w:val="NoSpacing"/>
              <w:ind w:left="-37"/>
              <w:rPr>
                <w:noProof/>
                <w:lang w:val="en-IE"/>
              </w:rPr>
            </w:pPr>
            <w:r w:rsidRPr="003B11BD">
              <w:rPr>
                <w:noProof/>
                <w:lang w:val="en-IE"/>
              </w:rPr>
              <w:t>(+) Increased legal certainty and administrative savings</w:t>
            </w:r>
            <w:r w:rsidR="2ED38D7A" w:rsidRPr="003B11BD">
              <w:rPr>
                <w:noProof/>
                <w:lang w:val="en-IE"/>
              </w:rPr>
              <w:t xml:space="preserve"> due to </w:t>
            </w:r>
            <w:r w:rsidR="005E4F9D" w:rsidRPr="003B11BD">
              <w:rPr>
                <w:noProof/>
                <w:lang w:val="en-IE"/>
              </w:rPr>
              <w:t xml:space="preserve">EU countries </w:t>
            </w:r>
            <w:r w:rsidR="63C1570E" w:rsidRPr="003B11BD">
              <w:rPr>
                <w:noProof/>
                <w:lang w:val="en-IE"/>
              </w:rPr>
              <w:t>information sharing and transparency obligation</w:t>
            </w:r>
            <w:r w:rsidR="3417810E" w:rsidRPr="003B11BD">
              <w:rPr>
                <w:noProof/>
                <w:lang w:val="en-IE"/>
              </w:rPr>
              <w:t xml:space="preserve"> as regards </w:t>
            </w:r>
            <w:r w:rsidR="00E6068C" w:rsidRPr="003B11BD">
              <w:rPr>
                <w:noProof/>
                <w:lang w:val="en-IE"/>
              </w:rPr>
              <w:t xml:space="preserve">compulsory licensing </w:t>
            </w:r>
            <w:r w:rsidR="3417810E" w:rsidRPr="003B11BD">
              <w:rPr>
                <w:noProof/>
                <w:lang w:val="en-IE"/>
              </w:rPr>
              <w:t>for export.</w:t>
            </w:r>
          </w:p>
        </w:tc>
        <w:tc>
          <w:tcPr>
            <w:tcW w:w="2268" w:type="dxa"/>
          </w:tcPr>
          <w:p w14:paraId="4822C0EA" w14:textId="12DA43C6" w:rsidR="003660BF" w:rsidRPr="003B11BD" w:rsidRDefault="12AF7F18" w:rsidP="0053626E">
            <w:pPr>
              <w:pStyle w:val="NoSpacing"/>
              <w:ind w:left="-37"/>
              <w:rPr>
                <w:noProof/>
                <w:lang w:val="en-IE"/>
              </w:rPr>
            </w:pPr>
            <w:r w:rsidRPr="003B11BD">
              <w:rPr>
                <w:noProof/>
                <w:lang w:val="en-IE"/>
              </w:rPr>
              <w:t>/</w:t>
            </w:r>
          </w:p>
        </w:tc>
      </w:tr>
    </w:tbl>
    <w:p w14:paraId="01054C7A" w14:textId="75451AC9" w:rsidR="00C46F61" w:rsidRPr="003B11BD" w:rsidRDefault="00EF063C" w:rsidP="00C46F61">
      <w:pPr>
        <w:pStyle w:val="Caption"/>
        <w:rPr>
          <w:noProof/>
          <w:lang w:val="en-IE"/>
        </w:rPr>
      </w:pPr>
      <w:r w:rsidRPr="003B11BD">
        <w:rPr>
          <w:noProof/>
          <w:lang w:val="en-IE"/>
        </w:rPr>
        <w:t>Note: (0) neutral impact; (+) minor positive impact; (++) positive impact; (+++) significant positive impact; (-) minor negative impact; (- -) negative impact; (- - -) significant negative impact</w:t>
      </w:r>
      <w:r w:rsidR="00C46F61" w:rsidRPr="003B11BD">
        <w:rPr>
          <w:noProof/>
          <w:lang w:val="en-IE"/>
        </w:rPr>
        <w:t xml:space="preserve"> </w:t>
      </w:r>
    </w:p>
    <w:p w14:paraId="3760631B" w14:textId="77E45B41" w:rsidR="001869D7" w:rsidRPr="003B11BD" w:rsidRDefault="001869D7" w:rsidP="001869D7">
      <w:pPr>
        <w:rPr>
          <w:noProof/>
          <w:lang w:val="en-IE"/>
        </w:rPr>
      </w:pPr>
      <w:r w:rsidRPr="003B11BD">
        <w:rPr>
          <w:b/>
          <w:bCs/>
          <w:noProof/>
          <w:lang w:val="en-IE"/>
        </w:rPr>
        <w:t>Patent owners and potential licensees</w:t>
      </w:r>
      <w:r w:rsidRPr="003B11BD">
        <w:rPr>
          <w:noProof/>
          <w:lang w:val="en-IE"/>
        </w:rPr>
        <w:t xml:space="preserve"> would benefit from this option as increased clarity and more coherent rules would improve legal certainty and </w:t>
      </w:r>
      <w:r w:rsidR="00C62C17" w:rsidRPr="003B11BD">
        <w:rPr>
          <w:noProof/>
          <w:lang w:val="en-IE"/>
        </w:rPr>
        <w:t>facilitate negotiations. T</w:t>
      </w:r>
      <w:r w:rsidR="00F64105" w:rsidRPr="003B11BD">
        <w:rPr>
          <w:noProof/>
          <w:lang w:val="en-IE"/>
        </w:rPr>
        <w:t xml:space="preserve">his would </w:t>
      </w:r>
      <w:r w:rsidRPr="003B11BD">
        <w:rPr>
          <w:noProof/>
          <w:lang w:val="en-IE"/>
        </w:rPr>
        <w:t>reduce their costs</w:t>
      </w:r>
      <w:r w:rsidR="00F64105" w:rsidRPr="003B11BD">
        <w:rPr>
          <w:noProof/>
          <w:lang w:val="en-IE"/>
        </w:rPr>
        <w:t xml:space="preserve"> in participating in such negotiations as well as providing </w:t>
      </w:r>
      <w:r w:rsidR="007A313D" w:rsidRPr="003B11BD">
        <w:rPr>
          <w:noProof/>
          <w:lang w:val="en-IE"/>
        </w:rPr>
        <w:t xml:space="preserve">patent owners with </w:t>
      </w:r>
      <w:r w:rsidR="00F64105" w:rsidRPr="003B11BD">
        <w:rPr>
          <w:noProof/>
          <w:lang w:val="en-IE"/>
        </w:rPr>
        <w:t xml:space="preserve">a better framework for </w:t>
      </w:r>
      <w:r w:rsidR="002550D1" w:rsidRPr="003B11BD">
        <w:rPr>
          <w:noProof/>
          <w:lang w:val="en-IE"/>
        </w:rPr>
        <w:t>determining the remuneration</w:t>
      </w:r>
      <w:r w:rsidRPr="003B11BD">
        <w:rPr>
          <w:noProof/>
          <w:lang w:val="en-IE"/>
        </w:rPr>
        <w:t>. However, they would still fac</w:t>
      </w:r>
      <w:r w:rsidR="002550D1" w:rsidRPr="003B11BD">
        <w:rPr>
          <w:noProof/>
          <w:lang w:val="en-IE"/>
        </w:rPr>
        <w:t>e</w:t>
      </w:r>
      <w:r w:rsidRPr="003B11BD">
        <w:rPr>
          <w:noProof/>
          <w:lang w:val="en-IE"/>
        </w:rPr>
        <w:t xml:space="preserve"> costs in </w:t>
      </w:r>
      <w:r w:rsidR="002550D1" w:rsidRPr="003B11BD">
        <w:rPr>
          <w:noProof/>
          <w:lang w:val="en-IE"/>
        </w:rPr>
        <w:t>each</w:t>
      </w:r>
      <w:r w:rsidRPr="003B11BD">
        <w:rPr>
          <w:noProof/>
          <w:lang w:val="en-IE"/>
        </w:rPr>
        <w:t xml:space="preserve"> Member State</w:t>
      </w:r>
      <w:r w:rsidR="002550D1" w:rsidRPr="003B11BD">
        <w:rPr>
          <w:noProof/>
          <w:lang w:val="en-IE"/>
        </w:rPr>
        <w:t xml:space="preserve"> </w:t>
      </w:r>
      <w:r w:rsidR="006B6CFC" w:rsidRPr="003B11BD">
        <w:rPr>
          <w:noProof/>
          <w:lang w:val="en-IE"/>
        </w:rPr>
        <w:t>launching a compulsory licensing process</w:t>
      </w:r>
      <w:r w:rsidRPr="003B11BD">
        <w:rPr>
          <w:noProof/>
          <w:lang w:val="en-IE"/>
        </w:rPr>
        <w:t xml:space="preserve">. </w:t>
      </w:r>
      <w:r w:rsidR="00270487" w:rsidRPr="003B11BD">
        <w:rPr>
          <w:b/>
          <w:noProof/>
          <w:lang w:val="en-IE"/>
        </w:rPr>
        <w:t>EU countries</w:t>
      </w:r>
      <w:r w:rsidRPr="003B11BD">
        <w:rPr>
          <w:noProof/>
          <w:lang w:val="en-IE"/>
        </w:rPr>
        <w:t xml:space="preserve"> would face one-off </w:t>
      </w:r>
      <w:r w:rsidR="00A95090" w:rsidRPr="003B11BD">
        <w:rPr>
          <w:noProof/>
          <w:lang w:val="en-IE"/>
        </w:rPr>
        <w:t xml:space="preserve">adjustment </w:t>
      </w:r>
      <w:r w:rsidRPr="003B11BD">
        <w:rPr>
          <w:noProof/>
          <w:lang w:val="en-IE"/>
        </w:rPr>
        <w:t xml:space="preserve">costs in the context of the implementation of the </w:t>
      </w:r>
      <w:r w:rsidR="006B6CFC" w:rsidRPr="003B11BD">
        <w:rPr>
          <w:noProof/>
          <w:lang w:val="en-IE"/>
        </w:rPr>
        <w:t>d</w:t>
      </w:r>
      <w:r w:rsidRPr="003B11BD">
        <w:rPr>
          <w:noProof/>
          <w:lang w:val="en-IE"/>
        </w:rPr>
        <w:t xml:space="preserve">irective through the adaptation of their national compulsory </w:t>
      </w:r>
      <w:r w:rsidR="00C55853" w:rsidRPr="003B11BD">
        <w:rPr>
          <w:noProof/>
          <w:lang w:val="en-IE"/>
        </w:rPr>
        <w:t>licensing</w:t>
      </w:r>
      <w:r w:rsidRPr="003B11BD">
        <w:rPr>
          <w:noProof/>
          <w:lang w:val="en-IE"/>
        </w:rPr>
        <w:t xml:space="preserve"> schemes. While Member States would benefit of an improved information exchange</w:t>
      </w:r>
      <w:r w:rsidR="0059119E" w:rsidRPr="003B11BD">
        <w:rPr>
          <w:noProof/>
          <w:lang w:val="en-IE"/>
        </w:rPr>
        <w:t xml:space="preserve"> and EC support</w:t>
      </w:r>
      <w:r w:rsidR="00FF6C11" w:rsidRPr="003B11BD">
        <w:rPr>
          <w:noProof/>
          <w:lang w:val="en-IE"/>
        </w:rPr>
        <w:t xml:space="preserve"> (reducing the costs </w:t>
      </w:r>
      <w:r w:rsidR="00C06FE1" w:rsidRPr="003B11BD">
        <w:rPr>
          <w:noProof/>
          <w:lang w:val="en-IE"/>
        </w:rPr>
        <w:t>related to compulsory licence procedure)</w:t>
      </w:r>
      <w:r w:rsidRPr="003B11BD">
        <w:rPr>
          <w:noProof/>
          <w:lang w:val="en-IE"/>
        </w:rPr>
        <w:t xml:space="preserve">, the obligation on information sharing and reporting would at the same time incur a </w:t>
      </w:r>
      <w:r w:rsidR="0075375C" w:rsidRPr="003B11BD">
        <w:rPr>
          <w:noProof/>
          <w:lang w:val="en-IE"/>
        </w:rPr>
        <w:t xml:space="preserve">minor </w:t>
      </w:r>
      <w:r w:rsidRPr="003B11BD">
        <w:rPr>
          <w:noProof/>
          <w:lang w:val="en-IE"/>
        </w:rPr>
        <w:t xml:space="preserve">recurring </w:t>
      </w:r>
      <w:r w:rsidR="0075375C" w:rsidRPr="003B11BD">
        <w:rPr>
          <w:noProof/>
          <w:lang w:val="en-IE"/>
        </w:rPr>
        <w:t xml:space="preserve">administrative </w:t>
      </w:r>
      <w:r w:rsidRPr="003B11BD">
        <w:rPr>
          <w:noProof/>
          <w:lang w:val="en-IE"/>
        </w:rPr>
        <w:t>cost for Member States</w:t>
      </w:r>
      <w:r w:rsidR="006B6CFC" w:rsidRPr="003B11BD">
        <w:rPr>
          <w:noProof/>
          <w:lang w:val="en-IE"/>
        </w:rPr>
        <w:t>, each time they (envisage) grant(ing) a compulsory licence</w:t>
      </w:r>
      <w:r w:rsidRPr="003B11BD">
        <w:rPr>
          <w:noProof/>
          <w:lang w:val="en-IE"/>
        </w:rPr>
        <w:t xml:space="preserve">. However, these costs would remain low because compulsory licensing is a last resort instrument, expected to be rarely used. In case of crisis, </w:t>
      </w:r>
      <w:r w:rsidR="003A3407" w:rsidRPr="003B11BD">
        <w:rPr>
          <w:b/>
          <w:noProof/>
          <w:lang w:val="en-IE"/>
        </w:rPr>
        <w:t>EU</w:t>
      </w:r>
      <w:r w:rsidR="003A3407" w:rsidRPr="003B11BD">
        <w:rPr>
          <w:noProof/>
          <w:lang w:val="en-IE"/>
        </w:rPr>
        <w:t xml:space="preserve"> </w:t>
      </w:r>
      <w:r w:rsidR="00583E06" w:rsidRPr="003B11BD">
        <w:rPr>
          <w:b/>
          <w:noProof/>
          <w:lang w:val="en-IE"/>
        </w:rPr>
        <w:t>c</w:t>
      </w:r>
      <w:r w:rsidRPr="003B11BD">
        <w:rPr>
          <w:b/>
          <w:noProof/>
          <w:lang w:val="en-IE"/>
        </w:rPr>
        <w:t>itizens</w:t>
      </w:r>
      <w:r w:rsidRPr="003B11BD">
        <w:rPr>
          <w:noProof/>
          <w:lang w:val="en-IE"/>
        </w:rPr>
        <w:t xml:space="preserve"> would face a marginally lower risk of unavailability of critical products during crisis due to the reduction of fragmentation in national </w:t>
      </w:r>
      <w:r w:rsidR="00583E06" w:rsidRPr="003B11BD">
        <w:rPr>
          <w:noProof/>
          <w:lang w:val="en-IE"/>
        </w:rPr>
        <w:t>compulsory licensing</w:t>
      </w:r>
      <w:r w:rsidRPr="003B11BD">
        <w:rPr>
          <w:noProof/>
          <w:lang w:val="en-IE"/>
        </w:rPr>
        <w:t xml:space="preserve"> schemes. As the </w:t>
      </w:r>
      <w:r w:rsidR="00583E06" w:rsidRPr="003B11BD">
        <w:rPr>
          <w:noProof/>
          <w:lang w:val="en-IE"/>
        </w:rPr>
        <w:t>d</w:t>
      </w:r>
      <w:r w:rsidRPr="003B11BD">
        <w:rPr>
          <w:noProof/>
          <w:lang w:val="en-IE"/>
        </w:rPr>
        <w:t>irectiv</w:t>
      </w:r>
      <w:r w:rsidR="003A3407" w:rsidRPr="003B11BD">
        <w:rPr>
          <w:noProof/>
          <w:lang w:val="en-IE"/>
        </w:rPr>
        <w:t xml:space="preserve">e would contain obligations </w:t>
      </w:r>
      <w:r w:rsidRPr="003B11BD">
        <w:rPr>
          <w:noProof/>
          <w:lang w:val="en-IE"/>
        </w:rPr>
        <w:t xml:space="preserve">regarding cooperation, transparency and information sharing in the context of compulsory licensing for export purposes, </w:t>
      </w:r>
      <w:r w:rsidR="002D606C" w:rsidRPr="003B11BD">
        <w:rPr>
          <w:b/>
          <w:noProof/>
          <w:lang w:val="en-IE"/>
        </w:rPr>
        <w:t xml:space="preserve">non-EU </w:t>
      </w:r>
      <w:r w:rsidRPr="003B11BD">
        <w:rPr>
          <w:b/>
          <w:noProof/>
          <w:lang w:val="en-IE"/>
        </w:rPr>
        <w:t>countries</w:t>
      </w:r>
      <w:r w:rsidRPr="003B11BD">
        <w:rPr>
          <w:noProof/>
          <w:lang w:val="en-IE"/>
        </w:rPr>
        <w:t xml:space="preserve"> would benefit of increased legal certainty throughout the Union and administrative savings.</w:t>
      </w:r>
    </w:p>
    <w:p w14:paraId="03A78EAE" w14:textId="1CF12038" w:rsidR="002A143E" w:rsidRPr="003B11BD" w:rsidRDefault="002A143E" w:rsidP="000E3086">
      <w:pPr>
        <w:pStyle w:val="Heading2"/>
        <w:rPr>
          <w:rStyle w:val="eop"/>
          <w:noProof/>
          <w:lang w:val="en-IE"/>
        </w:rPr>
      </w:pPr>
      <w:bookmarkStart w:id="559" w:name="_Toc121502999"/>
      <w:bookmarkStart w:id="560" w:name="_Toc121505016"/>
      <w:bookmarkStart w:id="561" w:name="_Toc121658247"/>
      <w:bookmarkStart w:id="562" w:name="_Toc121658515"/>
      <w:bookmarkStart w:id="563" w:name="_Toc121659593"/>
      <w:bookmarkStart w:id="564" w:name="_Toc121503000"/>
      <w:bookmarkStart w:id="565" w:name="_Toc121505017"/>
      <w:bookmarkStart w:id="566" w:name="_Toc121658248"/>
      <w:bookmarkStart w:id="567" w:name="_Toc121658516"/>
      <w:bookmarkStart w:id="568" w:name="_Toc121659594"/>
      <w:bookmarkStart w:id="569" w:name="_Toc120731230"/>
      <w:bookmarkStart w:id="570" w:name="_Toc121386389"/>
      <w:bookmarkStart w:id="571" w:name="_Toc121489607"/>
      <w:bookmarkStart w:id="572" w:name="_Toc121496367"/>
      <w:bookmarkStart w:id="573" w:name="_Toc121748026"/>
      <w:bookmarkStart w:id="574" w:name="_Toc133435379"/>
      <w:bookmarkEnd w:id="559"/>
      <w:bookmarkEnd w:id="560"/>
      <w:bookmarkEnd w:id="561"/>
      <w:bookmarkEnd w:id="562"/>
      <w:bookmarkEnd w:id="563"/>
      <w:bookmarkEnd w:id="564"/>
      <w:bookmarkEnd w:id="565"/>
      <w:bookmarkEnd w:id="566"/>
      <w:bookmarkEnd w:id="567"/>
      <w:bookmarkEnd w:id="568"/>
      <w:r w:rsidRPr="003B11BD">
        <w:rPr>
          <w:noProof/>
          <w:lang w:val="en-IE"/>
        </w:rPr>
        <w:t xml:space="preserve">Option 3 – </w:t>
      </w:r>
      <w:r w:rsidRPr="003B11BD">
        <w:rPr>
          <w:rStyle w:val="normaltextrun"/>
          <w:noProof/>
          <w:lang w:val="en-IE"/>
        </w:rPr>
        <w:t xml:space="preserve">Harmonisation </w:t>
      </w:r>
      <w:r w:rsidR="00A52EAB" w:rsidRPr="003B11BD">
        <w:rPr>
          <w:rStyle w:val="normaltextrun"/>
          <w:noProof/>
          <w:lang w:val="en-IE"/>
        </w:rPr>
        <w:t xml:space="preserve">plus a </w:t>
      </w:r>
      <w:r w:rsidRPr="003B11BD">
        <w:rPr>
          <w:rStyle w:val="normaltextrun"/>
          <w:noProof/>
          <w:lang w:val="en-IE"/>
        </w:rPr>
        <w:t xml:space="preserve">binding </w:t>
      </w:r>
      <w:r w:rsidR="00A52EAB" w:rsidRPr="003B11BD">
        <w:rPr>
          <w:rStyle w:val="normaltextrun"/>
          <w:noProof/>
          <w:lang w:val="en-IE"/>
        </w:rPr>
        <w:t>EU-level measure on</w:t>
      </w:r>
      <w:r w:rsidRPr="003B11BD">
        <w:rPr>
          <w:rStyle w:val="normaltextrun"/>
          <w:noProof/>
          <w:lang w:val="en-IE"/>
        </w:rPr>
        <w:t xml:space="preserve"> compulsory licen</w:t>
      </w:r>
      <w:r w:rsidR="001A7E64" w:rsidRPr="003B11BD">
        <w:rPr>
          <w:rStyle w:val="normaltextrun"/>
          <w:noProof/>
          <w:lang w:val="en-IE"/>
        </w:rPr>
        <w:t>s</w:t>
      </w:r>
      <w:r w:rsidR="00A52EAB" w:rsidRPr="003B11BD">
        <w:rPr>
          <w:rStyle w:val="normaltextrun"/>
          <w:noProof/>
          <w:lang w:val="en-IE"/>
        </w:rPr>
        <w:t>ing</w:t>
      </w:r>
      <w:bookmarkEnd w:id="569"/>
      <w:bookmarkEnd w:id="570"/>
      <w:bookmarkEnd w:id="571"/>
      <w:bookmarkEnd w:id="572"/>
      <w:bookmarkEnd w:id="573"/>
      <w:bookmarkEnd w:id="574"/>
      <w:r w:rsidRPr="003B11BD">
        <w:rPr>
          <w:rStyle w:val="eop"/>
          <w:noProof/>
          <w:lang w:val="en-IE"/>
        </w:rPr>
        <w:t> </w:t>
      </w:r>
    </w:p>
    <w:p w14:paraId="753C910B" w14:textId="2255B20B" w:rsidR="00FF27EF" w:rsidRPr="003B11BD" w:rsidRDefault="00C412C4" w:rsidP="00ED49E6">
      <w:pPr>
        <w:pStyle w:val="Heading3"/>
        <w:rPr>
          <w:noProof/>
        </w:rPr>
      </w:pPr>
      <w:bookmarkStart w:id="575" w:name="_Toc121489608"/>
      <w:bookmarkStart w:id="576" w:name="_Toc121496368"/>
      <w:bookmarkStart w:id="577" w:name="_Toc121748027"/>
      <w:bookmarkStart w:id="578" w:name="_Toc133435380"/>
      <w:bookmarkStart w:id="579" w:name="_Toc120731231"/>
      <w:bookmarkStart w:id="580" w:name="_Toc121386390"/>
      <w:r w:rsidRPr="003B11BD">
        <w:rPr>
          <w:noProof/>
        </w:rPr>
        <w:t>Improve the key features</w:t>
      </w:r>
      <w:r w:rsidR="00FF27EF" w:rsidRPr="003B11BD">
        <w:rPr>
          <w:noProof/>
        </w:rPr>
        <w:t xml:space="preserve"> of compulsory licensing</w:t>
      </w:r>
      <w:bookmarkEnd w:id="575"/>
      <w:bookmarkEnd w:id="576"/>
      <w:bookmarkEnd w:id="577"/>
      <w:bookmarkEnd w:id="578"/>
    </w:p>
    <w:bookmarkEnd w:id="579"/>
    <w:bookmarkEnd w:id="580"/>
    <w:p w14:paraId="71C5CBA6" w14:textId="15237684" w:rsidR="002B7BEF" w:rsidRPr="003B11BD" w:rsidDel="00CF2132" w:rsidRDefault="009527F5">
      <w:pPr>
        <w:pStyle w:val="Text2"/>
        <w:ind w:left="0"/>
        <w:rPr>
          <w:noProof/>
          <w:lang w:val="en-IE"/>
        </w:rPr>
      </w:pPr>
      <w:r w:rsidRPr="003B11BD">
        <w:rPr>
          <w:noProof/>
          <w:lang w:val="en-IE"/>
        </w:rPr>
        <w:t xml:space="preserve">Under </w:t>
      </w:r>
      <w:r w:rsidR="00056FE4" w:rsidRPr="003B11BD">
        <w:rPr>
          <w:noProof/>
          <w:lang w:val="en-IE"/>
        </w:rPr>
        <w:t>O</w:t>
      </w:r>
      <w:r w:rsidRPr="003B11BD">
        <w:rPr>
          <w:noProof/>
          <w:lang w:val="en-IE"/>
        </w:rPr>
        <w:t>ption 3</w:t>
      </w:r>
      <w:r w:rsidR="003F318B" w:rsidRPr="003B11BD">
        <w:rPr>
          <w:noProof/>
          <w:lang w:val="en-IE"/>
        </w:rPr>
        <w:t>,</w:t>
      </w:r>
      <w:r w:rsidRPr="003B11BD">
        <w:rPr>
          <w:noProof/>
          <w:lang w:val="en-IE"/>
        </w:rPr>
        <w:t xml:space="preserve"> </w:t>
      </w:r>
      <w:r w:rsidR="009806DA" w:rsidRPr="003B11BD">
        <w:rPr>
          <w:noProof/>
          <w:lang w:val="en-IE"/>
        </w:rPr>
        <w:t xml:space="preserve">all Member States would </w:t>
      </w:r>
      <w:r w:rsidR="00B4474E" w:rsidRPr="003B11BD">
        <w:rPr>
          <w:noProof/>
          <w:lang w:val="en-IE"/>
        </w:rPr>
        <w:t xml:space="preserve">introduce in their national </w:t>
      </w:r>
      <w:r w:rsidR="00B763BC" w:rsidRPr="003B11BD">
        <w:rPr>
          <w:noProof/>
          <w:lang w:val="en-IE"/>
        </w:rPr>
        <w:t xml:space="preserve">law </w:t>
      </w:r>
      <w:r w:rsidR="00710115" w:rsidRPr="003B11BD">
        <w:rPr>
          <w:noProof/>
          <w:lang w:val="en-IE"/>
        </w:rPr>
        <w:t>a compulsory licensing scheme for cross-border crisis management</w:t>
      </w:r>
      <w:r w:rsidR="002754AF" w:rsidRPr="003B11BD">
        <w:rPr>
          <w:noProof/>
          <w:lang w:val="en-IE"/>
        </w:rPr>
        <w:t xml:space="preserve"> </w:t>
      </w:r>
      <w:r w:rsidR="00EF72BA" w:rsidRPr="003B11BD">
        <w:rPr>
          <w:noProof/>
          <w:lang w:val="en-IE"/>
        </w:rPr>
        <w:t>triggered by an EU</w:t>
      </w:r>
      <w:r w:rsidR="009B6288" w:rsidRPr="003B11BD">
        <w:rPr>
          <w:noProof/>
          <w:lang w:val="en-IE"/>
        </w:rPr>
        <w:t>-level decision or ini</w:t>
      </w:r>
      <w:r w:rsidR="005A16D3" w:rsidRPr="003B11BD">
        <w:rPr>
          <w:noProof/>
          <w:lang w:val="en-IE"/>
        </w:rPr>
        <w:t>tiated by concerned Member States</w:t>
      </w:r>
      <w:r w:rsidR="00710115" w:rsidRPr="003B11BD">
        <w:rPr>
          <w:noProof/>
          <w:lang w:val="en-IE"/>
        </w:rPr>
        <w:t xml:space="preserve">. </w:t>
      </w:r>
      <w:r w:rsidR="00564B4A" w:rsidRPr="003B11BD">
        <w:rPr>
          <w:noProof/>
          <w:lang w:val="en-IE"/>
        </w:rPr>
        <w:t xml:space="preserve">Albeit the co-existence of two triggering mechanisms may seem to add complexity to the system, yet it </w:t>
      </w:r>
      <w:r w:rsidR="004B3A17" w:rsidRPr="003B11BD">
        <w:rPr>
          <w:noProof/>
          <w:lang w:val="en-IE"/>
        </w:rPr>
        <w:t xml:space="preserve">provides for more flexibility </w:t>
      </w:r>
      <w:r w:rsidR="00564B4A" w:rsidRPr="003B11BD">
        <w:rPr>
          <w:noProof/>
          <w:lang w:val="en-IE"/>
        </w:rPr>
        <w:t xml:space="preserve">to address all possible types of cross-border crisis. </w:t>
      </w:r>
      <w:r w:rsidR="00293306" w:rsidRPr="003B11BD">
        <w:rPr>
          <w:noProof/>
          <w:lang w:val="en-IE"/>
        </w:rPr>
        <w:t xml:space="preserve">The </w:t>
      </w:r>
      <w:r w:rsidR="006F7964" w:rsidRPr="003B11BD">
        <w:rPr>
          <w:noProof/>
          <w:lang w:val="en-IE"/>
        </w:rPr>
        <w:t xml:space="preserve">national </w:t>
      </w:r>
      <w:r w:rsidR="00293306" w:rsidRPr="003B11BD">
        <w:rPr>
          <w:noProof/>
          <w:lang w:val="en-IE"/>
        </w:rPr>
        <w:t>compulsory licence</w:t>
      </w:r>
      <w:r w:rsidR="006F7964" w:rsidRPr="003B11BD">
        <w:rPr>
          <w:noProof/>
          <w:lang w:val="en-IE"/>
        </w:rPr>
        <w:t xml:space="preserve">s granted </w:t>
      </w:r>
      <w:r w:rsidR="00CA310F" w:rsidRPr="003B11BD">
        <w:rPr>
          <w:noProof/>
          <w:lang w:val="en-IE"/>
        </w:rPr>
        <w:t>under this scheme</w:t>
      </w:r>
      <w:r w:rsidR="00293306" w:rsidRPr="003B11BD">
        <w:rPr>
          <w:noProof/>
          <w:lang w:val="en-IE"/>
        </w:rPr>
        <w:t xml:space="preserve"> would be based on </w:t>
      </w:r>
      <w:r w:rsidR="00C8786A" w:rsidRPr="003B11BD">
        <w:rPr>
          <w:noProof/>
          <w:lang w:val="en-IE"/>
        </w:rPr>
        <w:t xml:space="preserve">a Commission </w:t>
      </w:r>
      <w:r w:rsidR="0099639E" w:rsidRPr="003B11BD">
        <w:rPr>
          <w:noProof/>
          <w:lang w:val="en-IE"/>
        </w:rPr>
        <w:t>activation measure</w:t>
      </w:r>
      <w:r w:rsidR="00CA310F" w:rsidRPr="003B11BD">
        <w:rPr>
          <w:noProof/>
          <w:lang w:val="en-IE"/>
        </w:rPr>
        <w:t xml:space="preserve">. </w:t>
      </w:r>
      <w:r w:rsidR="006B14C0" w:rsidRPr="003B11BD">
        <w:rPr>
          <w:noProof/>
          <w:lang w:val="en-IE"/>
        </w:rPr>
        <w:t xml:space="preserve">This would provide full harmonisation on some of the key conditions (e.g. territorial scope, duration) and allow clarity and coherence </w:t>
      </w:r>
      <w:r w:rsidR="0006112E" w:rsidRPr="003B11BD">
        <w:rPr>
          <w:noProof/>
          <w:lang w:val="en-IE"/>
        </w:rPr>
        <w:t>of</w:t>
      </w:r>
      <w:r w:rsidR="006B14C0" w:rsidRPr="003B11BD">
        <w:rPr>
          <w:noProof/>
          <w:lang w:val="en-IE"/>
        </w:rPr>
        <w:t xml:space="preserve"> the different national compulsory licences. </w:t>
      </w:r>
      <w:r w:rsidR="006676A6" w:rsidRPr="003B11BD">
        <w:rPr>
          <w:noProof/>
          <w:lang w:val="en-IE"/>
        </w:rPr>
        <w:t xml:space="preserve">Under this option, </w:t>
      </w:r>
      <w:r w:rsidR="006B14C0" w:rsidRPr="003B11BD">
        <w:rPr>
          <w:noProof/>
          <w:lang w:val="en-IE"/>
        </w:rPr>
        <w:t>Member States would be required to grant a compulsory licence in c</w:t>
      </w:r>
      <w:r w:rsidR="002338B3" w:rsidRPr="003B11BD">
        <w:rPr>
          <w:noProof/>
          <w:lang w:val="en-IE"/>
        </w:rPr>
        <w:t>ertain cases</w:t>
      </w:r>
      <w:r w:rsidR="006B14C0" w:rsidRPr="003B11BD">
        <w:rPr>
          <w:noProof/>
          <w:lang w:val="en-IE"/>
        </w:rPr>
        <w:t xml:space="preserve">. </w:t>
      </w:r>
      <w:r w:rsidR="002338B3" w:rsidRPr="003B11BD">
        <w:rPr>
          <w:noProof/>
          <w:lang w:val="en-IE"/>
        </w:rPr>
        <w:t>T</w:t>
      </w:r>
      <w:r w:rsidR="006B14C0" w:rsidRPr="003B11BD">
        <w:rPr>
          <w:noProof/>
          <w:lang w:val="en-IE"/>
        </w:rPr>
        <w:t xml:space="preserve">his option would </w:t>
      </w:r>
      <w:r w:rsidR="002338B3" w:rsidRPr="003B11BD">
        <w:rPr>
          <w:noProof/>
          <w:lang w:val="en-IE"/>
        </w:rPr>
        <w:t>therefore</w:t>
      </w:r>
      <w:r w:rsidR="006B14C0" w:rsidRPr="003B11BD">
        <w:rPr>
          <w:noProof/>
          <w:lang w:val="en-IE"/>
        </w:rPr>
        <w:t xml:space="preserve"> result in improving the legal framework on compulsory licensing for </w:t>
      </w:r>
      <w:r w:rsidR="002338B3" w:rsidRPr="003B11BD">
        <w:rPr>
          <w:noProof/>
          <w:lang w:val="en-IE"/>
        </w:rPr>
        <w:t>cross-border</w:t>
      </w:r>
      <w:r w:rsidR="006B14C0" w:rsidRPr="003B11BD">
        <w:rPr>
          <w:noProof/>
          <w:lang w:val="en-IE"/>
        </w:rPr>
        <w:t xml:space="preserve"> crises. </w:t>
      </w:r>
      <w:r w:rsidR="002338B3" w:rsidRPr="003B11BD">
        <w:rPr>
          <w:noProof/>
          <w:lang w:val="en-IE"/>
        </w:rPr>
        <w:t>However, a</w:t>
      </w:r>
      <w:r w:rsidR="00CA310F" w:rsidRPr="003B11BD">
        <w:rPr>
          <w:noProof/>
          <w:lang w:val="en-IE"/>
        </w:rPr>
        <w:t xml:space="preserve">lthough </w:t>
      </w:r>
      <w:r w:rsidR="00B540C0" w:rsidRPr="003B11BD">
        <w:rPr>
          <w:noProof/>
          <w:lang w:val="en-IE"/>
        </w:rPr>
        <w:t>PO</w:t>
      </w:r>
      <w:r w:rsidR="0083677F" w:rsidRPr="003B11BD">
        <w:rPr>
          <w:noProof/>
          <w:lang w:val="en-IE"/>
        </w:rPr>
        <w:t xml:space="preserve">3 would require Member States to </w:t>
      </w:r>
      <w:r w:rsidR="001C6CB8" w:rsidRPr="003B11BD">
        <w:rPr>
          <w:noProof/>
          <w:lang w:val="en-IE"/>
        </w:rPr>
        <w:t>set</w:t>
      </w:r>
      <w:r w:rsidR="004036CD" w:rsidRPr="003B11BD">
        <w:rPr>
          <w:noProof/>
          <w:lang w:val="en-IE"/>
        </w:rPr>
        <w:t xml:space="preserve">-up accelerated procedures, these procedures can differ nationally. In addition, some conditions such as remuneration would be decided at national level. </w:t>
      </w:r>
      <w:r w:rsidR="00994389" w:rsidRPr="003B11BD">
        <w:rPr>
          <w:noProof/>
          <w:lang w:val="en-IE"/>
        </w:rPr>
        <w:t>Therefore</w:t>
      </w:r>
      <w:r w:rsidR="00A53A39" w:rsidRPr="003B11BD">
        <w:rPr>
          <w:noProof/>
          <w:lang w:val="en-IE"/>
        </w:rPr>
        <w:t>, despite harmonised criteria for determining the remuneration, the actual assessment can greatly vary from one Member State to another.</w:t>
      </w:r>
      <w:r w:rsidR="000A3367" w:rsidRPr="003B11BD">
        <w:rPr>
          <w:noProof/>
          <w:lang w:val="en-IE"/>
        </w:rPr>
        <w:t xml:space="preserve"> Consequently</w:t>
      </w:r>
      <w:r w:rsidR="004036CD" w:rsidRPr="003B11BD">
        <w:rPr>
          <w:noProof/>
          <w:lang w:val="en-IE"/>
        </w:rPr>
        <w:t>, despite</w:t>
      </w:r>
      <w:r w:rsidR="000D381B" w:rsidRPr="003B11BD">
        <w:rPr>
          <w:noProof/>
          <w:lang w:val="en-IE"/>
        </w:rPr>
        <w:t xml:space="preserve"> the </w:t>
      </w:r>
      <w:r w:rsidR="00874964" w:rsidRPr="003B11BD">
        <w:rPr>
          <w:noProof/>
          <w:lang w:val="en-IE"/>
        </w:rPr>
        <w:t xml:space="preserve">harmonisation provided under Option 3, </w:t>
      </w:r>
      <w:r w:rsidR="005324C7" w:rsidRPr="003B11BD">
        <w:rPr>
          <w:noProof/>
          <w:lang w:val="en-IE"/>
        </w:rPr>
        <w:t>coherence and clarity would not be optimal as regards all the features of the national compulsory licences.</w:t>
      </w:r>
      <w:r w:rsidR="000924E2" w:rsidRPr="003B11BD">
        <w:rPr>
          <w:noProof/>
          <w:lang w:val="en-IE"/>
        </w:rPr>
        <w:t xml:space="preserve"> </w:t>
      </w:r>
    </w:p>
    <w:p w14:paraId="512796E8" w14:textId="715171A7" w:rsidR="00E26A92" w:rsidRPr="003B11BD" w:rsidRDefault="00A94F37" w:rsidP="00ED49E6">
      <w:pPr>
        <w:pStyle w:val="Heading3"/>
        <w:rPr>
          <w:noProof/>
        </w:rPr>
      </w:pPr>
      <w:bookmarkStart w:id="581" w:name="_Toc121748028"/>
      <w:bookmarkStart w:id="582" w:name="_Toc133435381"/>
      <w:bookmarkStart w:id="583" w:name="_Toc120731233"/>
      <w:bookmarkStart w:id="584" w:name="_Toc121386392"/>
      <w:bookmarkStart w:id="585" w:name="_Toc121489609"/>
      <w:bookmarkStart w:id="586" w:name="_Toc121496369"/>
      <w:r w:rsidRPr="003B11BD">
        <w:rPr>
          <w:noProof/>
        </w:rPr>
        <w:t>Territorial reach</w:t>
      </w:r>
      <w:r w:rsidR="00933D80" w:rsidRPr="003B11BD">
        <w:rPr>
          <w:noProof/>
        </w:rPr>
        <w:t xml:space="preserve"> of</w:t>
      </w:r>
      <w:r w:rsidR="00E26A92" w:rsidRPr="003B11BD">
        <w:rPr>
          <w:noProof/>
        </w:rPr>
        <w:t xml:space="preserve"> compulsory licensing</w:t>
      </w:r>
      <w:bookmarkEnd w:id="581"/>
      <w:bookmarkEnd w:id="582"/>
      <w:r w:rsidR="00E26A92" w:rsidRPr="003B11BD">
        <w:rPr>
          <w:noProof/>
        </w:rPr>
        <w:t xml:space="preserve"> </w:t>
      </w:r>
    </w:p>
    <w:bookmarkEnd w:id="583"/>
    <w:bookmarkEnd w:id="584"/>
    <w:bookmarkEnd w:id="585"/>
    <w:bookmarkEnd w:id="586"/>
    <w:p w14:paraId="1DD68C9C" w14:textId="0DC71266" w:rsidR="00981305" w:rsidRPr="003B11BD" w:rsidDel="00CF2132" w:rsidRDefault="00563238" w:rsidP="00AA41B6">
      <w:pPr>
        <w:rPr>
          <w:noProof/>
          <w:lang w:val="en-IE"/>
        </w:rPr>
      </w:pPr>
      <w:r w:rsidRPr="003B11BD">
        <w:rPr>
          <w:noProof/>
          <w:lang w:val="en-IE"/>
        </w:rPr>
        <w:t>O</w:t>
      </w:r>
      <w:r w:rsidR="00947493" w:rsidRPr="003B11BD">
        <w:rPr>
          <w:noProof/>
          <w:lang w:val="en-IE"/>
        </w:rPr>
        <w:t>ption</w:t>
      </w:r>
      <w:r w:rsidRPr="003B11BD">
        <w:rPr>
          <w:noProof/>
          <w:lang w:val="en-IE"/>
        </w:rPr>
        <w:t xml:space="preserve"> 3</w:t>
      </w:r>
      <w:r w:rsidR="00947493" w:rsidRPr="003B11BD" w:rsidDel="00CF2132">
        <w:rPr>
          <w:noProof/>
          <w:lang w:val="en-IE"/>
        </w:rPr>
        <w:t xml:space="preserve"> would </w:t>
      </w:r>
      <w:r w:rsidR="009A340C" w:rsidRPr="003B11BD" w:rsidDel="00CF2132">
        <w:rPr>
          <w:noProof/>
          <w:lang w:val="en-IE"/>
        </w:rPr>
        <w:t xml:space="preserve">provide </w:t>
      </w:r>
      <w:r w:rsidR="00EC7471" w:rsidRPr="003B11BD" w:rsidDel="00CF2132">
        <w:rPr>
          <w:noProof/>
          <w:lang w:val="en-IE"/>
        </w:rPr>
        <w:t>a dynamic and efficient</w:t>
      </w:r>
      <w:r w:rsidR="009A340C" w:rsidRPr="003B11BD" w:rsidDel="00CF2132">
        <w:rPr>
          <w:noProof/>
          <w:lang w:val="en-IE"/>
        </w:rPr>
        <w:t xml:space="preserve"> </w:t>
      </w:r>
      <w:r w:rsidR="008B2B9B" w:rsidRPr="003B11BD" w:rsidDel="00CF2132">
        <w:rPr>
          <w:noProof/>
          <w:lang w:val="en-IE"/>
        </w:rPr>
        <w:t>solution as regards the territorial scope of the compulsory licence</w:t>
      </w:r>
      <w:r w:rsidR="00EC7471" w:rsidRPr="003B11BD" w:rsidDel="00CF2132">
        <w:rPr>
          <w:noProof/>
          <w:lang w:val="en-IE"/>
        </w:rPr>
        <w:t xml:space="preserve">: </w:t>
      </w:r>
      <w:r w:rsidR="00FE14C8" w:rsidRPr="003B11BD" w:rsidDel="00CF2132">
        <w:rPr>
          <w:noProof/>
          <w:lang w:val="en-IE"/>
        </w:rPr>
        <w:t>the licence would cover all EU countries being affected by the crisis</w:t>
      </w:r>
      <w:r w:rsidR="00EC7471" w:rsidRPr="003B11BD" w:rsidDel="00CF2132">
        <w:rPr>
          <w:noProof/>
          <w:lang w:val="en-IE"/>
        </w:rPr>
        <w:t xml:space="preserve"> and its</w:t>
      </w:r>
      <w:r w:rsidR="00C33239" w:rsidRPr="003B11BD" w:rsidDel="00CF2132">
        <w:rPr>
          <w:noProof/>
          <w:lang w:val="en-IE"/>
        </w:rPr>
        <w:t xml:space="preserve"> territorial scope </w:t>
      </w:r>
      <w:r w:rsidR="00EC7471" w:rsidRPr="003B11BD" w:rsidDel="00CF2132">
        <w:rPr>
          <w:noProof/>
          <w:lang w:val="en-IE"/>
        </w:rPr>
        <w:t xml:space="preserve">could </w:t>
      </w:r>
      <w:r w:rsidR="00C33239" w:rsidRPr="003B11BD" w:rsidDel="00CF2132">
        <w:rPr>
          <w:noProof/>
          <w:lang w:val="en-IE"/>
        </w:rPr>
        <w:t xml:space="preserve">be modified depending on the </w:t>
      </w:r>
      <w:r w:rsidR="00F240AC" w:rsidRPr="003B11BD" w:rsidDel="00CF2132">
        <w:rPr>
          <w:noProof/>
          <w:lang w:val="en-IE"/>
        </w:rPr>
        <w:t>evolution of the crisis.</w:t>
      </w:r>
      <w:r w:rsidR="00505873" w:rsidRPr="003B11BD" w:rsidDel="00CF2132">
        <w:rPr>
          <w:noProof/>
          <w:lang w:val="en-IE"/>
        </w:rPr>
        <w:t xml:space="preserve"> </w:t>
      </w:r>
      <w:r w:rsidR="00452FED" w:rsidRPr="003B11BD">
        <w:rPr>
          <w:noProof/>
          <w:lang w:val="en-IE"/>
        </w:rPr>
        <w:t>N</w:t>
      </w:r>
      <w:r w:rsidR="002751FB" w:rsidRPr="003B11BD">
        <w:rPr>
          <w:noProof/>
          <w:lang w:val="en-IE"/>
        </w:rPr>
        <w:t xml:space="preserve">ational granting decisions would still be needed for each Member State where the manufacturing of products will take place. </w:t>
      </w:r>
      <w:r w:rsidR="00452FED" w:rsidRPr="003B11BD">
        <w:rPr>
          <w:noProof/>
          <w:lang w:val="en-IE"/>
        </w:rPr>
        <w:t>However, importing Member States would no longer need</w:t>
      </w:r>
      <w:r w:rsidR="00E520B8" w:rsidRPr="003B11BD">
        <w:rPr>
          <w:noProof/>
          <w:lang w:val="en-IE"/>
        </w:rPr>
        <w:t xml:space="preserve"> to issue a compulsory licence, as </w:t>
      </w:r>
      <w:r w:rsidR="00F240AC" w:rsidRPr="003B11BD" w:rsidDel="00CF2132">
        <w:rPr>
          <w:noProof/>
          <w:lang w:val="en-IE"/>
        </w:rPr>
        <w:t>national granting decisions would have a cross-border effect</w:t>
      </w:r>
      <w:r w:rsidR="004153F1" w:rsidRPr="003B11BD" w:rsidDel="00CF2132">
        <w:rPr>
          <w:noProof/>
          <w:lang w:val="en-IE"/>
        </w:rPr>
        <w:t xml:space="preserve">, coupled with </w:t>
      </w:r>
      <w:r w:rsidR="00B128DF" w:rsidRPr="003B11BD" w:rsidDel="00CF2132">
        <w:rPr>
          <w:noProof/>
          <w:lang w:val="en-IE"/>
        </w:rPr>
        <w:t>an exhaustion for the EU market</w:t>
      </w:r>
      <w:r w:rsidR="005D5F05" w:rsidRPr="003B11BD" w:rsidDel="00CF2132">
        <w:rPr>
          <w:noProof/>
          <w:lang w:val="en-IE"/>
        </w:rPr>
        <w:t>.</w:t>
      </w:r>
      <w:r w:rsidR="00B128DF" w:rsidRPr="003B11BD" w:rsidDel="00CF2132">
        <w:rPr>
          <w:noProof/>
          <w:lang w:val="en-IE"/>
        </w:rPr>
        <w:t xml:space="preserve"> </w:t>
      </w:r>
      <w:r w:rsidR="00843001" w:rsidRPr="003B11BD" w:rsidDel="00CF2132">
        <w:rPr>
          <w:noProof/>
          <w:lang w:val="en-IE"/>
        </w:rPr>
        <w:t xml:space="preserve">Consequently, </w:t>
      </w:r>
      <w:r w:rsidR="00843001" w:rsidRPr="003B11BD">
        <w:rPr>
          <w:noProof/>
          <w:lang w:val="en-IE"/>
        </w:rPr>
        <w:t>p</w:t>
      </w:r>
      <w:r w:rsidR="00D02892" w:rsidRPr="003B11BD">
        <w:rPr>
          <w:noProof/>
          <w:lang w:val="en-IE"/>
        </w:rPr>
        <w:t>roducts</w:t>
      </w:r>
      <w:r w:rsidR="00D02892" w:rsidRPr="003B11BD" w:rsidDel="00CF2132">
        <w:rPr>
          <w:noProof/>
          <w:lang w:val="en-IE"/>
        </w:rPr>
        <w:t xml:space="preserve"> manufactured under a national compulsory licence having its source in an EU </w:t>
      </w:r>
      <w:r w:rsidR="007D6A09" w:rsidRPr="003B11BD">
        <w:rPr>
          <w:noProof/>
          <w:lang w:val="en-IE"/>
        </w:rPr>
        <w:t>activation measure</w:t>
      </w:r>
      <w:r w:rsidR="002A472D" w:rsidRPr="003B11BD" w:rsidDel="00CF2132">
        <w:rPr>
          <w:noProof/>
          <w:lang w:val="en-IE"/>
        </w:rPr>
        <w:t xml:space="preserve"> could be exported to other EU countries </w:t>
      </w:r>
      <w:r w:rsidR="00AB5047" w:rsidRPr="003B11BD" w:rsidDel="00CF2132">
        <w:rPr>
          <w:noProof/>
          <w:lang w:val="en-IE"/>
        </w:rPr>
        <w:t>without the need for the importing countries to issue a compulsory licence.</w:t>
      </w:r>
      <w:r w:rsidR="005D5F05" w:rsidRPr="003B11BD" w:rsidDel="00CF2132">
        <w:rPr>
          <w:noProof/>
          <w:lang w:val="en-IE"/>
        </w:rPr>
        <w:t xml:space="preserve"> </w:t>
      </w:r>
      <w:r w:rsidR="005F45C0" w:rsidRPr="003B11BD" w:rsidDel="00CF2132">
        <w:rPr>
          <w:noProof/>
          <w:lang w:val="en-IE"/>
        </w:rPr>
        <w:t xml:space="preserve">This option would also solve the </w:t>
      </w:r>
      <w:r w:rsidR="00CD0C87" w:rsidRPr="003B11BD" w:rsidDel="00CF2132">
        <w:rPr>
          <w:noProof/>
          <w:lang w:val="en-IE"/>
        </w:rPr>
        <w:t>discrepancies</w:t>
      </w:r>
      <w:r w:rsidR="005F45C0" w:rsidRPr="003B11BD" w:rsidDel="00CF2132">
        <w:rPr>
          <w:noProof/>
          <w:lang w:val="en-IE"/>
        </w:rPr>
        <w:t xml:space="preserve"> that may </w:t>
      </w:r>
      <w:r w:rsidR="00BF0734" w:rsidRPr="003B11BD" w:rsidDel="00CF2132">
        <w:rPr>
          <w:noProof/>
          <w:lang w:val="en-IE"/>
        </w:rPr>
        <w:t xml:space="preserve">currently exist between </w:t>
      </w:r>
      <w:r w:rsidR="00E96CB9" w:rsidRPr="003B11BD" w:rsidDel="00CF2132">
        <w:rPr>
          <w:noProof/>
          <w:lang w:val="en-IE"/>
        </w:rPr>
        <w:t xml:space="preserve">the compulsory licence to export and </w:t>
      </w:r>
      <w:r w:rsidR="00CD0C87" w:rsidRPr="003B11BD" w:rsidDel="00CF2132">
        <w:rPr>
          <w:noProof/>
          <w:lang w:val="en-IE"/>
        </w:rPr>
        <w:t xml:space="preserve">the one to </w:t>
      </w:r>
      <w:r w:rsidR="00E96CB9" w:rsidRPr="003B11BD" w:rsidDel="00CF2132">
        <w:rPr>
          <w:noProof/>
          <w:lang w:val="en-IE"/>
        </w:rPr>
        <w:t xml:space="preserve">import (cf. </w:t>
      </w:r>
      <w:r w:rsidR="00E96CB9" w:rsidRPr="003B11BD" w:rsidDel="00CF2132">
        <w:rPr>
          <w:i/>
          <w:noProof/>
          <w:lang w:val="en-IE"/>
        </w:rPr>
        <w:t>supra</w:t>
      </w:r>
      <w:r w:rsidR="00E96CB9" w:rsidRPr="003B11BD" w:rsidDel="00CF2132">
        <w:rPr>
          <w:noProof/>
          <w:lang w:val="en-IE"/>
        </w:rPr>
        <w:t>).</w:t>
      </w:r>
      <w:r w:rsidR="00505873" w:rsidRPr="003B11BD" w:rsidDel="00CF2132">
        <w:rPr>
          <w:noProof/>
          <w:lang w:val="en-IE"/>
        </w:rPr>
        <w:t xml:space="preserve"> </w:t>
      </w:r>
    </w:p>
    <w:p w14:paraId="28044BDD" w14:textId="1AB9A6B0" w:rsidR="00135D19" w:rsidRPr="003B11BD" w:rsidDel="00CF2132" w:rsidRDefault="00135D19" w:rsidP="00ED49E6">
      <w:pPr>
        <w:pStyle w:val="Heading3"/>
        <w:rPr>
          <w:noProof/>
        </w:rPr>
      </w:pPr>
      <w:bookmarkStart w:id="587" w:name="_Toc120731235"/>
      <w:bookmarkStart w:id="588" w:name="_Toc121386394"/>
      <w:bookmarkStart w:id="589" w:name="_Toc121489610"/>
      <w:bookmarkStart w:id="590" w:name="_Toc121496370"/>
      <w:bookmarkStart w:id="591" w:name="_Toc121748029"/>
      <w:bookmarkStart w:id="592" w:name="_Toc133435382"/>
      <w:r w:rsidRPr="003B11BD" w:rsidDel="00CF2132">
        <w:rPr>
          <w:noProof/>
        </w:rPr>
        <w:t>Support to EU resilience</w:t>
      </w:r>
      <w:bookmarkEnd w:id="587"/>
      <w:bookmarkEnd w:id="588"/>
      <w:bookmarkEnd w:id="589"/>
      <w:bookmarkEnd w:id="590"/>
      <w:bookmarkEnd w:id="591"/>
      <w:bookmarkEnd w:id="592"/>
    </w:p>
    <w:p w14:paraId="30869629" w14:textId="175F0574" w:rsidR="00D03D43" w:rsidRPr="003B11BD" w:rsidRDefault="00D03D43">
      <w:pPr>
        <w:rPr>
          <w:rStyle w:val="normaltextrun"/>
          <w:noProof/>
          <w:lang w:val="en-IE"/>
        </w:rPr>
      </w:pPr>
      <w:r w:rsidRPr="003B11BD">
        <w:rPr>
          <w:noProof/>
          <w:lang w:val="en-IE"/>
        </w:rPr>
        <w:t>This option would complement other EU crisis instruments as the activation of a crisis mode under an EU crisis instrument, such as SMEI</w:t>
      </w:r>
      <w:r w:rsidR="007D0ADE" w:rsidRPr="003B11BD">
        <w:rPr>
          <w:noProof/>
          <w:lang w:val="en-IE"/>
        </w:rPr>
        <w:t xml:space="preserve">, can be the trigger leading to the granting of </w:t>
      </w:r>
      <w:r w:rsidR="0001098C" w:rsidRPr="003B11BD">
        <w:rPr>
          <w:noProof/>
          <w:lang w:val="en-IE"/>
        </w:rPr>
        <w:t xml:space="preserve">one or more </w:t>
      </w:r>
      <w:r w:rsidR="007D0ADE" w:rsidRPr="003B11BD">
        <w:rPr>
          <w:noProof/>
          <w:lang w:val="en-IE"/>
        </w:rPr>
        <w:t>compulsory licence</w:t>
      </w:r>
      <w:r w:rsidR="0001098C" w:rsidRPr="003B11BD">
        <w:rPr>
          <w:noProof/>
          <w:lang w:val="en-IE"/>
        </w:rPr>
        <w:t>(s)</w:t>
      </w:r>
      <w:r w:rsidR="007D0ADE" w:rsidRPr="003B11BD">
        <w:rPr>
          <w:noProof/>
          <w:lang w:val="en-IE"/>
        </w:rPr>
        <w:t xml:space="preserve">. The reliance on the existing advisory body when the trigger </w:t>
      </w:r>
      <w:r w:rsidR="00041D33" w:rsidRPr="003B11BD">
        <w:rPr>
          <w:noProof/>
          <w:lang w:val="en-IE"/>
        </w:rPr>
        <w:t>originates in an EU crisis instrument, also ensures an optimal coherence with</w:t>
      </w:r>
      <w:r w:rsidR="00EF7B57" w:rsidRPr="003B11BD">
        <w:rPr>
          <w:noProof/>
          <w:lang w:val="en-IE"/>
        </w:rPr>
        <w:t xml:space="preserve"> </w:t>
      </w:r>
      <w:r w:rsidR="00A30DFE" w:rsidRPr="003B11BD">
        <w:rPr>
          <w:noProof/>
          <w:lang w:val="en-IE"/>
        </w:rPr>
        <w:t>EU</w:t>
      </w:r>
      <w:r w:rsidR="00EF7B57" w:rsidRPr="003B11BD">
        <w:rPr>
          <w:noProof/>
          <w:lang w:val="en-IE"/>
        </w:rPr>
        <w:t xml:space="preserve"> crisis instruments. </w:t>
      </w:r>
      <w:r w:rsidR="0028458C" w:rsidRPr="003B11BD">
        <w:rPr>
          <w:noProof/>
          <w:lang w:val="en-IE"/>
        </w:rPr>
        <w:t>The</w:t>
      </w:r>
      <w:r w:rsidR="0028458C" w:rsidRPr="003B11BD">
        <w:rPr>
          <w:rStyle w:val="normaltextrun"/>
          <w:bCs/>
          <w:noProof/>
          <w:lang w:val="en-IE"/>
        </w:rPr>
        <w:t xml:space="preserve"> transparency and information exchange obligations for Member States as regards applications for and granting of compulsory licences based on the Commission act</w:t>
      </w:r>
      <w:r w:rsidR="00CB0C0F" w:rsidRPr="003B11BD">
        <w:rPr>
          <w:rStyle w:val="normaltextrun"/>
          <w:bCs/>
          <w:noProof/>
          <w:lang w:val="en-IE"/>
        </w:rPr>
        <w:t>ivation measure</w:t>
      </w:r>
      <w:r w:rsidR="0028458C" w:rsidRPr="003B11BD">
        <w:rPr>
          <w:rStyle w:val="normaltextrun"/>
          <w:bCs/>
          <w:noProof/>
          <w:lang w:val="en-IE"/>
        </w:rPr>
        <w:t xml:space="preserve"> and in the context of </w:t>
      </w:r>
      <w:r w:rsidR="000C155F" w:rsidRPr="003B11BD">
        <w:rPr>
          <w:bCs/>
          <w:noProof/>
          <w:lang w:val="en-IE"/>
        </w:rPr>
        <w:t>Regulation (EC) No 816/2006</w:t>
      </w:r>
      <w:r w:rsidR="00A30DFE" w:rsidRPr="003B11BD">
        <w:rPr>
          <w:rStyle w:val="normaltextrun"/>
          <w:bCs/>
          <w:noProof/>
          <w:lang w:val="en-IE"/>
        </w:rPr>
        <w:t xml:space="preserve"> would improve the coordination of compulsory licences in the EU</w:t>
      </w:r>
      <w:r w:rsidR="004F6C34" w:rsidRPr="003B11BD">
        <w:rPr>
          <w:rStyle w:val="normaltextrun"/>
          <w:bCs/>
          <w:noProof/>
          <w:lang w:val="en-IE"/>
        </w:rPr>
        <w:t xml:space="preserve">. The </w:t>
      </w:r>
      <w:r w:rsidR="00C34A90" w:rsidRPr="003B11BD">
        <w:rPr>
          <w:rStyle w:val="normaltextrun"/>
          <w:bCs/>
          <w:noProof/>
          <w:lang w:val="en-IE"/>
        </w:rPr>
        <w:t>support provided by the Commission to</w:t>
      </w:r>
      <w:r w:rsidR="004F6C34" w:rsidRPr="003B11BD">
        <w:rPr>
          <w:rStyle w:val="normaltextrun"/>
          <w:bCs/>
          <w:noProof/>
          <w:lang w:val="en-IE"/>
        </w:rPr>
        <w:t xml:space="preserve"> </w:t>
      </w:r>
      <w:r w:rsidR="0018673E" w:rsidRPr="003B11BD">
        <w:rPr>
          <w:rStyle w:val="normaltextrun"/>
          <w:bCs/>
          <w:noProof/>
          <w:lang w:val="en-IE"/>
        </w:rPr>
        <w:t>third coun</w:t>
      </w:r>
      <w:r w:rsidR="00087802" w:rsidRPr="003B11BD">
        <w:rPr>
          <w:rStyle w:val="normaltextrun"/>
          <w:bCs/>
          <w:noProof/>
          <w:lang w:val="en-IE"/>
        </w:rPr>
        <w:t xml:space="preserve">tries would </w:t>
      </w:r>
      <w:r w:rsidR="006F2FC4" w:rsidRPr="003B11BD">
        <w:rPr>
          <w:rStyle w:val="normaltextrun"/>
          <w:bCs/>
          <w:noProof/>
          <w:lang w:val="en-IE"/>
        </w:rPr>
        <w:t xml:space="preserve">facilitate decision-making </w:t>
      </w:r>
      <w:r w:rsidR="2A5DFB06" w:rsidRPr="003B11BD">
        <w:rPr>
          <w:rStyle w:val="normaltextrun"/>
          <w:noProof/>
          <w:lang w:val="en-IE"/>
        </w:rPr>
        <w:t xml:space="preserve">in the context of </w:t>
      </w:r>
      <w:r w:rsidR="000C155F" w:rsidRPr="003B11BD">
        <w:rPr>
          <w:rStyle w:val="normaltextrun"/>
          <w:noProof/>
          <w:lang w:val="en-IE"/>
        </w:rPr>
        <w:t>Regulation (EC) No 816/2006</w:t>
      </w:r>
      <w:r w:rsidR="2A5DFB06" w:rsidRPr="003B11BD">
        <w:rPr>
          <w:rStyle w:val="normaltextrun"/>
          <w:noProof/>
          <w:lang w:val="en-IE"/>
        </w:rPr>
        <w:t xml:space="preserve"> </w:t>
      </w:r>
      <w:r w:rsidR="7F003BA1" w:rsidRPr="003B11BD">
        <w:rPr>
          <w:rStyle w:val="normaltextrun"/>
          <w:noProof/>
          <w:lang w:val="en-IE"/>
        </w:rPr>
        <w:t>in case</w:t>
      </w:r>
      <w:r w:rsidR="1A47D73C" w:rsidRPr="003B11BD">
        <w:rPr>
          <w:rStyle w:val="normaltextrun"/>
          <w:noProof/>
          <w:lang w:val="en-IE"/>
        </w:rPr>
        <w:t xml:space="preserve"> multiple compulsory lice</w:t>
      </w:r>
      <w:r w:rsidR="56237AA8" w:rsidRPr="003B11BD">
        <w:rPr>
          <w:rStyle w:val="normaltextrun"/>
          <w:noProof/>
          <w:lang w:val="en-IE"/>
        </w:rPr>
        <w:t xml:space="preserve">nces </w:t>
      </w:r>
      <w:r w:rsidR="52AEB94A" w:rsidRPr="003B11BD">
        <w:rPr>
          <w:rStyle w:val="normaltextrun"/>
          <w:noProof/>
          <w:lang w:val="en-IE"/>
        </w:rPr>
        <w:t xml:space="preserve">in different Member States </w:t>
      </w:r>
      <w:r w:rsidR="56237AA8" w:rsidRPr="003B11BD">
        <w:rPr>
          <w:rStyle w:val="normaltextrun"/>
          <w:noProof/>
          <w:lang w:val="en-IE"/>
        </w:rPr>
        <w:t xml:space="preserve">are </w:t>
      </w:r>
      <w:r w:rsidR="44F59BAC" w:rsidRPr="003B11BD">
        <w:rPr>
          <w:rStyle w:val="normaltextrun"/>
          <w:noProof/>
          <w:lang w:val="en-IE"/>
        </w:rPr>
        <w:t>required</w:t>
      </w:r>
      <w:r w:rsidR="039865C7" w:rsidRPr="003B11BD">
        <w:rPr>
          <w:rStyle w:val="normaltextrun"/>
          <w:noProof/>
          <w:lang w:val="en-IE"/>
        </w:rPr>
        <w:t xml:space="preserve"> to </w:t>
      </w:r>
      <w:r w:rsidR="301D4196" w:rsidRPr="003B11BD">
        <w:rPr>
          <w:rStyle w:val="normaltextrun"/>
          <w:noProof/>
          <w:lang w:val="en-IE"/>
        </w:rPr>
        <w:t>address</w:t>
      </w:r>
      <w:r w:rsidR="5C8A110C" w:rsidRPr="003B11BD">
        <w:rPr>
          <w:rStyle w:val="normaltextrun"/>
          <w:noProof/>
          <w:lang w:val="en-IE"/>
        </w:rPr>
        <w:t xml:space="preserve"> the third country’s needs</w:t>
      </w:r>
      <w:r w:rsidR="3A741ED0" w:rsidRPr="003B11BD">
        <w:rPr>
          <w:rStyle w:val="normaltextrun"/>
          <w:noProof/>
          <w:lang w:val="en-IE"/>
        </w:rPr>
        <w:t>. Both</w:t>
      </w:r>
      <w:r w:rsidR="391F454C" w:rsidRPr="003B11BD">
        <w:rPr>
          <w:rStyle w:val="normaltextrun"/>
          <w:noProof/>
          <w:lang w:val="en-IE"/>
        </w:rPr>
        <w:t>,</w:t>
      </w:r>
      <w:r w:rsidR="4DB0A885" w:rsidRPr="003B11BD">
        <w:rPr>
          <w:rStyle w:val="normaltextrun"/>
          <w:noProof/>
          <w:lang w:val="en-IE"/>
        </w:rPr>
        <w:t xml:space="preserve"> </w:t>
      </w:r>
      <w:r w:rsidR="002D606C" w:rsidRPr="003B11BD">
        <w:rPr>
          <w:rStyle w:val="normaltextrun"/>
          <w:noProof/>
          <w:lang w:val="en-IE"/>
        </w:rPr>
        <w:t xml:space="preserve">non-EU </w:t>
      </w:r>
      <w:r w:rsidR="4DB0A885" w:rsidRPr="003B11BD">
        <w:rPr>
          <w:rStyle w:val="normaltextrun"/>
          <w:noProof/>
          <w:lang w:val="en-IE"/>
        </w:rPr>
        <w:t xml:space="preserve">countries </w:t>
      </w:r>
      <w:r w:rsidR="2B9722CE" w:rsidRPr="003B11BD">
        <w:rPr>
          <w:rStyle w:val="normaltextrun"/>
          <w:noProof/>
          <w:lang w:val="en-IE"/>
        </w:rPr>
        <w:t>and</w:t>
      </w:r>
      <w:r w:rsidR="3BF6C6D4" w:rsidRPr="003B11BD">
        <w:rPr>
          <w:rStyle w:val="normaltextrun"/>
          <w:noProof/>
          <w:lang w:val="en-IE"/>
        </w:rPr>
        <w:t xml:space="preserve"> Member States </w:t>
      </w:r>
      <w:r w:rsidR="35031EB7" w:rsidRPr="003B11BD">
        <w:rPr>
          <w:rStyle w:val="normaltextrun"/>
          <w:noProof/>
          <w:lang w:val="en-IE"/>
        </w:rPr>
        <w:t xml:space="preserve">would benefit </w:t>
      </w:r>
      <w:r w:rsidR="26329751" w:rsidRPr="003B11BD">
        <w:rPr>
          <w:rStyle w:val="normaltextrun"/>
          <w:noProof/>
          <w:lang w:val="en-IE"/>
        </w:rPr>
        <w:t>from improved cooperation</w:t>
      </w:r>
      <w:r w:rsidR="7AB9DA05" w:rsidRPr="003B11BD">
        <w:rPr>
          <w:rStyle w:val="normaltextrun"/>
          <w:noProof/>
          <w:lang w:val="en-IE"/>
        </w:rPr>
        <w:t xml:space="preserve"> at EU level</w:t>
      </w:r>
      <w:r w:rsidR="26329751" w:rsidRPr="003B11BD">
        <w:rPr>
          <w:rStyle w:val="normaltextrun"/>
          <w:noProof/>
          <w:lang w:val="en-IE"/>
        </w:rPr>
        <w:t>.</w:t>
      </w:r>
      <w:r w:rsidR="00DA3C74" w:rsidRPr="003B11BD">
        <w:rPr>
          <w:rStyle w:val="normaltextrun"/>
          <w:noProof/>
          <w:lang w:val="en-IE"/>
        </w:rPr>
        <w:t xml:space="preserve"> </w:t>
      </w:r>
      <w:r w:rsidR="00EF1136" w:rsidRPr="003B11BD">
        <w:rPr>
          <w:rStyle w:val="normaltextrun"/>
          <w:noProof/>
          <w:lang w:val="en-IE"/>
        </w:rPr>
        <w:t>Non-EU</w:t>
      </w:r>
      <w:r w:rsidR="2DCA5772" w:rsidRPr="003B11BD">
        <w:rPr>
          <w:rStyle w:val="normaltextrun"/>
          <w:noProof/>
          <w:lang w:val="en-IE"/>
        </w:rPr>
        <w:t xml:space="preserve"> countries would </w:t>
      </w:r>
      <w:r w:rsidR="00554D66" w:rsidRPr="003B11BD">
        <w:rPr>
          <w:rStyle w:val="normaltextrun"/>
          <w:noProof/>
          <w:lang w:val="en-IE"/>
        </w:rPr>
        <w:t>benefit from greater clarity as regards the</w:t>
      </w:r>
      <w:r w:rsidR="2DCA5772" w:rsidRPr="003B11BD">
        <w:rPr>
          <w:rStyle w:val="normaltextrun"/>
          <w:noProof/>
          <w:lang w:val="en-IE"/>
        </w:rPr>
        <w:t xml:space="preserve"> manufacture and s</w:t>
      </w:r>
      <w:r w:rsidR="13EEA228" w:rsidRPr="003B11BD">
        <w:rPr>
          <w:rStyle w:val="normaltextrun"/>
          <w:noProof/>
          <w:lang w:val="en-IE"/>
        </w:rPr>
        <w:t xml:space="preserve">ale for export under </w:t>
      </w:r>
      <w:r w:rsidR="000C155F" w:rsidRPr="003B11BD">
        <w:rPr>
          <w:rStyle w:val="normaltextrun"/>
          <w:noProof/>
          <w:lang w:val="en-IE"/>
        </w:rPr>
        <w:t>Regulation (EC) No 816/2006</w:t>
      </w:r>
      <w:r w:rsidR="19E5AFB9" w:rsidRPr="003B11BD">
        <w:rPr>
          <w:rStyle w:val="normaltextrun"/>
          <w:noProof/>
          <w:lang w:val="en-IE"/>
        </w:rPr>
        <w:t>.</w:t>
      </w:r>
      <w:r w:rsidR="2DCA5772" w:rsidRPr="003B11BD">
        <w:rPr>
          <w:rStyle w:val="normaltextrun"/>
          <w:noProof/>
          <w:lang w:val="en-IE"/>
        </w:rPr>
        <w:t xml:space="preserve"> </w:t>
      </w:r>
      <w:r w:rsidR="03A2301C" w:rsidRPr="003B11BD">
        <w:rPr>
          <w:rStyle w:val="normaltextrun"/>
          <w:noProof/>
          <w:lang w:val="en-IE"/>
        </w:rPr>
        <w:t xml:space="preserve">However, </w:t>
      </w:r>
      <w:r w:rsidR="4AE6DF8A" w:rsidRPr="003B11BD">
        <w:rPr>
          <w:rStyle w:val="normaltextrun"/>
          <w:noProof/>
          <w:lang w:val="en-IE"/>
        </w:rPr>
        <w:t>in the absence of a compulsory licence with an EU-wide effect for export to third count</w:t>
      </w:r>
      <w:r w:rsidR="6277A0F0" w:rsidRPr="003B11BD">
        <w:rPr>
          <w:rStyle w:val="normaltextrun"/>
          <w:noProof/>
          <w:lang w:val="en-IE"/>
        </w:rPr>
        <w:t>ries, they would still need to apply for several compulsory licences i</w:t>
      </w:r>
      <w:r w:rsidR="45948307" w:rsidRPr="003B11BD">
        <w:rPr>
          <w:rStyle w:val="normaltextrun"/>
          <w:noProof/>
          <w:lang w:val="en-IE"/>
        </w:rPr>
        <w:t xml:space="preserve">f the cross-border </w:t>
      </w:r>
      <w:r w:rsidR="3D36668A" w:rsidRPr="003B11BD">
        <w:rPr>
          <w:rStyle w:val="normaltextrun"/>
          <w:noProof/>
          <w:lang w:val="en-IE"/>
        </w:rPr>
        <w:t>manufacturing</w:t>
      </w:r>
      <w:r w:rsidR="462407E9" w:rsidRPr="003B11BD">
        <w:rPr>
          <w:rStyle w:val="normaltextrun"/>
          <w:noProof/>
          <w:lang w:val="en-IE"/>
        </w:rPr>
        <w:t xml:space="preserve"> chain of the product concerned requires it</w:t>
      </w:r>
      <w:r w:rsidR="007D2964" w:rsidRPr="003B11BD">
        <w:rPr>
          <w:rStyle w:val="normaltextrun"/>
          <w:noProof/>
          <w:lang w:val="en-IE"/>
        </w:rPr>
        <w:t xml:space="preserve"> and may face legal uncertainty in that respect (including as regards the possibility to allow cross-border manufacturing of the final product)</w:t>
      </w:r>
      <w:r w:rsidR="462407E9" w:rsidRPr="003B11BD">
        <w:rPr>
          <w:rStyle w:val="normaltextrun"/>
          <w:noProof/>
          <w:lang w:val="en-IE"/>
        </w:rPr>
        <w:t>.</w:t>
      </w:r>
      <w:r w:rsidR="3D36668A" w:rsidRPr="003B11BD">
        <w:rPr>
          <w:rStyle w:val="normaltextrun"/>
          <w:noProof/>
          <w:lang w:val="en-IE"/>
        </w:rPr>
        <w:t xml:space="preserve"> </w:t>
      </w:r>
    </w:p>
    <w:p w14:paraId="131F9E94" w14:textId="0CDC25C9" w:rsidR="00364BA7" w:rsidRPr="003B11BD" w:rsidDel="00F051D2" w:rsidRDefault="00D7081B" w:rsidP="00ED49E6">
      <w:pPr>
        <w:pStyle w:val="Heading3"/>
        <w:rPr>
          <w:noProof/>
        </w:rPr>
      </w:pPr>
      <w:bookmarkStart w:id="593" w:name="_Toc121386396"/>
      <w:bookmarkStart w:id="594" w:name="_Toc121489611"/>
      <w:bookmarkStart w:id="595" w:name="_Toc121496371"/>
      <w:bookmarkStart w:id="596" w:name="_Toc121748030"/>
      <w:bookmarkStart w:id="597" w:name="_Toc133435383"/>
      <w:r w:rsidRPr="003B11BD" w:rsidDel="00F051D2">
        <w:rPr>
          <w:noProof/>
        </w:rPr>
        <w:t>Impacts</w:t>
      </w:r>
      <w:r w:rsidR="00364BA7" w:rsidRPr="003B11BD" w:rsidDel="00F051D2">
        <w:rPr>
          <w:noProof/>
        </w:rPr>
        <w:t xml:space="preserve"> per stakeholder group</w:t>
      </w:r>
      <w:bookmarkEnd w:id="593"/>
      <w:bookmarkEnd w:id="594"/>
      <w:bookmarkEnd w:id="595"/>
      <w:bookmarkEnd w:id="596"/>
      <w:bookmarkEnd w:id="597"/>
    </w:p>
    <w:p w14:paraId="33E2C91E" w14:textId="26E94174" w:rsidR="004E7238" w:rsidRPr="003B11BD" w:rsidRDefault="004E7238" w:rsidP="004E7238">
      <w:pPr>
        <w:rPr>
          <w:noProof/>
          <w:lang w:val="en-IE"/>
        </w:rPr>
      </w:pPr>
      <w:r w:rsidRPr="003B11BD">
        <w:rPr>
          <w:noProof/>
          <w:lang w:val="en-IE"/>
        </w:rPr>
        <w:t xml:space="preserve">The </w:t>
      </w:r>
      <w:r w:rsidR="003A3407" w:rsidRPr="003B11BD">
        <w:rPr>
          <w:noProof/>
          <w:lang w:val="en-IE"/>
        </w:rPr>
        <w:t>impacts of PO</w:t>
      </w:r>
      <w:r w:rsidRPr="003B11BD">
        <w:rPr>
          <w:noProof/>
          <w:lang w:val="en-IE"/>
        </w:rPr>
        <w:t xml:space="preserve">3 </w:t>
      </w:r>
      <w:r w:rsidR="003A3407" w:rsidRPr="003B11BD">
        <w:rPr>
          <w:noProof/>
          <w:lang w:val="en-IE"/>
        </w:rPr>
        <w:t>per stakeholder group are summarized in Table 4 below</w:t>
      </w:r>
      <w:r w:rsidRPr="003B11BD">
        <w:rPr>
          <w:noProof/>
          <w:lang w:val="en-IE"/>
        </w:rPr>
        <w:t>.</w:t>
      </w:r>
    </w:p>
    <w:p w14:paraId="6473F0D2" w14:textId="70B38AA9" w:rsidR="00857C80" w:rsidRPr="003B11BD" w:rsidRDefault="00857C80" w:rsidP="001C10F5">
      <w:pPr>
        <w:pStyle w:val="Caption"/>
        <w:rPr>
          <w:noProof/>
          <w:lang w:val="en-IE"/>
        </w:rPr>
      </w:pPr>
      <w:r w:rsidRPr="003B11BD">
        <w:rPr>
          <w:noProof/>
          <w:lang w:val="en-IE"/>
        </w:rPr>
        <w:t xml:space="preserve">Table </w:t>
      </w:r>
      <w:r w:rsidR="00C6592A">
        <w:rPr>
          <w:noProof/>
          <w:lang w:val="en-IE"/>
        </w:rPr>
        <w:t>4</w:t>
      </w:r>
      <w:r w:rsidRPr="003B11BD">
        <w:rPr>
          <w:noProof/>
          <w:lang w:val="en-IE"/>
        </w:rPr>
        <w:t xml:space="preserve">: </w:t>
      </w:r>
      <w:r w:rsidR="00D7081B" w:rsidRPr="003B11BD">
        <w:rPr>
          <w:noProof/>
          <w:lang w:val="en-IE"/>
        </w:rPr>
        <w:t xml:space="preserve">Impacts on stakeholders </w:t>
      </w:r>
      <w:r w:rsidR="007976EA" w:rsidRPr="003B11BD">
        <w:rPr>
          <w:noProof/>
          <w:lang w:val="en-IE"/>
        </w:rPr>
        <w:t>in the event of a</w:t>
      </w:r>
      <w:r w:rsidR="001C10F5" w:rsidRPr="003B11BD">
        <w:rPr>
          <w:noProof/>
          <w:lang w:val="en-IE"/>
        </w:rPr>
        <w:t xml:space="preserve"> </w:t>
      </w:r>
      <w:r w:rsidR="00302419" w:rsidRPr="003B11BD">
        <w:rPr>
          <w:noProof/>
          <w:lang w:val="en-IE"/>
        </w:rPr>
        <w:t xml:space="preserve">cross-border </w:t>
      </w:r>
      <w:r w:rsidR="001C10F5" w:rsidRPr="003B11BD">
        <w:rPr>
          <w:noProof/>
          <w:lang w:val="en-IE"/>
        </w:rPr>
        <w:t xml:space="preserve">crisis </w:t>
      </w:r>
      <w:r w:rsidR="00D7081B" w:rsidRPr="003B11BD">
        <w:rPr>
          <w:noProof/>
          <w:lang w:val="en-IE"/>
        </w:rPr>
        <w:t>-</w:t>
      </w:r>
      <w:r w:rsidR="00B540C0" w:rsidRPr="003B11BD">
        <w:rPr>
          <w:noProof/>
          <w:lang w:val="en-IE"/>
        </w:rPr>
        <w:t xml:space="preserve"> </w:t>
      </w:r>
      <w:r w:rsidRPr="003B11BD">
        <w:rPr>
          <w:noProof/>
          <w:lang w:val="en-IE"/>
        </w:rPr>
        <w:t xml:space="preserve">Option 3 </w:t>
      </w:r>
      <w:r w:rsidR="000D42C0" w:rsidRPr="003B11BD">
        <w:rPr>
          <w:noProof/>
          <w:lang w:val="en-IE"/>
        </w:rPr>
        <w:t>compared to the baseline</w:t>
      </w:r>
    </w:p>
    <w:tbl>
      <w:tblPr>
        <w:tblStyle w:val="TableGrid"/>
        <w:tblW w:w="0" w:type="auto"/>
        <w:tblLayout w:type="fixed"/>
        <w:tblLook w:val="04A0" w:firstRow="1" w:lastRow="0" w:firstColumn="1" w:lastColumn="0" w:noHBand="0" w:noVBand="1"/>
      </w:tblPr>
      <w:tblGrid>
        <w:gridCol w:w="1418"/>
        <w:gridCol w:w="5387"/>
        <w:gridCol w:w="2268"/>
      </w:tblGrid>
      <w:tr w:rsidR="00857C80" w:rsidRPr="003B11BD" w14:paraId="28B5B7C8" w14:textId="77777777" w:rsidTr="006021EF">
        <w:tc>
          <w:tcPr>
            <w:tcW w:w="1418" w:type="dxa"/>
            <w:tcBorders>
              <w:top w:val="single" w:sz="12" w:space="0" w:color="FFFFFF" w:themeColor="background1"/>
              <w:left w:val="single" w:sz="12" w:space="0" w:color="FFFFFF" w:themeColor="background1"/>
            </w:tcBorders>
          </w:tcPr>
          <w:p w14:paraId="2872911F" w14:textId="77777777" w:rsidR="00857C80" w:rsidRPr="003B11BD" w:rsidRDefault="00857C80" w:rsidP="006C75FC">
            <w:pPr>
              <w:pStyle w:val="NoSpacing"/>
              <w:rPr>
                <w:noProof/>
                <w:lang w:val="en-IE"/>
              </w:rPr>
            </w:pPr>
          </w:p>
        </w:tc>
        <w:tc>
          <w:tcPr>
            <w:tcW w:w="5387" w:type="dxa"/>
          </w:tcPr>
          <w:p w14:paraId="4E361B51" w14:textId="1C04C8E3" w:rsidR="00857C80" w:rsidRPr="003B11BD" w:rsidRDefault="00A95090" w:rsidP="00A95090">
            <w:pPr>
              <w:pStyle w:val="NoSpacing"/>
              <w:rPr>
                <w:b/>
                <w:noProof/>
                <w:lang w:val="en-IE"/>
              </w:rPr>
            </w:pPr>
            <w:r w:rsidRPr="003B11BD">
              <w:rPr>
                <w:b/>
                <w:noProof/>
                <w:lang w:val="en-IE"/>
              </w:rPr>
              <w:t xml:space="preserve">Advantages </w:t>
            </w:r>
          </w:p>
        </w:tc>
        <w:tc>
          <w:tcPr>
            <w:tcW w:w="2268" w:type="dxa"/>
          </w:tcPr>
          <w:p w14:paraId="0CC2D017" w14:textId="7E9B5F90" w:rsidR="00857C80" w:rsidRPr="003B11BD" w:rsidRDefault="00A95090" w:rsidP="006C75FC">
            <w:pPr>
              <w:pStyle w:val="NoSpacing"/>
              <w:rPr>
                <w:b/>
                <w:noProof/>
                <w:lang w:val="en-IE"/>
              </w:rPr>
            </w:pPr>
            <w:r w:rsidRPr="003B11BD">
              <w:rPr>
                <w:b/>
                <w:noProof/>
                <w:lang w:val="en-IE"/>
              </w:rPr>
              <w:t>Disadvantages</w:t>
            </w:r>
          </w:p>
        </w:tc>
      </w:tr>
      <w:tr w:rsidR="00857C80" w:rsidRPr="003B11BD" w14:paraId="424C5456" w14:textId="77777777" w:rsidTr="006021EF">
        <w:tc>
          <w:tcPr>
            <w:tcW w:w="1418" w:type="dxa"/>
          </w:tcPr>
          <w:p w14:paraId="5E583AB0" w14:textId="77777777" w:rsidR="00857C80" w:rsidRPr="003B11BD" w:rsidRDefault="00857C80" w:rsidP="006C75FC">
            <w:pPr>
              <w:pStyle w:val="NoSpacing"/>
              <w:rPr>
                <w:noProof/>
                <w:lang w:val="en-IE"/>
              </w:rPr>
            </w:pPr>
            <w:r w:rsidRPr="003B11BD">
              <w:rPr>
                <w:noProof/>
                <w:lang w:val="en-IE"/>
              </w:rPr>
              <w:t>Patent owners</w:t>
            </w:r>
          </w:p>
        </w:tc>
        <w:tc>
          <w:tcPr>
            <w:tcW w:w="5387" w:type="dxa"/>
          </w:tcPr>
          <w:p w14:paraId="41230B15" w14:textId="42A63DD7" w:rsidR="00A95090" w:rsidRPr="003B11BD" w:rsidRDefault="00857C80" w:rsidP="006C2D7A">
            <w:pPr>
              <w:pStyle w:val="NoSpacing"/>
              <w:ind w:left="-37"/>
              <w:rPr>
                <w:noProof/>
                <w:lang w:val="en-IE"/>
              </w:rPr>
            </w:pPr>
            <w:r w:rsidRPr="003B11BD">
              <w:rPr>
                <w:noProof/>
                <w:lang w:val="en-IE"/>
              </w:rPr>
              <w:t>(+</w:t>
            </w:r>
            <w:r w:rsidR="004E6979" w:rsidRPr="003B11BD">
              <w:rPr>
                <w:noProof/>
                <w:lang w:val="en-IE"/>
              </w:rPr>
              <w:t xml:space="preserve"> </w:t>
            </w:r>
            <w:r w:rsidR="00315262" w:rsidRPr="003B11BD">
              <w:rPr>
                <w:noProof/>
                <w:lang w:val="en-IE"/>
              </w:rPr>
              <w:t>+</w:t>
            </w:r>
            <w:r w:rsidRPr="003B11BD">
              <w:rPr>
                <w:noProof/>
                <w:lang w:val="en-IE"/>
              </w:rPr>
              <w:t>)</w:t>
            </w:r>
            <w:r w:rsidR="13AA2C9B" w:rsidRPr="003B11BD">
              <w:rPr>
                <w:noProof/>
                <w:lang w:val="en-IE"/>
              </w:rPr>
              <w:t xml:space="preserve"> </w:t>
            </w:r>
            <w:r w:rsidR="002F791A" w:rsidRPr="003B11BD">
              <w:rPr>
                <w:noProof/>
                <w:lang w:val="en-IE"/>
              </w:rPr>
              <w:t>L</w:t>
            </w:r>
            <w:r w:rsidRPr="003B11BD">
              <w:rPr>
                <w:noProof/>
                <w:lang w:val="en-IE"/>
              </w:rPr>
              <w:t>ower</w:t>
            </w:r>
            <w:r w:rsidR="13AA2C9B" w:rsidRPr="003B11BD">
              <w:rPr>
                <w:noProof/>
                <w:lang w:val="en-IE"/>
              </w:rPr>
              <w:t xml:space="preserve"> costs</w:t>
            </w:r>
            <w:r w:rsidR="002F791A" w:rsidRPr="003B11BD">
              <w:rPr>
                <w:noProof/>
                <w:lang w:val="en-IE"/>
              </w:rPr>
              <w:t xml:space="preserve"> of negotiations</w:t>
            </w:r>
            <w:r w:rsidRPr="003B11BD">
              <w:rPr>
                <w:noProof/>
                <w:lang w:val="en-IE"/>
              </w:rPr>
              <w:t>,</w:t>
            </w:r>
            <w:r w:rsidR="13AA2C9B" w:rsidRPr="003B11BD">
              <w:rPr>
                <w:noProof/>
                <w:lang w:val="en-IE"/>
              </w:rPr>
              <w:t xml:space="preserve"> </w:t>
            </w:r>
            <w:r w:rsidR="49B53575" w:rsidRPr="003B11BD">
              <w:rPr>
                <w:noProof/>
                <w:lang w:val="en-IE"/>
              </w:rPr>
              <w:t>as</w:t>
            </w:r>
            <w:r w:rsidR="13AA2C9B" w:rsidRPr="003B11BD">
              <w:rPr>
                <w:noProof/>
                <w:lang w:val="en-IE"/>
              </w:rPr>
              <w:t xml:space="preserve"> </w:t>
            </w:r>
            <w:r w:rsidR="002F791A" w:rsidRPr="003B11BD">
              <w:rPr>
                <w:noProof/>
                <w:lang w:val="en-IE"/>
              </w:rPr>
              <w:t xml:space="preserve">they </w:t>
            </w:r>
            <w:r w:rsidR="13AA2C9B" w:rsidRPr="003B11BD">
              <w:rPr>
                <w:noProof/>
                <w:lang w:val="en-IE"/>
              </w:rPr>
              <w:t xml:space="preserve">would </w:t>
            </w:r>
            <w:r w:rsidR="243E1EFF" w:rsidRPr="003B11BD">
              <w:rPr>
                <w:noProof/>
                <w:lang w:val="en-IE"/>
              </w:rPr>
              <w:t xml:space="preserve">partially </w:t>
            </w:r>
            <w:r w:rsidR="13AA2C9B" w:rsidRPr="003B11BD">
              <w:rPr>
                <w:noProof/>
                <w:lang w:val="en-IE"/>
              </w:rPr>
              <w:t xml:space="preserve">be run at EU level instead of multiple procedures in each </w:t>
            </w:r>
            <w:r w:rsidR="005E4F9D" w:rsidRPr="003B11BD">
              <w:rPr>
                <w:noProof/>
                <w:lang w:val="en-IE"/>
              </w:rPr>
              <w:t xml:space="preserve">EU country </w:t>
            </w:r>
            <w:r w:rsidR="13AA2C9B" w:rsidRPr="003B11BD">
              <w:rPr>
                <w:noProof/>
                <w:lang w:val="en-IE"/>
              </w:rPr>
              <w:t>concerned.</w:t>
            </w:r>
            <w:r w:rsidR="53130465" w:rsidRPr="003B11BD">
              <w:rPr>
                <w:noProof/>
                <w:lang w:val="en-IE"/>
              </w:rPr>
              <w:t xml:space="preserve"> </w:t>
            </w:r>
          </w:p>
          <w:p w14:paraId="79D05344" w14:textId="49C7BB3D" w:rsidR="006C6D5C" w:rsidRPr="003B11BD" w:rsidRDefault="00A95090" w:rsidP="006C2D7A">
            <w:pPr>
              <w:pStyle w:val="NoSpacing"/>
              <w:ind w:left="-51"/>
              <w:rPr>
                <w:noProof/>
                <w:lang w:val="en-IE"/>
              </w:rPr>
            </w:pPr>
            <w:r w:rsidRPr="003B11BD">
              <w:rPr>
                <w:noProof/>
                <w:lang w:val="en-IE"/>
              </w:rPr>
              <w:t>(+</w:t>
            </w:r>
            <w:r w:rsidR="004E6979" w:rsidRPr="003B11BD">
              <w:rPr>
                <w:noProof/>
                <w:lang w:val="en-IE"/>
              </w:rPr>
              <w:t xml:space="preserve"> </w:t>
            </w:r>
            <w:r w:rsidR="00315262" w:rsidRPr="003B11BD">
              <w:rPr>
                <w:noProof/>
                <w:lang w:val="en-IE"/>
              </w:rPr>
              <w:t>+</w:t>
            </w:r>
            <w:r w:rsidRPr="003B11BD">
              <w:rPr>
                <w:noProof/>
                <w:lang w:val="en-IE"/>
              </w:rPr>
              <w:t xml:space="preserve">) </w:t>
            </w:r>
            <w:r w:rsidR="002F791A" w:rsidRPr="003B11BD">
              <w:rPr>
                <w:noProof/>
                <w:lang w:val="en-IE"/>
              </w:rPr>
              <w:t>I</w:t>
            </w:r>
            <w:r w:rsidRPr="003B11BD">
              <w:rPr>
                <w:noProof/>
                <w:lang w:val="en-IE"/>
              </w:rPr>
              <w:t>mprov</w:t>
            </w:r>
            <w:r w:rsidR="007A7F24" w:rsidRPr="003B11BD">
              <w:rPr>
                <w:noProof/>
                <w:lang w:val="en-IE"/>
              </w:rPr>
              <w:t>ement in</w:t>
            </w:r>
            <w:r w:rsidR="53130465" w:rsidRPr="003B11BD">
              <w:rPr>
                <w:noProof/>
                <w:lang w:val="en-IE"/>
              </w:rPr>
              <w:t xml:space="preserve"> </w:t>
            </w:r>
            <w:r w:rsidR="3B27CDBE" w:rsidRPr="003B11BD">
              <w:rPr>
                <w:noProof/>
                <w:lang w:val="en-IE"/>
              </w:rPr>
              <w:t xml:space="preserve">legal certainty (e.g. </w:t>
            </w:r>
            <w:r w:rsidR="53130465" w:rsidRPr="003B11BD">
              <w:rPr>
                <w:noProof/>
                <w:lang w:val="en-IE"/>
              </w:rPr>
              <w:t xml:space="preserve">clarity on </w:t>
            </w:r>
            <w:r w:rsidR="17F68903" w:rsidRPr="003B11BD">
              <w:rPr>
                <w:noProof/>
                <w:lang w:val="en-IE"/>
              </w:rPr>
              <w:t xml:space="preserve">the scope and </w:t>
            </w:r>
            <w:r w:rsidR="53130465" w:rsidRPr="003B11BD">
              <w:rPr>
                <w:noProof/>
                <w:lang w:val="en-IE"/>
              </w:rPr>
              <w:t xml:space="preserve">what </w:t>
            </w:r>
            <w:r w:rsidR="6D817815" w:rsidRPr="003B11BD">
              <w:rPr>
                <w:noProof/>
                <w:lang w:val="en-IE"/>
              </w:rPr>
              <w:t>amount</w:t>
            </w:r>
            <w:r w:rsidR="53130465" w:rsidRPr="003B11BD">
              <w:rPr>
                <w:noProof/>
                <w:lang w:val="en-IE"/>
              </w:rPr>
              <w:t xml:space="preserve"> </w:t>
            </w:r>
            <w:r w:rsidR="002F791A" w:rsidRPr="003B11BD">
              <w:rPr>
                <w:noProof/>
                <w:lang w:val="en-IE"/>
              </w:rPr>
              <w:t xml:space="preserve">of </w:t>
            </w:r>
            <w:r w:rsidR="53130465" w:rsidRPr="003B11BD">
              <w:rPr>
                <w:noProof/>
                <w:lang w:val="en-IE"/>
              </w:rPr>
              <w:t>remuneration may be expected</w:t>
            </w:r>
            <w:r w:rsidR="3B27CDBE" w:rsidRPr="003B11BD">
              <w:rPr>
                <w:noProof/>
                <w:lang w:val="en-IE"/>
              </w:rPr>
              <w:t>),</w:t>
            </w:r>
            <w:r w:rsidR="53130465" w:rsidRPr="003B11BD">
              <w:rPr>
                <w:noProof/>
                <w:lang w:val="en-IE"/>
              </w:rPr>
              <w:t xml:space="preserve"> as rules more coherent across MS.</w:t>
            </w:r>
          </w:p>
        </w:tc>
        <w:tc>
          <w:tcPr>
            <w:tcW w:w="2268" w:type="dxa"/>
          </w:tcPr>
          <w:p w14:paraId="48175608" w14:textId="151E4DF2" w:rsidR="00102D14" w:rsidRPr="003B11BD" w:rsidRDefault="008A605D" w:rsidP="006C2D7A">
            <w:pPr>
              <w:pStyle w:val="NoSpacing"/>
              <w:ind w:left="-45"/>
              <w:rPr>
                <w:noProof/>
                <w:lang w:val="en-IE"/>
              </w:rPr>
            </w:pPr>
            <w:r w:rsidRPr="003B11BD">
              <w:rPr>
                <w:noProof/>
                <w:lang w:val="en-IE"/>
              </w:rPr>
              <w:t>(-</w:t>
            </w:r>
            <w:r w:rsidR="008D3E39" w:rsidRPr="003B11BD">
              <w:rPr>
                <w:noProof/>
                <w:lang w:val="en-IE"/>
              </w:rPr>
              <w:t xml:space="preserve"> -</w:t>
            </w:r>
            <w:r w:rsidR="1CC366C5" w:rsidRPr="003B11BD">
              <w:rPr>
                <w:noProof/>
                <w:lang w:val="en-IE"/>
              </w:rPr>
              <w:t xml:space="preserve">) </w:t>
            </w:r>
            <w:r w:rsidRPr="003B11BD">
              <w:rPr>
                <w:noProof/>
                <w:lang w:val="en-IE"/>
              </w:rPr>
              <w:t>In case of a broader geographical scope of a CL, wider loss of control over patent rights</w:t>
            </w:r>
            <w:r w:rsidR="1CC366C5" w:rsidRPr="003B11BD">
              <w:rPr>
                <w:noProof/>
                <w:lang w:val="en-IE"/>
              </w:rPr>
              <w:t>.</w:t>
            </w:r>
          </w:p>
        </w:tc>
      </w:tr>
      <w:tr w:rsidR="00857C80" w:rsidRPr="003B11BD" w14:paraId="627BDCDC" w14:textId="77777777" w:rsidTr="006021EF">
        <w:tc>
          <w:tcPr>
            <w:tcW w:w="1418" w:type="dxa"/>
          </w:tcPr>
          <w:p w14:paraId="054C4282" w14:textId="77777777" w:rsidR="00857C80" w:rsidRPr="003B11BD" w:rsidRDefault="00857C80" w:rsidP="006C75FC">
            <w:pPr>
              <w:pStyle w:val="NoSpacing"/>
              <w:rPr>
                <w:noProof/>
                <w:lang w:val="en-IE"/>
              </w:rPr>
            </w:pPr>
            <w:r w:rsidRPr="003B11BD">
              <w:rPr>
                <w:noProof/>
                <w:lang w:val="en-IE"/>
              </w:rPr>
              <w:t>Manufacturers – potential licensees</w:t>
            </w:r>
          </w:p>
        </w:tc>
        <w:tc>
          <w:tcPr>
            <w:tcW w:w="5387" w:type="dxa"/>
          </w:tcPr>
          <w:p w14:paraId="654D4FB2" w14:textId="5387F304" w:rsidR="00857C80" w:rsidRPr="003B11BD" w:rsidRDefault="13AA2C9B" w:rsidP="006C2D7A">
            <w:pPr>
              <w:pStyle w:val="NoSpacing"/>
              <w:ind w:left="-37"/>
              <w:rPr>
                <w:noProof/>
                <w:lang w:val="en-IE"/>
              </w:rPr>
            </w:pPr>
            <w:r w:rsidRPr="003B11BD">
              <w:rPr>
                <w:noProof/>
                <w:lang w:val="en-IE"/>
              </w:rPr>
              <w:t xml:space="preserve">(+ +) </w:t>
            </w:r>
            <w:r w:rsidR="002F791A" w:rsidRPr="003B11BD">
              <w:rPr>
                <w:noProof/>
                <w:lang w:val="en-IE"/>
              </w:rPr>
              <w:t>L</w:t>
            </w:r>
            <w:r w:rsidR="00857C80" w:rsidRPr="003B11BD">
              <w:rPr>
                <w:noProof/>
                <w:lang w:val="en-IE"/>
              </w:rPr>
              <w:t>ower</w:t>
            </w:r>
            <w:r w:rsidRPr="003B11BD">
              <w:rPr>
                <w:noProof/>
                <w:lang w:val="en-IE"/>
              </w:rPr>
              <w:t xml:space="preserve"> costs</w:t>
            </w:r>
            <w:r w:rsidR="002F791A" w:rsidRPr="003B11BD">
              <w:rPr>
                <w:noProof/>
                <w:lang w:val="en-IE"/>
              </w:rPr>
              <w:t xml:space="preserve"> of negotiations</w:t>
            </w:r>
            <w:r w:rsidRPr="003B11BD">
              <w:rPr>
                <w:noProof/>
                <w:lang w:val="en-IE"/>
              </w:rPr>
              <w:t xml:space="preserve">, </w:t>
            </w:r>
            <w:r w:rsidR="49B53575" w:rsidRPr="003B11BD">
              <w:rPr>
                <w:noProof/>
                <w:lang w:val="en-IE"/>
              </w:rPr>
              <w:t>as</w:t>
            </w:r>
            <w:r w:rsidRPr="003B11BD">
              <w:rPr>
                <w:noProof/>
                <w:lang w:val="en-IE"/>
              </w:rPr>
              <w:t xml:space="preserve"> </w:t>
            </w:r>
            <w:r w:rsidR="002F791A" w:rsidRPr="003B11BD">
              <w:rPr>
                <w:noProof/>
                <w:lang w:val="en-IE"/>
              </w:rPr>
              <w:t>they</w:t>
            </w:r>
            <w:r w:rsidRPr="003B11BD">
              <w:rPr>
                <w:noProof/>
                <w:lang w:val="en-IE"/>
              </w:rPr>
              <w:t xml:space="preserve"> would </w:t>
            </w:r>
            <w:r w:rsidR="5F5244CF" w:rsidRPr="003B11BD">
              <w:rPr>
                <w:noProof/>
                <w:lang w:val="en-IE"/>
              </w:rPr>
              <w:t xml:space="preserve">partially </w:t>
            </w:r>
            <w:r w:rsidRPr="003B11BD">
              <w:rPr>
                <w:noProof/>
                <w:lang w:val="en-IE"/>
              </w:rPr>
              <w:t xml:space="preserve">be run at EU level instead of multiple procedures in each </w:t>
            </w:r>
            <w:r w:rsidR="005E4F9D" w:rsidRPr="003B11BD">
              <w:rPr>
                <w:noProof/>
                <w:lang w:val="en-IE"/>
              </w:rPr>
              <w:t xml:space="preserve">EU country </w:t>
            </w:r>
            <w:r w:rsidRPr="003B11BD">
              <w:rPr>
                <w:noProof/>
                <w:lang w:val="en-IE"/>
              </w:rPr>
              <w:t>concerned.</w:t>
            </w:r>
          </w:p>
          <w:p w14:paraId="59A031D8" w14:textId="7545AE7D" w:rsidR="00CD65BC" w:rsidRPr="003B11BD" w:rsidRDefault="6D5286E4" w:rsidP="006C2D7A">
            <w:pPr>
              <w:pStyle w:val="NoSpacing"/>
              <w:ind w:left="-37"/>
              <w:rPr>
                <w:noProof/>
                <w:lang w:val="en-IE"/>
              </w:rPr>
            </w:pPr>
            <w:r w:rsidRPr="003B11BD">
              <w:rPr>
                <w:noProof/>
                <w:lang w:val="en-IE"/>
              </w:rPr>
              <w:t>(+) Lower costs of adapting the manufacturing facilities to the production of CL-covered item(s</w:t>
            </w:r>
            <w:r w:rsidR="00D7081B" w:rsidRPr="003B11BD">
              <w:rPr>
                <w:noProof/>
                <w:lang w:val="en-IE"/>
              </w:rPr>
              <w:t>)</w:t>
            </w:r>
            <w:r w:rsidR="002F791A" w:rsidRPr="003B11BD">
              <w:rPr>
                <w:noProof/>
                <w:lang w:val="en-IE"/>
              </w:rPr>
              <w:t xml:space="preserve"> due to </w:t>
            </w:r>
            <w:r w:rsidRPr="003B11BD">
              <w:rPr>
                <w:noProof/>
                <w:lang w:val="en-IE"/>
              </w:rPr>
              <w:t>economies of scale</w:t>
            </w:r>
            <w:r w:rsidR="002F791A" w:rsidRPr="003B11BD">
              <w:rPr>
                <w:noProof/>
                <w:lang w:val="en-IE"/>
              </w:rPr>
              <w:t xml:space="preserve">, if </w:t>
            </w:r>
            <w:r w:rsidR="004E6979" w:rsidRPr="003B11BD">
              <w:rPr>
                <w:noProof/>
                <w:lang w:val="en-IE"/>
              </w:rPr>
              <w:t>harmonisation</w:t>
            </w:r>
            <w:r w:rsidR="002F791A" w:rsidRPr="003B11BD">
              <w:rPr>
                <w:noProof/>
                <w:lang w:val="en-IE"/>
              </w:rPr>
              <w:t xml:space="preserve"> leads to</w:t>
            </w:r>
            <w:r w:rsidRPr="003B11BD">
              <w:rPr>
                <w:noProof/>
                <w:lang w:val="en-IE"/>
              </w:rPr>
              <w:t xml:space="preserve"> wider </w:t>
            </w:r>
            <w:r w:rsidR="002F791A" w:rsidRPr="003B11BD">
              <w:rPr>
                <w:noProof/>
                <w:lang w:val="en-IE"/>
              </w:rPr>
              <w:t>geographical</w:t>
            </w:r>
            <w:r w:rsidRPr="003B11BD">
              <w:rPr>
                <w:noProof/>
                <w:lang w:val="en-IE"/>
              </w:rPr>
              <w:t xml:space="preserve"> scope</w:t>
            </w:r>
            <w:r w:rsidR="00D7081B" w:rsidRPr="003B11BD">
              <w:rPr>
                <w:noProof/>
                <w:lang w:val="en-IE"/>
              </w:rPr>
              <w:t xml:space="preserve">. </w:t>
            </w:r>
          </w:p>
        </w:tc>
        <w:tc>
          <w:tcPr>
            <w:tcW w:w="2268" w:type="dxa"/>
          </w:tcPr>
          <w:p w14:paraId="71A50348" w14:textId="1C5A6A86" w:rsidR="00857C80" w:rsidRPr="003B11BD" w:rsidRDefault="00304777" w:rsidP="006C2D7A">
            <w:pPr>
              <w:pStyle w:val="NoSpacing"/>
              <w:ind w:left="-45"/>
              <w:rPr>
                <w:noProof/>
                <w:lang w:val="en-IE"/>
              </w:rPr>
            </w:pPr>
            <w:r w:rsidRPr="003B11BD">
              <w:rPr>
                <w:noProof/>
                <w:lang w:val="en-IE"/>
              </w:rPr>
              <w:t>/</w:t>
            </w:r>
          </w:p>
        </w:tc>
      </w:tr>
      <w:tr w:rsidR="00857C80" w:rsidRPr="003B11BD" w14:paraId="455C03DE" w14:textId="77777777" w:rsidTr="006021EF">
        <w:tc>
          <w:tcPr>
            <w:tcW w:w="1418" w:type="dxa"/>
          </w:tcPr>
          <w:p w14:paraId="44D4DFEE" w14:textId="521F24B5" w:rsidR="00857C80" w:rsidRPr="003B11BD" w:rsidRDefault="00270487" w:rsidP="006C75FC">
            <w:pPr>
              <w:pStyle w:val="NoSpacing"/>
              <w:rPr>
                <w:noProof/>
                <w:lang w:val="en-IE"/>
              </w:rPr>
            </w:pPr>
            <w:r w:rsidRPr="003B11BD">
              <w:rPr>
                <w:noProof/>
                <w:lang w:val="en-IE"/>
              </w:rPr>
              <w:t>EU countries</w:t>
            </w:r>
          </w:p>
        </w:tc>
        <w:tc>
          <w:tcPr>
            <w:tcW w:w="5387" w:type="dxa"/>
          </w:tcPr>
          <w:p w14:paraId="2AC73303" w14:textId="40157910" w:rsidR="00857C80" w:rsidRPr="003B11BD" w:rsidRDefault="7B4E8546" w:rsidP="006C2D7A">
            <w:pPr>
              <w:pStyle w:val="NoSpacing"/>
              <w:ind w:left="-37"/>
              <w:rPr>
                <w:noProof/>
                <w:lang w:val="en-IE"/>
              </w:rPr>
            </w:pPr>
            <w:r w:rsidRPr="003B11BD">
              <w:rPr>
                <w:noProof/>
                <w:lang w:val="en-IE"/>
              </w:rPr>
              <w:t>(+</w:t>
            </w:r>
            <w:r w:rsidR="53130465" w:rsidRPr="003B11BD">
              <w:rPr>
                <w:noProof/>
                <w:lang w:val="en-IE"/>
              </w:rPr>
              <w:t xml:space="preserve"> +</w:t>
            </w:r>
            <w:r w:rsidR="13AA2C9B" w:rsidRPr="003B11BD">
              <w:rPr>
                <w:noProof/>
                <w:lang w:val="en-IE"/>
              </w:rPr>
              <w:t xml:space="preserve">) </w:t>
            </w:r>
            <w:r w:rsidR="007A7F24" w:rsidRPr="003B11BD">
              <w:rPr>
                <w:noProof/>
                <w:lang w:val="en-IE"/>
              </w:rPr>
              <w:t>L</w:t>
            </w:r>
            <w:r w:rsidR="00857C80" w:rsidRPr="003B11BD">
              <w:rPr>
                <w:noProof/>
                <w:lang w:val="en-IE"/>
              </w:rPr>
              <w:t>ower</w:t>
            </w:r>
            <w:r w:rsidR="13AA2C9B" w:rsidRPr="003B11BD">
              <w:rPr>
                <w:noProof/>
                <w:lang w:val="en-IE"/>
              </w:rPr>
              <w:t xml:space="preserve"> costs of </w:t>
            </w:r>
            <w:r w:rsidR="63B1A37F" w:rsidRPr="003B11BD">
              <w:rPr>
                <w:noProof/>
                <w:lang w:val="en-IE"/>
              </w:rPr>
              <w:t>running</w:t>
            </w:r>
            <w:r w:rsidR="13AA2C9B" w:rsidRPr="003B11BD">
              <w:rPr>
                <w:noProof/>
                <w:lang w:val="en-IE"/>
              </w:rPr>
              <w:t xml:space="preserve"> the </w:t>
            </w:r>
            <w:r w:rsidR="00E6068C" w:rsidRPr="003B11BD">
              <w:rPr>
                <w:noProof/>
                <w:lang w:val="en-IE"/>
              </w:rPr>
              <w:t xml:space="preserve">compulsory licensing </w:t>
            </w:r>
            <w:r w:rsidR="13AA2C9B" w:rsidRPr="003B11BD">
              <w:rPr>
                <w:noProof/>
                <w:lang w:val="en-IE"/>
              </w:rPr>
              <w:t xml:space="preserve">procedure (no </w:t>
            </w:r>
            <w:r w:rsidR="6F3DEB94" w:rsidRPr="003B11BD">
              <w:rPr>
                <w:noProof/>
                <w:lang w:val="en-IE"/>
              </w:rPr>
              <w:t xml:space="preserve">or limited </w:t>
            </w:r>
            <w:r w:rsidR="13AA2C9B" w:rsidRPr="003B11BD">
              <w:rPr>
                <w:noProof/>
                <w:lang w:val="en-IE"/>
              </w:rPr>
              <w:t xml:space="preserve">negotiations with the patent holders or manufacturers), as </w:t>
            </w:r>
            <w:r w:rsidR="005E4F9D" w:rsidRPr="003B11BD">
              <w:rPr>
                <w:noProof/>
                <w:lang w:val="en-IE"/>
              </w:rPr>
              <w:t xml:space="preserve">EU countries </w:t>
            </w:r>
            <w:r w:rsidR="13AA2C9B" w:rsidRPr="003B11BD">
              <w:rPr>
                <w:noProof/>
                <w:lang w:val="en-IE"/>
              </w:rPr>
              <w:t xml:space="preserve">will </w:t>
            </w:r>
            <w:r w:rsidR="6F3DEB94" w:rsidRPr="003B11BD">
              <w:rPr>
                <w:noProof/>
                <w:lang w:val="en-IE"/>
              </w:rPr>
              <w:t>mainly</w:t>
            </w:r>
            <w:r w:rsidR="13AA2C9B" w:rsidRPr="003B11BD">
              <w:rPr>
                <w:noProof/>
                <w:lang w:val="en-IE"/>
              </w:rPr>
              <w:t xml:space="preserve"> implement a decision made at the EU level</w:t>
            </w:r>
            <w:r w:rsidR="006C2D7A" w:rsidRPr="003B11BD">
              <w:rPr>
                <w:noProof/>
                <w:lang w:val="en-IE"/>
              </w:rPr>
              <w:t xml:space="preserve"> </w:t>
            </w:r>
            <w:r w:rsidR="000B6EFA" w:rsidRPr="003B11BD">
              <w:rPr>
                <w:i/>
                <w:noProof/>
                <w:lang w:val="en-IE"/>
              </w:rPr>
              <w:t>(D)</w:t>
            </w:r>
            <w:r w:rsidR="006C2D7A" w:rsidRPr="003B11BD">
              <w:rPr>
                <w:i/>
                <w:noProof/>
                <w:lang w:val="en-IE"/>
              </w:rPr>
              <w:t>.</w:t>
            </w:r>
          </w:p>
          <w:p w14:paraId="1434E9C6" w14:textId="71A2BFC0" w:rsidR="00857C80" w:rsidRPr="003B11BD" w:rsidRDefault="53130465" w:rsidP="006C2D7A">
            <w:pPr>
              <w:pStyle w:val="NoSpacing"/>
              <w:ind w:left="-38"/>
              <w:rPr>
                <w:noProof/>
                <w:lang w:val="en-IE"/>
              </w:rPr>
            </w:pPr>
            <w:r w:rsidRPr="003B11BD">
              <w:rPr>
                <w:noProof/>
                <w:lang w:val="en-IE"/>
              </w:rPr>
              <w:t>(+) Better exchange of information about availabilities of product</w:t>
            </w:r>
            <w:r w:rsidR="00DF42E5">
              <w:rPr>
                <w:noProof/>
                <w:lang w:val="en-IE"/>
              </w:rPr>
              <w:t>(s)</w:t>
            </w:r>
            <w:r w:rsidRPr="003B11BD">
              <w:rPr>
                <w:noProof/>
                <w:lang w:val="en-IE"/>
              </w:rPr>
              <w:t xml:space="preserve">, in case </w:t>
            </w:r>
            <w:r w:rsidR="00844A21" w:rsidRPr="00844A21">
              <w:rPr>
                <w:noProof/>
                <w:lang w:val="en-IE"/>
              </w:rPr>
              <w:t xml:space="preserve">of local shortages </w:t>
            </w:r>
            <w:r w:rsidR="00844A21">
              <w:rPr>
                <w:noProof/>
                <w:lang w:val="en-IE"/>
              </w:rPr>
              <w:t>or</w:t>
            </w:r>
            <w:r w:rsidRPr="003B11BD">
              <w:rPr>
                <w:noProof/>
                <w:lang w:val="en-IE"/>
              </w:rPr>
              <w:t xml:space="preserve"> cross-border value chain disruptions</w:t>
            </w:r>
          </w:p>
          <w:p w14:paraId="4E3D24DF" w14:textId="4F63E311" w:rsidR="00857C80" w:rsidRPr="003B11BD" w:rsidRDefault="08400E21" w:rsidP="006C2D7A">
            <w:pPr>
              <w:pStyle w:val="NoSpacing"/>
              <w:ind w:left="-38"/>
              <w:rPr>
                <w:noProof/>
                <w:lang w:val="en-IE"/>
              </w:rPr>
            </w:pPr>
            <w:r w:rsidRPr="003B11BD">
              <w:rPr>
                <w:noProof/>
                <w:lang w:val="en-IE"/>
              </w:rPr>
              <w:t xml:space="preserve">(+) Better decision-making and cooperation </w:t>
            </w:r>
            <w:r w:rsidR="3C31BA55" w:rsidRPr="003B11BD">
              <w:rPr>
                <w:noProof/>
                <w:lang w:val="en-IE"/>
              </w:rPr>
              <w:t xml:space="preserve">in the context of </w:t>
            </w:r>
            <w:r w:rsidR="00E6068C" w:rsidRPr="003B11BD">
              <w:rPr>
                <w:noProof/>
                <w:lang w:val="en-IE"/>
              </w:rPr>
              <w:t xml:space="preserve">compulsory licensing </w:t>
            </w:r>
            <w:r w:rsidR="3C31BA55" w:rsidRPr="003B11BD">
              <w:rPr>
                <w:noProof/>
                <w:lang w:val="en-IE"/>
              </w:rPr>
              <w:t xml:space="preserve">for export to </w:t>
            </w:r>
            <w:r w:rsidR="002D606C" w:rsidRPr="003B11BD">
              <w:rPr>
                <w:noProof/>
                <w:lang w:val="en-IE"/>
              </w:rPr>
              <w:t xml:space="preserve">non-EU </w:t>
            </w:r>
            <w:r w:rsidR="3C31BA55" w:rsidRPr="003B11BD">
              <w:rPr>
                <w:noProof/>
                <w:lang w:val="en-IE"/>
              </w:rPr>
              <w:t>countries</w:t>
            </w:r>
            <w:r w:rsidR="656468B0" w:rsidRPr="003B11BD">
              <w:rPr>
                <w:noProof/>
                <w:lang w:val="en-IE"/>
              </w:rPr>
              <w:t xml:space="preserve"> </w:t>
            </w:r>
            <w:r w:rsidR="656468B0" w:rsidRPr="003B11BD">
              <w:rPr>
                <w:i/>
                <w:noProof/>
                <w:lang w:val="en-IE"/>
              </w:rPr>
              <w:t>(</w:t>
            </w:r>
            <w:r w:rsidR="00EA00A3" w:rsidRPr="003B11BD">
              <w:rPr>
                <w:i/>
                <w:noProof/>
                <w:lang w:val="en-IE"/>
              </w:rPr>
              <w:t>E</w:t>
            </w:r>
            <w:r w:rsidR="656468B0" w:rsidRPr="003B11BD">
              <w:rPr>
                <w:i/>
                <w:noProof/>
                <w:lang w:val="en-IE"/>
              </w:rPr>
              <w:t>)</w:t>
            </w:r>
            <w:r w:rsidR="6C35787A" w:rsidRPr="003B11BD">
              <w:rPr>
                <w:i/>
                <w:noProof/>
                <w:lang w:val="en-IE"/>
              </w:rPr>
              <w:t>.</w:t>
            </w:r>
          </w:p>
        </w:tc>
        <w:tc>
          <w:tcPr>
            <w:tcW w:w="2268" w:type="dxa"/>
          </w:tcPr>
          <w:p w14:paraId="7D8FF96A" w14:textId="749920E2" w:rsidR="00062A8E" w:rsidRPr="003B11BD" w:rsidRDefault="2F2DB51A" w:rsidP="006C2D7A">
            <w:pPr>
              <w:pStyle w:val="NoSpacing"/>
              <w:ind w:left="-38"/>
              <w:rPr>
                <w:noProof/>
                <w:lang w:val="en-IE"/>
              </w:rPr>
            </w:pPr>
            <w:r w:rsidRPr="003B11BD">
              <w:rPr>
                <w:noProof/>
                <w:lang w:val="en-IE"/>
              </w:rPr>
              <w:t>(-)</w:t>
            </w:r>
            <w:r w:rsidR="53130465" w:rsidRPr="003B11BD">
              <w:rPr>
                <w:noProof/>
                <w:lang w:val="en-IE"/>
              </w:rPr>
              <w:t xml:space="preserve"> </w:t>
            </w:r>
            <w:r w:rsidR="004A10C5" w:rsidRPr="003B11BD">
              <w:rPr>
                <w:noProof/>
                <w:lang w:val="en-IE"/>
              </w:rPr>
              <w:t>C</w:t>
            </w:r>
            <w:r w:rsidR="53130465" w:rsidRPr="003B11BD">
              <w:rPr>
                <w:noProof/>
                <w:lang w:val="en-IE"/>
              </w:rPr>
              <w:t xml:space="preserve">ost of participating in the </w:t>
            </w:r>
            <w:r w:rsidR="15955CA4" w:rsidRPr="003B11BD">
              <w:rPr>
                <w:noProof/>
                <w:lang w:val="en-IE"/>
              </w:rPr>
              <w:t xml:space="preserve">advisory committee </w:t>
            </w:r>
            <w:r w:rsidR="2E7893C6" w:rsidRPr="003B11BD">
              <w:rPr>
                <w:noProof/>
                <w:lang w:val="en-IE"/>
              </w:rPr>
              <w:t>assisting the single contact point</w:t>
            </w:r>
            <w:r w:rsidR="336B425B" w:rsidRPr="003B11BD">
              <w:rPr>
                <w:noProof/>
                <w:lang w:val="en-IE"/>
              </w:rPr>
              <w:t xml:space="preserve"> </w:t>
            </w:r>
            <w:r w:rsidR="7C148A72" w:rsidRPr="003B11BD">
              <w:rPr>
                <w:i/>
                <w:noProof/>
                <w:lang w:val="en-IE"/>
              </w:rPr>
              <w:t>(</w:t>
            </w:r>
            <w:r w:rsidR="000B6EFA" w:rsidRPr="003B11BD">
              <w:rPr>
                <w:i/>
                <w:noProof/>
                <w:lang w:val="en-IE"/>
              </w:rPr>
              <w:t>E)</w:t>
            </w:r>
            <w:r w:rsidR="00EA00A3" w:rsidRPr="003B11BD">
              <w:rPr>
                <w:i/>
                <w:noProof/>
                <w:lang w:val="en-IE"/>
              </w:rPr>
              <w:t>.</w:t>
            </w:r>
          </w:p>
          <w:p w14:paraId="1ABC5029" w14:textId="6C081D8B" w:rsidR="00F25BBF" w:rsidRPr="003B11BD" w:rsidRDefault="1EE734D9" w:rsidP="004A10C5">
            <w:pPr>
              <w:pStyle w:val="NoSpacing"/>
              <w:ind w:left="-38"/>
              <w:rPr>
                <w:noProof/>
                <w:lang w:val="en-IE"/>
              </w:rPr>
            </w:pPr>
            <w:r w:rsidRPr="003B11BD">
              <w:rPr>
                <w:noProof/>
                <w:lang w:val="en-IE"/>
              </w:rPr>
              <w:t xml:space="preserve">(-) </w:t>
            </w:r>
            <w:r w:rsidR="004A10C5" w:rsidRPr="003B11BD">
              <w:rPr>
                <w:noProof/>
                <w:lang w:val="en-IE"/>
              </w:rPr>
              <w:t>C</w:t>
            </w:r>
            <w:r w:rsidRPr="003B11BD">
              <w:rPr>
                <w:noProof/>
                <w:lang w:val="en-IE"/>
              </w:rPr>
              <w:t xml:space="preserve">ost of reporting to the EC on the implemented CL. </w:t>
            </w:r>
          </w:p>
        </w:tc>
      </w:tr>
      <w:tr w:rsidR="00857C80" w:rsidRPr="003B11BD" w14:paraId="5ECFFDC0" w14:textId="77777777" w:rsidTr="006021EF">
        <w:tc>
          <w:tcPr>
            <w:tcW w:w="1418" w:type="dxa"/>
          </w:tcPr>
          <w:p w14:paraId="760D46B8" w14:textId="069B3D9D" w:rsidR="00857C80" w:rsidRPr="003B11BD" w:rsidRDefault="00270487" w:rsidP="006C75FC">
            <w:pPr>
              <w:pStyle w:val="NoSpacing"/>
              <w:rPr>
                <w:noProof/>
                <w:lang w:val="en-IE"/>
              </w:rPr>
            </w:pPr>
            <w:r w:rsidRPr="003B11BD">
              <w:rPr>
                <w:noProof/>
                <w:lang w:val="en-IE"/>
              </w:rPr>
              <w:t>The general public (</w:t>
            </w:r>
            <w:r w:rsidR="000A407D" w:rsidRPr="003B11BD">
              <w:rPr>
                <w:noProof/>
                <w:lang w:val="en-IE"/>
              </w:rPr>
              <w:t xml:space="preserve">EU </w:t>
            </w:r>
            <w:r w:rsidR="00A96DF8" w:rsidRPr="003B11BD">
              <w:rPr>
                <w:noProof/>
                <w:lang w:val="en-IE"/>
              </w:rPr>
              <w:t>c</w:t>
            </w:r>
            <w:r w:rsidR="00857C80" w:rsidRPr="003B11BD">
              <w:rPr>
                <w:noProof/>
                <w:lang w:val="en-IE"/>
              </w:rPr>
              <w:t>itizens</w:t>
            </w:r>
            <w:r w:rsidRPr="003B11BD">
              <w:rPr>
                <w:noProof/>
                <w:lang w:val="en-IE"/>
              </w:rPr>
              <w:t>)</w:t>
            </w:r>
          </w:p>
        </w:tc>
        <w:tc>
          <w:tcPr>
            <w:tcW w:w="5387" w:type="dxa"/>
          </w:tcPr>
          <w:p w14:paraId="765EF056" w14:textId="16ED4BBC" w:rsidR="00857C80" w:rsidRPr="003B11BD" w:rsidRDefault="13AA2C9B" w:rsidP="006C2D7A">
            <w:pPr>
              <w:pStyle w:val="NoSpacing"/>
              <w:ind w:left="-37"/>
              <w:rPr>
                <w:noProof/>
                <w:lang w:val="en-IE"/>
              </w:rPr>
            </w:pPr>
            <w:r w:rsidRPr="003B11BD">
              <w:rPr>
                <w:noProof/>
                <w:lang w:val="en-IE"/>
              </w:rPr>
              <w:t xml:space="preserve">(+ +) Lower risk of </w:t>
            </w:r>
            <w:r w:rsidR="004E6979" w:rsidRPr="003B11BD">
              <w:rPr>
                <w:noProof/>
                <w:lang w:val="en-IE"/>
              </w:rPr>
              <w:t xml:space="preserve">delays or </w:t>
            </w:r>
            <w:r w:rsidRPr="003B11BD">
              <w:rPr>
                <w:noProof/>
                <w:lang w:val="en-IE"/>
              </w:rPr>
              <w:t xml:space="preserve">unavailability of critical products during crisis, as rules more coherent across </w:t>
            </w:r>
            <w:r w:rsidR="005E4F9D" w:rsidRPr="003B11BD">
              <w:rPr>
                <w:noProof/>
                <w:lang w:val="en-IE"/>
              </w:rPr>
              <w:t xml:space="preserve">EU countries </w:t>
            </w:r>
            <w:r w:rsidR="00EA00A3" w:rsidRPr="003B11BD">
              <w:rPr>
                <w:i/>
                <w:noProof/>
                <w:lang w:val="en-IE"/>
              </w:rPr>
              <w:t>(D).</w:t>
            </w:r>
          </w:p>
        </w:tc>
        <w:tc>
          <w:tcPr>
            <w:tcW w:w="2268" w:type="dxa"/>
          </w:tcPr>
          <w:p w14:paraId="3336F7DF" w14:textId="4B67CD22" w:rsidR="00857C80" w:rsidRPr="003B11BD" w:rsidRDefault="719696D6" w:rsidP="006C2D7A">
            <w:pPr>
              <w:pStyle w:val="NoSpacing"/>
              <w:ind w:left="-37"/>
              <w:rPr>
                <w:noProof/>
                <w:lang w:val="en-IE"/>
              </w:rPr>
            </w:pPr>
            <w:r w:rsidRPr="003B11BD">
              <w:rPr>
                <w:noProof/>
                <w:lang w:val="en-IE"/>
              </w:rPr>
              <w:t>/</w:t>
            </w:r>
          </w:p>
        </w:tc>
      </w:tr>
      <w:tr w:rsidR="00F73AD0" w:rsidRPr="003B11BD" w14:paraId="7BB07AD2" w14:textId="77777777" w:rsidTr="006021EF">
        <w:tc>
          <w:tcPr>
            <w:tcW w:w="1418" w:type="dxa"/>
          </w:tcPr>
          <w:p w14:paraId="489E8735" w14:textId="2C33A9B7" w:rsidR="00F73AD0" w:rsidRPr="003B11BD" w:rsidRDefault="001C50FF" w:rsidP="006C75FC">
            <w:pPr>
              <w:pStyle w:val="NoSpacing"/>
              <w:rPr>
                <w:noProof/>
                <w:lang w:val="en-IE"/>
              </w:rPr>
            </w:pPr>
            <w:r w:rsidRPr="003B11BD">
              <w:rPr>
                <w:noProof/>
                <w:lang w:val="en-IE"/>
              </w:rPr>
              <w:t xml:space="preserve">Non-EU </w:t>
            </w:r>
            <w:r w:rsidR="00F73AD0" w:rsidRPr="003B11BD">
              <w:rPr>
                <w:noProof/>
                <w:lang w:val="en-IE"/>
              </w:rPr>
              <w:t>countries</w:t>
            </w:r>
          </w:p>
        </w:tc>
        <w:tc>
          <w:tcPr>
            <w:tcW w:w="5387" w:type="dxa"/>
          </w:tcPr>
          <w:p w14:paraId="04B5D13A" w14:textId="23662848" w:rsidR="00031D5A" w:rsidRPr="003B11BD" w:rsidRDefault="306A3C98" w:rsidP="006C2D7A">
            <w:pPr>
              <w:pStyle w:val="NoSpacing"/>
              <w:ind w:left="-51"/>
              <w:rPr>
                <w:noProof/>
                <w:lang w:val="en-IE"/>
              </w:rPr>
            </w:pPr>
            <w:r w:rsidRPr="003B11BD">
              <w:rPr>
                <w:noProof/>
                <w:lang w:val="en-IE"/>
              </w:rPr>
              <w:t>(+</w:t>
            </w:r>
            <w:r w:rsidR="34B954CF" w:rsidRPr="003B11BD">
              <w:rPr>
                <w:noProof/>
                <w:lang w:val="en-IE"/>
              </w:rPr>
              <w:t xml:space="preserve"> </w:t>
            </w:r>
            <w:r w:rsidRPr="003B11BD">
              <w:rPr>
                <w:noProof/>
                <w:lang w:val="en-IE"/>
              </w:rPr>
              <w:t xml:space="preserve">+) Increased legal certainty and administrative savings </w:t>
            </w:r>
            <w:r w:rsidR="5161DF76" w:rsidRPr="003B11BD">
              <w:rPr>
                <w:noProof/>
                <w:lang w:val="en-IE"/>
              </w:rPr>
              <w:t>due</w:t>
            </w:r>
            <w:r w:rsidRPr="003B11BD">
              <w:rPr>
                <w:noProof/>
                <w:lang w:val="en-IE"/>
              </w:rPr>
              <w:t xml:space="preserve"> to </w:t>
            </w:r>
            <w:r w:rsidR="2EC0F89D" w:rsidRPr="003B11BD">
              <w:rPr>
                <w:noProof/>
                <w:lang w:val="en-IE"/>
              </w:rPr>
              <w:t>better</w:t>
            </w:r>
            <w:r w:rsidR="57500EE2" w:rsidRPr="003B11BD">
              <w:rPr>
                <w:noProof/>
                <w:lang w:val="en-IE"/>
              </w:rPr>
              <w:t xml:space="preserve"> coordination at EU level</w:t>
            </w:r>
            <w:r w:rsidR="5CD2974A" w:rsidRPr="003B11BD">
              <w:rPr>
                <w:noProof/>
                <w:lang w:val="en-IE"/>
              </w:rPr>
              <w:t xml:space="preserve"> </w:t>
            </w:r>
            <w:r w:rsidR="5CD2974A" w:rsidRPr="003B11BD">
              <w:rPr>
                <w:i/>
                <w:noProof/>
                <w:lang w:val="en-IE"/>
              </w:rPr>
              <w:t>(</w:t>
            </w:r>
            <w:r w:rsidR="00EA00A3" w:rsidRPr="003B11BD">
              <w:rPr>
                <w:i/>
                <w:noProof/>
                <w:lang w:val="en-IE"/>
              </w:rPr>
              <w:t>E)</w:t>
            </w:r>
            <w:r w:rsidR="0053626E" w:rsidRPr="003B11BD">
              <w:rPr>
                <w:i/>
                <w:noProof/>
                <w:lang w:val="en-IE"/>
              </w:rPr>
              <w:t>.</w:t>
            </w:r>
          </w:p>
        </w:tc>
        <w:tc>
          <w:tcPr>
            <w:tcW w:w="2268" w:type="dxa"/>
          </w:tcPr>
          <w:p w14:paraId="4E2850CC" w14:textId="15CBA3E2" w:rsidR="00F73AD0" w:rsidRPr="003B11BD" w:rsidRDefault="6C35787A" w:rsidP="006C2D7A">
            <w:pPr>
              <w:pStyle w:val="NoSpacing"/>
              <w:ind w:left="-42"/>
              <w:rPr>
                <w:noProof/>
                <w:lang w:val="en-IE"/>
              </w:rPr>
            </w:pPr>
            <w:r w:rsidRPr="003B11BD">
              <w:rPr>
                <w:noProof/>
                <w:lang w:val="en-IE"/>
              </w:rPr>
              <w:t>/</w:t>
            </w:r>
          </w:p>
        </w:tc>
      </w:tr>
    </w:tbl>
    <w:p w14:paraId="065D3567" w14:textId="2334EB55" w:rsidR="00364BA7" w:rsidRPr="003B11BD" w:rsidRDefault="00EF063C" w:rsidP="00EF063C">
      <w:pPr>
        <w:pStyle w:val="Caption"/>
        <w:rPr>
          <w:noProof/>
          <w:lang w:val="en-IE"/>
        </w:rPr>
      </w:pPr>
      <w:r w:rsidRPr="003B11BD">
        <w:rPr>
          <w:noProof/>
          <w:lang w:val="en-IE"/>
        </w:rPr>
        <w:t>Note: (0) neutral impact; (+) minor positive impact; (++) positive impact; (+++) significant positive impact; (-) minor negative impact; (- -) negative impact; (- - -) significant negative impact</w:t>
      </w:r>
      <w:r w:rsidR="000B6EFA" w:rsidRPr="003B11BD">
        <w:rPr>
          <w:noProof/>
          <w:lang w:val="en-IE"/>
        </w:rPr>
        <w:t xml:space="preserve">; (D) applies only in case </w:t>
      </w:r>
      <w:r w:rsidR="00EA00A3" w:rsidRPr="003B11BD">
        <w:rPr>
          <w:noProof/>
          <w:lang w:val="en-IE"/>
        </w:rPr>
        <w:t>of</w:t>
      </w:r>
      <w:r w:rsidR="000B6EFA" w:rsidRPr="003B11BD">
        <w:rPr>
          <w:noProof/>
          <w:lang w:val="en-IE"/>
        </w:rPr>
        <w:t xml:space="preserve"> an EU-level </w:t>
      </w:r>
      <w:r w:rsidR="00E6068C" w:rsidRPr="003B11BD">
        <w:rPr>
          <w:noProof/>
          <w:lang w:val="en-IE"/>
        </w:rPr>
        <w:t xml:space="preserve">compulsory licensing </w:t>
      </w:r>
      <w:r w:rsidR="000B6EFA" w:rsidRPr="003B11BD">
        <w:rPr>
          <w:noProof/>
          <w:lang w:val="en-IE"/>
        </w:rPr>
        <w:t xml:space="preserve">for domestic purposes, (E) applies only in case </w:t>
      </w:r>
      <w:r w:rsidR="00EA00A3" w:rsidRPr="003B11BD">
        <w:rPr>
          <w:noProof/>
          <w:lang w:val="en-IE"/>
        </w:rPr>
        <w:t>of</w:t>
      </w:r>
      <w:r w:rsidR="000B6EFA" w:rsidRPr="003B11BD">
        <w:rPr>
          <w:noProof/>
          <w:lang w:val="en-IE"/>
        </w:rPr>
        <w:t xml:space="preserve"> </w:t>
      </w:r>
      <w:r w:rsidR="00E6068C" w:rsidRPr="003B11BD">
        <w:rPr>
          <w:noProof/>
          <w:lang w:val="en-IE"/>
        </w:rPr>
        <w:t xml:space="preserve">compulsory licensing </w:t>
      </w:r>
      <w:r w:rsidR="000B6EFA" w:rsidRPr="003B11BD">
        <w:rPr>
          <w:noProof/>
          <w:lang w:val="en-IE"/>
        </w:rPr>
        <w:t>for export purposes (in the context of Regulation (EC) No 816/2006).</w:t>
      </w:r>
    </w:p>
    <w:p w14:paraId="280B0A1C" w14:textId="74EB63F0" w:rsidR="008D6305" w:rsidRPr="003B11BD" w:rsidRDefault="00A83F81" w:rsidP="008D6305">
      <w:pPr>
        <w:rPr>
          <w:noProof/>
          <w:lang w:val="en-IE"/>
        </w:rPr>
      </w:pPr>
      <w:r w:rsidRPr="003B11BD">
        <w:rPr>
          <w:noProof/>
          <w:lang w:val="en-IE"/>
        </w:rPr>
        <w:t>Under PO</w:t>
      </w:r>
      <w:r w:rsidR="008D6305" w:rsidRPr="003B11BD">
        <w:rPr>
          <w:noProof/>
          <w:lang w:val="en-IE"/>
        </w:rPr>
        <w:t xml:space="preserve">3, </w:t>
      </w:r>
      <w:r w:rsidR="008D6305" w:rsidRPr="003B11BD">
        <w:rPr>
          <w:b/>
          <w:bCs/>
          <w:noProof/>
          <w:lang w:val="en-IE"/>
        </w:rPr>
        <w:t>patent owners</w:t>
      </w:r>
      <w:r w:rsidR="008D6305" w:rsidRPr="003B11BD">
        <w:rPr>
          <w:noProof/>
          <w:lang w:val="en-IE"/>
        </w:rPr>
        <w:t xml:space="preserve"> would benefit from a reduction of costs as regards the participation in the compulsory licensing process, since the process will be centralised</w:t>
      </w:r>
      <w:r w:rsidR="00BD6030" w:rsidRPr="003B11BD">
        <w:rPr>
          <w:noProof/>
          <w:lang w:val="en-IE"/>
        </w:rPr>
        <w:t xml:space="preserve"> to a large extent</w:t>
      </w:r>
      <w:r w:rsidR="008D6305" w:rsidRPr="003B11BD">
        <w:rPr>
          <w:noProof/>
          <w:lang w:val="en-IE"/>
        </w:rPr>
        <w:t xml:space="preserve">. This would </w:t>
      </w:r>
      <w:r w:rsidRPr="003B11BD">
        <w:rPr>
          <w:noProof/>
          <w:lang w:val="en-IE"/>
        </w:rPr>
        <w:t xml:space="preserve">streamline </w:t>
      </w:r>
      <w:r w:rsidR="00EE78A7" w:rsidRPr="003B11BD">
        <w:rPr>
          <w:noProof/>
          <w:lang w:val="en-IE"/>
        </w:rPr>
        <w:t>the negotiation</w:t>
      </w:r>
      <w:r w:rsidR="00BA7B3E" w:rsidRPr="003B11BD">
        <w:rPr>
          <w:noProof/>
          <w:lang w:val="en-IE"/>
        </w:rPr>
        <w:t>s</w:t>
      </w:r>
      <w:r w:rsidR="00EE78A7" w:rsidRPr="003B11BD">
        <w:rPr>
          <w:noProof/>
          <w:lang w:val="en-IE"/>
        </w:rPr>
        <w:t xml:space="preserve"> </w:t>
      </w:r>
      <w:r w:rsidR="00FF2A0B" w:rsidRPr="003B11BD">
        <w:rPr>
          <w:noProof/>
          <w:lang w:val="en-IE"/>
        </w:rPr>
        <w:t>on many aspects (e.g. duration, scope)</w:t>
      </w:r>
      <w:r w:rsidR="00700EED" w:rsidRPr="003B11BD">
        <w:rPr>
          <w:noProof/>
          <w:lang w:val="en-IE"/>
        </w:rPr>
        <w:t xml:space="preserve"> as</w:t>
      </w:r>
      <w:r w:rsidR="00FF2A0B" w:rsidRPr="003B11BD">
        <w:rPr>
          <w:noProof/>
          <w:lang w:val="en-IE"/>
        </w:rPr>
        <w:t xml:space="preserve"> </w:t>
      </w:r>
      <w:r w:rsidR="00BA7B3E" w:rsidRPr="003B11BD">
        <w:rPr>
          <w:noProof/>
          <w:lang w:val="en-IE"/>
        </w:rPr>
        <w:t xml:space="preserve">there will no longer be </w:t>
      </w:r>
      <w:r w:rsidR="008D6305" w:rsidRPr="003B11BD">
        <w:rPr>
          <w:noProof/>
          <w:lang w:val="en-IE"/>
        </w:rPr>
        <w:t xml:space="preserve">differences between the national compulsory licences granted on the basis on the </w:t>
      </w:r>
      <w:r w:rsidR="000038EB" w:rsidRPr="003B11BD">
        <w:rPr>
          <w:noProof/>
          <w:lang w:val="en-IE"/>
        </w:rPr>
        <w:t>activation measure</w:t>
      </w:r>
      <w:r w:rsidR="008D6305" w:rsidRPr="003B11BD">
        <w:rPr>
          <w:noProof/>
          <w:lang w:val="en-IE"/>
        </w:rPr>
        <w:t xml:space="preserve">. </w:t>
      </w:r>
      <w:r w:rsidR="006A637D" w:rsidRPr="003B11BD">
        <w:rPr>
          <w:noProof/>
          <w:lang w:val="en-IE"/>
        </w:rPr>
        <w:t>Nevertheless</w:t>
      </w:r>
      <w:r w:rsidR="008D6305" w:rsidRPr="003B11BD">
        <w:rPr>
          <w:noProof/>
          <w:lang w:val="en-IE"/>
        </w:rPr>
        <w:t xml:space="preserve">, </w:t>
      </w:r>
      <w:r w:rsidR="006A637D" w:rsidRPr="003B11BD">
        <w:rPr>
          <w:noProof/>
          <w:lang w:val="en-IE"/>
        </w:rPr>
        <w:t xml:space="preserve">patent </w:t>
      </w:r>
      <w:r w:rsidR="008D6305" w:rsidRPr="003B11BD">
        <w:rPr>
          <w:noProof/>
          <w:lang w:val="en-IE"/>
        </w:rPr>
        <w:t>owners would still face cost in each country issuing a compulsory licence</w:t>
      </w:r>
      <w:r w:rsidRPr="003B11BD">
        <w:rPr>
          <w:noProof/>
          <w:lang w:val="en-IE"/>
        </w:rPr>
        <w:t>,</w:t>
      </w:r>
      <w:r w:rsidR="008D6305" w:rsidRPr="003B11BD">
        <w:rPr>
          <w:noProof/>
          <w:lang w:val="en-IE"/>
        </w:rPr>
        <w:t xml:space="preserve"> as</w:t>
      </w:r>
      <w:r w:rsidR="006A4ABD" w:rsidRPr="003B11BD">
        <w:rPr>
          <w:noProof/>
          <w:lang w:val="en-IE"/>
        </w:rPr>
        <w:t xml:space="preserve"> </w:t>
      </w:r>
      <w:r w:rsidR="008D6305" w:rsidRPr="003B11BD">
        <w:rPr>
          <w:noProof/>
          <w:lang w:val="en-IE"/>
        </w:rPr>
        <w:t xml:space="preserve">they would need to </w:t>
      </w:r>
      <w:r w:rsidR="006A4ABD" w:rsidRPr="003B11BD">
        <w:rPr>
          <w:noProof/>
          <w:lang w:val="en-IE"/>
        </w:rPr>
        <w:t>negotiate not harmonised aspect</w:t>
      </w:r>
      <w:r w:rsidR="00700EED" w:rsidRPr="003B11BD">
        <w:rPr>
          <w:noProof/>
          <w:lang w:val="en-IE"/>
        </w:rPr>
        <w:t>s</w:t>
      </w:r>
      <w:r w:rsidR="006A4ABD" w:rsidRPr="003B11BD">
        <w:rPr>
          <w:noProof/>
          <w:lang w:val="en-IE"/>
        </w:rPr>
        <w:t xml:space="preserve"> (e.g. remuneration) and </w:t>
      </w:r>
      <w:r w:rsidR="008D6305" w:rsidRPr="003B11BD">
        <w:rPr>
          <w:noProof/>
          <w:lang w:val="en-IE"/>
        </w:rPr>
        <w:t xml:space="preserve">participate in </w:t>
      </w:r>
      <w:r w:rsidR="006A4ABD" w:rsidRPr="003B11BD">
        <w:rPr>
          <w:noProof/>
          <w:lang w:val="en-IE"/>
        </w:rPr>
        <w:t xml:space="preserve">the </w:t>
      </w:r>
      <w:r w:rsidR="008D6305" w:rsidRPr="003B11BD">
        <w:rPr>
          <w:noProof/>
          <w:lang w:val="en-IE"/>
        </w:rPr>
        <w:t xml:space="preserve">national procedures. </w:t>
      </w:r>
      <w:r w:rsidR="00B47121" w:rsidRPr="003B11BD">
        <w:rPr>
          <w:noProof/>
          <w:lang w:val="en-IE"/>
        </w:rPr>
        <w:t>They would however benefit from increased legal certainty</w:t>
      </w:r>
      <w:r w:rsidR="00E46030" w:rsidRPr="003B11BD">
        <w:rPr>
          <w:noProof/>
          <w:lang w:val="en-IE"/>
        </w:rPr>
        <w:t xml:space="preserve"> </w:t>
      </w:r>
      <w:r w:rsidR="00252613" w:rsidRPr="003B11BD">
        <w:rPr>
          <w:noProof/>
          <w:lang w:val="en-IE"/>
        </w:rPr>
        <w:t>through, on the one hand,</w:t>
      </w:r>
      <w:r w:rsidR="00E46030" w:rsidRPr="003B11BD">
        <w:rPr>
          <w:noProof/>
          <w:lang w:val="en-IE"/>
        </w:rPr>
        <w:t xml:space="preserve"> the </w:t>
      </w:r>
      <w:r w:rsidR="00805BC5" w:rsidRPr="003B11BD">
        <w:rPr>
          <w:noProof/>
          <w:lang w:val="en-IE"/>
        </w:rPr>
        <w:t xml:space="preserve">single </w:t>
      </w:r>
      <w:r w:rsidR="00E46030" w:rsidRPr="003B11BD">
        <w:rPr>
          <w:noProof/>
          <w:lang w:val="en-IE"/>
        </w:rPr>
        <w:t xml:space="preserve">EU binding decision </w:t>
      </w:r>
      <w:r w:rsidR="00252613" w:rsidRPr="003B11BD">
        <w:rPr>
          <w:noProof/>
          <w:lang w:val="en-IE"/>
        </w:rPr>
        <w:t>and, on the other hand, harmonisation</w:t>
      </w:r>
      <w:r w:rsidR="008D6305" w:rsidRPr="003B11BD">
        <w:rPr>
          <w:noProof/>
          <w:lang w:val="en-IE"/>
        </w:rPr>
        <w:t xml:space="preserve"> of </w:t>
      </w:r>
      <w:r w:rsidR="00252613" w:rsidRPr="003B11BD">
        <w:rPr>
          <w:noProof/>
          <w:lang w:val="en-IE"/>
        </w:rPr>
        <w:t xml:space="preserve">aspects </w:t>
      </w:r>
      <w:r w:rsidR="006A0B69" w:rsidRPr="003B11BD">
        <w:rPr>
          <w:noProof/>
          <w:lang w:val="en-IE"/>
        </w:rPr>
        <w:t xml:space="preserve">left for the national level (i.e. elements such as the national procedure or the remuneration). </w:t>
      </w:r>
      <w:r w:rsidR="004E627E" w:rsidRPr="003B11BD">
        <w:rPr>
          <w:noProof/>
          <w:lang w:val="en-IE"/>
        </w:rPr>
        <w:t>Under this option, p</w:t>
      </w:r>
      <w:r w:rsidR="008D6305" w:rsidRPr="003B11BD">
        <w:rPr>
          <w:noProof/>
          <w:lang w:val="en-IE"/>
        </w:rPr>
        <w:t xml:space="preserve">atent owners </w:t>
      </w:r>
      <w:r w:rsidR="00060309" w:rsidRPr="003B11BD">
        <w:rPr>
          <w:noProof/>
          <w:lang w:val="en-IE"/>
        </w:rPr>
        <w:t>may experience</w:t>
      </w:r>
      <w:r w:rsidR="008D6305" w:rsidRPr="003B11BD">
        <w:rPr>
          <w:noProof/>
          <w:lang w:val="en-IE"/>
        </w:rPr>
        <w:t xml:space="preserve"> a more important loss of control on their patent rights</w:t>
      </w:r>
      <w:r w:rsidR="0060798A" w:rsidRPr="003B11BD">
        <w:rPr>
          <w:noProof/>
          <w:lang w:val="en-IE"/>
        </w:rPr>
        <w:t xml:space="preserve"> as</w:t>
      </w:r>
      <w:r w:rsidR="008D6305" w:rsidRPr="003B11BD">
        <w:rPr>
          <w:noProof/>
          <w:lang w:val="en-IE"/>
        </w:rPr>
        <w:t xml:space="preserve"> this option would give a broader effect to a national compulsory licence, allowing it to have a cross-border effect.</w:t>
      </w:r>
      <w:r w:rsidR="00C34DB6" w:rsidRPr="003B11BD">
        <w:rPr>
          <w:noProof/>
          <w:lang w:val="en-IE"/>
        </w:rPr>
        <w:t xml:space="preserve"> </w:t>
      </w:r>
      <w:r w:rsidR="008D6305" w:rsidRPr="003B11BD">
        <w:rPr>
          <w:noProof/>
          <w:lang w:val="en-IE"/>
        </w:rPr>
        <w:t xml:space="preserve">Overall, the situation of </w:t>
      </w:r>
      <w:r w:rsidR="008D6305" w:rsidRPr="003B11BD">
        <w:rPr>
          <w:b/>
          <w:noProof/>
          <w:lang w:val="en-IE"/>
        </w:rPr>
        <w:t>potential licensees</w:t>
      </w:r>
      <w:r w:rsidR="008D6305" w:rsidRPr="003B11BD">
        <w:rPr>
          <w:noProof/>
          <w:lang w:val="en-IE"/>
        </w:rPr>
        <w:t xml:space="preserve"> would improve under </w:t>
      </w:r>
      <w:r w:rsidR="00676E28" w:rsidRPr="003B11BD">
        <w:rPr>
          <w:noProof/>
          <w:lang w:val="en-IE"/>
        </w:rPr>
        <w:t>PO3</w:t>
      </w:r>
      <w:r w:rsidR="008D6305" w:rsidRPr="003B11BD">
        <w:rPr>
          <w:noProof/>
          <w:lang w:val="en-IE"/>
        </w:rPr>
        <w:t xml:space="preserve">. They would benefit from the centralised procedure as this would decrease their cost </w:t>
      </w:r>
      <w:r w:rsidR="002450CB" w:rsidRPr="003B11BD">
        <w:rPr>
          <w:noProof/>
          <w:lang w:val="en-IE"/>
        </w:rPr>
        <w:t>of participating in negotiations</w:t>
      </w:r>
      <w:r w:rsidR="008D6305" w:rsidRPr="003B11BD">
        <w:rPr>
          <w:noProof/>
          <w:lang w:val="en-IE"/>
        </w:rPr>
        <w:t xml:space="preserve">. In addition, the wider territorial scope of the licence would allow them to benefit from economies of scale (i.e. larger volumes of production) when manufacturing the </w:t>
      </w:r>
      <w:r w:rsidR="00676E28" w:rsidRPr="003B11BD">
        <w:rPr>
          <w:noProof/>
          <w:lang w:val="en-IE"/>
        </w:rPr>
        <w:t xml:space="preserve">required </w:t>
      </w:r>
      <w:r w:rsidR="008D6305" w:rsidRPr="003B11BD">
        <w:rPr>
          <w:noProof/>
          <w:lang w:val="en-IE"/>
        </w:rPr>
        <w:t xml:space="preserve">items (also in terms of lower cost for adapting the production facilities). </w:t>
      </w:r>
      <w:r w:rsidR="00270487" w:rsidRPr="003B11BD">
        <w:rPr>
          <w:b/>
          <w:noProof/>
          <w:lang w:val="en-IE"/>
        </w:rPr>
        <w:t>EU countries</w:t>
      </w:r>
      <w:r w:rsidR="008D6305" w:rsidRPr="003B11BD">
        <w:rPr>
          <w:noProof/>
          <w:lang w:val="en-IE"/>
        </w:rPr>
        <w:t xml:space="preserve"> would </w:t>
      </w:r>
      <w:r w:rsidR="00741449" w:rsidRPr="003B11BD">
        <w:rPr>
          <w:noProof/>
          <w:lang w:val="en-IE"/>
        </w:rPr>
        <w:t>bear the adjus</w:t>
      </w:r>
      <w:r w:rsidR="000231C4" w:rsidRPr="003B11BD">
        <w:rPr>
          <w:noProof/>
          <w:lang w:val="en-IE"/>
        </w:rPr>
        <w:t>tment costs resulting from the</w:t>
      </w:r>
      <w:r w:rsidR="008D6305" w:rsidRPr="003B11BD">
        <w:rPr>
          <w:noProof/>
          <w:lang w:val="en-IE"/>
        </w:rPr>
        <w:t xml:space="preserve"> implement</w:t>
      </w:r>
      <w:r w:rsidR="000231C4" w:rsidRPr="003B11BD">
        <w:rPr>
          <w:noProof/>
          <w:lang w:val="en-IE"/>
        </w:rPr>
        <w:t>ation of the directive</w:t>
      </w:r>
      <w:r w:rsidR="008D6305" w:rsidRPr="003B11BD">
        <w:rPr>
          <w:noProof/>
          <w:lang w:val="en-IE"/>
        </w:rPr>
        <w:t xml:space="preserve"> into their national law. They would also </w:t>
      </w:r>
      <w:r w:rsidR="000231C4" w:rsidRPr="003B11BD">
        <w:rPr>
          <w:noProof/>
          <w:lang w:val="en-IE"/>
        </w:rPr>
        <w:t>face</w:t>
      </w:r>
      <w:r w:rsidR="008D6305" w:rsidRPr="003B11BD">
        <w:rPr>
          <w:noProof/>
          <w:lang w:val="en-IE"/>
        </w:rPr>
        <w:t xml:space="preserve"> some </w:t>
      </w:r>
      <w:r w:rsidR="009E5071" w:rsidRPr="003B11BD">
        <w:rPr>
          <w:noProof/>
          <w:lang w:val="en-IE"/>
        </w:rPr>
        <w:t xml:space="preserve">minor </w:t>
      </w:r>
      <w:r w:rsidR="0075375C" w:rsidRPr="003B11BD">
        <w:rPr>
          <w:noProof/>
          <w:lang w:val="en-IE"/>
        </w:rPr>
        <w:t xml:space="preserve">administrative </w:t>
      </w:r>
      <w:r w:rsidR="008D6305" w:rsidRPr="003B11BD">
        <w:rPr>
          <w:noProof/>
          <w:lang w:val="en-IE"/>
        </w:rPr>
        <w:t>costs, linked to the transparency obligation</w:t>
      </w:r>
      <w:r w:rsidR="0075375C" w:rsidRPr="003B11BD">
        <w:rPr>
          <w:noProof/>
          <w:lang w:val="en-IE"/>
        </w:rPr>
        <w:t xml:space="preserve"> (reporting)</w:t>
      </w:r>
      <w:r w:rsidR="008D6305" w:rsidRPr="003B11BD">
        <w:rPr>
          <w:noProof/>
          <w:lang w:val="en-IE"/>
        </w:rPr>
        <w:t>. On enforcement costs, Member States would</w:t>
      </w:r>
      <w:r w:rsidR="00E947DA" w:rsidRPr="003B11BD">
        <w:rPr>
          <w:noProof/>
          <w:lang w:val="en-IE"/>
        </w:rPr>
        <w:t xml:space="preserve"> </w:t>
      </w:r>
      <w:r w:rsidR="004033F2" w:rsidRPr="003B11BD">
        <w:rPr>
          <w:noProof/>
          <w:lang w:val="en-IE"/>
        </w:rPr>
        <w:t xml:space="preserve">also </w:t>
      </w:r>
      <w:r w:rsidR="00E947DA" w:rsidRPr="003B11BD">
        <w:rPr>
          <w:noProof/>
          <w:lang w:val="en-IE"/>
        </w:rPr>
        <w:t xml:space="preserve">bear the cost of participating in the advisory committee, but overall </w:t>
      </w:r>
      <w:r w:rsidR="004033F2" w:rsidRPr="003B11BD">
        <w:rPr>
          <w:noProof/>
          <w:lang w:val="en-IE"/>
        </w:rPr>
        <w:t xml:space="preserve">they </w:t>
      </w:r>
      <w:r w:rsidR="00E947DA" w:rsidRPr="003B11BD">
        <w:rPr>
          <w:noProof/>
          <w:lang w:val="en-IE"/>
        </w:rPr>
        <w:t>would</w:t>
      </w:r>
      <w:r w:rsidR="008D6305" w:rsidRPr="003B11BD">
        <w:rPr>
          <w:noProof/>
          <w:lang w:val="en-IE"/>
        </w:rPr>
        <w:t xml:space="preserve"> benefit from the centralised procedure. Costs </w:t>
      </w:r>
      <w:r w:rsidR="00676E28" w:rsidRPr="003B11BD">
        <w:rPr>
          <w:noProof/>
          <w:lang w:val="en-IE"/>
        </w:rPr>
        <w:t>of direct</w:t>
      </w:r>
      <w:r w:rsidR="008D6305" w:rsidRPr="003B11BD">
        <w:rPr>
          <w:noProof/>
          <w:lang w:val="en-IE"/>
        </w:rPr>
        <w:t xml:space="preserve"> negotiations with the patent owners and the manufacturers would be replaced by the costs of participating in the EU level negotiations (the latter are expected to be lower than handling the entire negotiations process nationally i.e. fewer staff involved per case per </w:t>
      </w:r>
      <w:r w:rsidR="00B4494C" w:rsidRPr="003B11BD">
        <w:rPr>
          <w:noProof/>
          <w:lang w:val="en-IE"/>
        </w:rPr>
        <w:t>Member State</w:t>
      </w:r>
      <w:r w:rsidR="008D6305" w:rsidRPr="003B11BD">
        <w:rPr>
          <w:noProof/>
          <w:lang w:val="en-IE"/>
        </w:rPr>
        <w:t xml:space="preserve">). The cost of granting the national compulsory licence based on the Commission’s </w:t>
      </w:r>
      <w:r w:rsidR="00540DC1" w:rsidRPr="003B11BD">
        <w:rPr>
          <w:noProof/>
          <w:lang w:val="en-IE"/>
        </w:rPr>
        <w:t>activation measure</w:t>
      </w:r>
      <w:r w:rsidR="008D6305" w:rsidRPr="003B11BD">
        <w:rPr>
          <w:noProof/>
          <w:lang w:val="en-IE"/>
        </w:rPr>
        <w:t xml:space="preserve"> would remain (i.e. the issuance of a government order granting a compulsory licence for Member States with manufacturing capacities on their territory). Member States with no manufacturing capacities would not have to bear any cost related to a national compulsory licence as </w:t>
      </w:r>
      <w:r w:rsidR="00676E28" w:rsidRPr="003B11BD">
        <w:rPr>
          <w:noProof/>
          <w:lang w:val="en-IE"/>
        </w:rPr>
        <w:t xml:space="preserve">a </w:t>
      </w:r>
      <w:r w:rsidR="008D6305" w:rsidRPr="003B11BD">
        <w:rPr>
          <w:noProof/>
          <w:lang w:val="en-IE"/>
        </w:rPr>
        <w:t xml:space="preserve">licence to import would no longer be needed. Member States would benefit from a more coherent approach at EU level when tackling crisis, and in particular as regards the use of compulsory licence in conjunction with another EU level crisis instrument. </w:t>
      </w:r>
      <w:r w:rsidR="6883F057" w:rsidRPr="003B11BD">
        <w:rPr>
          <w:noProof/>
          <w:lang w:val="en-IE"/>
        </w:rPr>
        <w:t xml:space="preserve">As regards the export to </w:t>
      </w:r>
      <w:r w:rsidR="002D606C" w:rsidRPr="003B11BD">
        <w:rPr>
          <w:noProof/>
          <w:lang w:val="en-IE"/>
        </w:rPr>
        <w:t xml:space="preserve">non-EU </w:t>
      </w:r>
      <w:r w:rsidR="6883F057" w:rsidRPr="003B11BD">
        <w:rPr>
          <w:noProof/>
          <w:lang w:val="en-IE"/>
        </w:rPr>
        <w:t>countries, Member States would benefit from an improved decis</w:t>
      </w:r>
      <w:r w:rsidR="05F71600" w:rsidRPr="003B11BD">
        <w:rPr>
          <w:noProof/>
          <w:lang w:val="en-IE"/>
        </w:rPr>
        <w:t xml:space="preserve">ion-making and cooperation due to the establishment of a single contact point </w:t>
      </w:r>
      <w:r w:rsidR="003671D1" w:rsidRPr="003B11BD">
        <w:rPr>
          <w:noProof/>
          <w:lang w:val="en-IE"/>
        </w:rPr>
        <w:t xml:space="preserve">(the Commission) </w:t>
      </w:r>
      <w:r w:rsidR="05F71600" w:rsidRPr="003B11BD">
        <w:rPr>
          <w:noProof/>
          <w:lang w:val="en-IE"/>
        </w:rPr>
        <w:t>assisted by an advisor</w:t>
      </w:r>
      <w:r w:rsidR="3853008B" w:rsidRPr="003B11BD">
        <w:rPr>
          <w:noProof/>
          <w:lang w:val="en-IE"/>
        </w:rPr>
        <w:t xml:space="preserve">y committee. At the same time, the participation in the advisory committee could </w:t>
      </w:r>
      <w:r w:rsidR="00314B12">
        <w:rPr>
          <w:noProof/>
          <w:lang w:val="en-IE"/>
        </w:rPr>
        <w:t>generate</w:t>
      </w:r>
      <w:r w:rsidR="3853008B" w:rsidRPr="003B11BD">
        <w:rPr>
          <w:noProof/>
          <w:lang w:val="en-IE"/>
        </w:rPr>
        <w:t xml:space="preserve"> </w:t>
      </w:r>
      <w:r w:rsidR="00314B12">
        <w:rPr>
          <w:noProof/>
          <w:lang w:val="en-IE"/>
        </w:rPr>
        <w:t>some minor</w:t>
      </w:r>
      <w:r w:rsidR="009E5071" w:rsidRPr="003B11BD">
        <w:rPr>
          <w:noProof/>
          <w:lang w:val="en-IE"/>
        </w:rPr>
        <w:t xml:space="preserve"> </w:t>
      </w:r>
      <w:r w:rsidR="2BFE88D5" w:rsidRPr="003B11BD">
        <w:rPr>
          <w:noProof/>
          <w:lang w:val="en-IE"/>
        </w:rPr>
        <w:t>costs</w:t>
      </w:r>
      <w:r w:rsidR="457AE35B" w:rsidRPr="003B11BD">
        <w:rPr>
          <w:noProof/>
          <w:lang w:val="en-IE"/>
        </w:rPr>
        <w:t xml:space="preserve"> for Member States</w:t>
      </w:r>
      <w:r w:rsidR="00676E28" w:rsidRPr="003B11BD">
        <w:rPr>
          <w:noProof/>
          <w:lang w:val="en-IE"/>
        </w:rPr>
        <w:t>, but only when such situation occurs</w:t>
      </w:r>
      <w:r w:rsidR="457AE35B" w:rsidRPr="003B11BD">
        <w:rPr>
          <w:noProof/>
          <w:lang w:val="en-IE"/>
        </w:rPr>
        <w:t>.</w:t>
      </w:r>
      <w:r w:rsidR="003A3407" w:rsidRPr="003B11BD">
        <w:rPr>
          <w:noProof/>
          <w:lang w:val="en-IE"/>
        </w:rPr>
        <w:t xml:space="preserve"> </w:t>
      </w:r>
      <w:r w:rsidR="008D6305" w:rsidRPr="003B11BD">
        <w:rPr>
          <w:noProof/>
          <w:lang w:val="en-IE"/>
        </w:rPr>
        <w:t xml:space="preserve">In case of </w:t>
      </w:r>
      <w:r w:rsidR="0094307B" w:rsidRPr="003B11BD">
        <w:rPr>
          <w:noProof/>
          <w:lang w:val="en-IE"/>
        </w:rPr>
        <w:t xml:space="preserve">a </w:t>
      </w:r>
      <w:r w:rsidR="008D6305" w:rsidRPr="003B11BD">
        <w:rPr>
          <w:noProof/>
          <w:lang w:val="en-IE"/>
        </w:rPr>
        <w:t xml:space="preserve">crisis, </w:t>
      </w:r>
      <w:r w:rsidR="00015D5A" w:rsidRPr="003B11BD">
        <w:rPr>
          <w:b/>
          <w:noProof/>
          <w:lang w:val="en-IE"/>
        </w:rPr>
        <w:t>EU</w:t>
      </w:r>
      <w:r w:rsidR="00015D5A" w:rsidRPr="003B11BD">
        <w:rPr>
          <w:noProof/>
          <w:lang w:val="en-IE"/>
        </w:rPr>
        <w:t xml:space="preserve"> </w:t>
      </w:r>
      <w:r w:rsidR="0094307B" w:rsidRPr="003B11BD">
        <w:rPr>
          <w:b/>
          <w:noProof/>
          <w:lang w:val="en-IE"/>
        </w:rPr>
        <w:t>c</w:t>
      </w:r>
      <w:r w:rsidR="008D6305" w:rsidRPr="003B11BD">
        <w:rPr>
          <w:b/>
          <w:noProof/>
          <w:lang w:val="en-IE"/>
        </w:rPr>
        <w:t>itizens</w:t>
      </w:r>
      <w:r w:rsidR="008D6305" w:rsidRPr="003B11BD">
        <w:rPr>
          <w:noProof/>
          <w:lang w:val="en-IE"/>
        </w:rPr>
        <w:t xml:space="preserve"> would benefit from </w:t>
      </w:r>
      <w:r w:rsidR="00676E28" w:rsidRPr="003B11BD">
        <w:rPr>
          <w:noProof/>
          <w:lang w:val="en-IE"/>
        </w:rPr>
        <w:t xml:space="preserve">PO3 </w:t>
      </w:r>
      <w:r w:rsidR="008D6305" w:rsidRPr="003B11BD">
        <w:rPr>
          <w:noProof/>
          <w:lang w:val="en-IE"/>
        </w:rPr>
        <w:t>as it would improve the EU’s ability to conclude voluntary agreements and its ability to issue an effective and efficient compulsory licence for the whole EU, including in case of cross-border supply chain.</w:t>
      </w:r>
      <w:r w:rsidR="004A0C8B" w:rsidRPr="003B11BD">
        <w:rPr>
          <w:noProof/>
          <w:lang w:val="en-IE"/>
        </w:rPr>
        <w:t xml:space="preserve"> </w:t>
      </w:r>
      <w:r w:rsidR="00EF1136" w:rsidRPr="003B11BD">
        <w:rPr>
          <w:b/>
          <w:noProof/>
          <w:lang w:val="en-IE"/>
        </w:rPr>
        <w:t>Non-EU</w:t>
      </w:r>
      <w:r w:rsidR="004A0C8B" w:rsidRPr="003B11BD">
        <w:rPr>
          <w:b/>
          <w:noProof/>
          <w:lang w:val="en-IE"/>
        </w:rPr>
        <w:t xml:space="preserve"> countries </w:t>
      </w:r>
      <w:r w:rsidR="004A0C8B" w:rsidRPr="003B11BD">
        <w:rPr>
          <w:noProof/>
          <w:lang w:val="en-IE"/>
        </w:rPr>
        <w:t>would benefit f</w:t>
      </w:r>
      <w:r w:rsidR="00676E28" w:rsidRPr="003B11BD">
        <w:rPr>
          <w:noProof/>
          <w:lang w:val="en-IE"/>
        </w:rPr>
        <w:t>rom</w:t>
      </w:r>
      <w:r w:rsidR="004A0C8B" w:rsidRPr="003B11BD">
        <w:rPr>
          <w:noProof/>
          <w:lang w:val="en-IE"/>
        </w:rPr>
        <w:t xml:space="preserve"> administrative savings </w:t>
      </w:r>
      <w:r w:rsidR="00676E28" w:rsidRPr="003B11BD">
        <w:rPr>
          <w:noProof/>
          <w:lang w:val="en-IE"/>
        </w:rPr>
        <w:t xml:space="preserve">due </w:t>
      </w:r>
      <w:r w:rsidR="004A0C8B" w:rsidRPr="003B11BD">
        <w:rPr>
          <w:noProof/>
          <w:lang w:val="en-IE"/>
        </w:rPr>
        <w:t xml:space="preserve">to the </w:t>
      </w:r>
      <w:r w:rsidR="00E407D3" w:rsidRPr="003B11BD">
        <w:rPr>
          <w:noProof/>
          <w:lang w:val="en-IE"/>
        </w:rPr>
        <w:t>increased coordination at EU level</w:t>
      </w:r>
      <w:r w:rsidR="004A0C8B" w:rsidRPr="003B11BD">
        <w:rPr>
          <w:noProof/>
          <w:lang w:val="en-IE"/>
        </w:rPr>
        <w:t>.</w:t>
      </w:r>
    </w:p>
    <w:p w14:paraId="79070E56" w14:textId="7F0F47E2" w:rsidR="006B087E" w:rsidRPr="003B11BD" w:rsidRDefault="001951F7" w:rsidP="000E3086">
      <w:pPr>
        <w:pStyle w:val="Heading2"/>
        <w:rPr>
          <w:rStyle w:val="normaltextrun"/>
          <w:noProof/>
          <w:lang w:val="en-IE"/>
        </w:rPr>
      </w:pPr>
      <w:bookmarkStart w:id="598" w:name="_Toc120731237"/>
      <w:bookmarkStart w:id="599" w:name="_Toc121386397"/>
      <w:bookmarkStart w:id="600" w:name="_Toc121489612"/>
      <w:bookmarkStart w:id="601" w:name="_Toc121496372"/>
      <w:bookmarkStart w:id="602" w:name="_Toc121748031"/>
      <w:bookmarkStart w:id="603" w:name="_Toc133435384"/>
      <w:r w:rsidRPr="003B11BD">
        <w:rPr>
          <w:noProof/>
          <w:lang w:val="en-IE"/>
        </w:rPr>
        <w:t xml:space="preserve">Option </w:t>
      </w:r>
      <w:r w:rsidR="002A143E" w:rsidRPr="003B11BD">
        <w:rPr>
          <w:noProof/>
          <w:lang w:val="en-IE"/>
        </w:rPr>
        <w:t>4</w:t>
      </w:r>
      <w:r w:rsidRPr="003B11BD">
        <w:rPr>
          <w:noProof/>
          <w:lang w:val="en-IE"/>
        </w:rPr>
        <w:t xml:space="preserve"> – </w:t>
      </w:r>
      <w:r w:rsidR="002A143E" w:rsidRPr="003B11BD">
        <w:rPr>
          <w:rStyle w:val="normaltextrun"/>
          <w:noProof/>
          <w:lang w:val="en-IE"/>
        </w:rPr>
        <w:t>EU-level compulsory licen</w:t>
      </w:r>
      <w:r w:rsidR="001C50FF" w:rsidRPr="003B11BD">
        <w:rPr>
          <w:rStyle w:val="normaltextrun"/>
          <w:noProof/>
          <w:lang w:val="en-IE"/>
        </w:rPr>
        <w:t>s</w:t>
      </w:r>
      <w:r w:rsidR="00A52EAB" w:rsidRPr="003B11BD">
        <w:rPr>
          <w:rStyle w:val="normaltextrun"/>
          <w:noProof/>
          <w:lang w:val="en-IE"/>
        </w:rPr>
        <w:t>ing</w:t>
      </w:r>
      <w:r w:rsidR="002A143E" w:rsidRPr="003B11BD">
        <w:rPr>
          <w:rStyle w:val="normaltextrun"/>
          <w:noProof/>
          <w:lang w:val="en-IE"/>
        </w:rPr>
        <w:t xml:space="preserve"> </w:t>
      </w:r>
      <w:r w:rsidR="002A143E" w:rsidRPr="003B11BD">
        <w:rPr>
          <w:noProof/>
          <w:lang w:val="en-IE"/>
        </w:rPr>
        <w:t>to complement existing EU crisis instruments</w:t>
      </w:r>
      <w:bookmarkEnd w:id="598"/>
      <w:bookmarkEnd w:id="599"/>
      <w:bookmarkEnd w:id="600"/>
      <w:bookmarkEnd w:id="601"/>
      <w:bookmarkEnd w:id="602"/>
      <w:bookmarkEnd w:id="603"/>
    </w:p>
    <w:p w14:paraId="2926A94B" w14:textId="56083F9C" w:rsidR="00FF27EF" w:rsidRPr="003B11BD" w:rsidRDefault="00C412C4" w:rsidP="00ED49E6">
      <w:pPr>
        <w:pStyle w:val="Heading3"/>
        <w:rPr>
          <w:noProof/>
        </w:rPr>
      </w:pPr>
      <w:bookmarkStart w:id="604" w:name="_Toc121489613"/>
      <w:bookmarkStart w:id="605" w:name="_Toc121496373"/>
      <w:bookmarkStart w:id="606" w:name="_Toc121748032"/>
      <w:bookmarkStart w:id="607" w:name="_Toc133435385"/>
      <w:bookmarkStart w:id="608" w:name="_Toc120731238"/>
      <w:bookmarkStart w:id="609" w:name="_Toc121386398"/>
      <w:r w:rsidRPr="003B11BD">
        <w:rPr>
          <w:noProof/>
        </w:rPr>
        <w:t>Improve the key features</w:t>
      </w:r>
      <w:r w:rsidR="00FF27EF" w:rsidRPr="003B11BD">
        <w:rPr>
          <w:noProof/>
        </w:rPr>
        <w:t xml:space="preserve"> of compulsory licensing</w:t>
      </w:r>
      <w:bookmarkEnd w:id="604"/>
      <w:bookmarkEnd w:id="605"/>
      <w:bookmarkEnd w:id="606"/>
      <w:bookmarkEnd w:id="607"/>
    </w:p>
    <w:bookmarkEnd w:id="608"/>
    <w:bookmarkEnd w:id="609"/>
    <w:p w14:paraId="5D27D79D" w14:textId="34673D06" w:rsidR="006F34DC" w:rsidRPr="003B11BD" w:rsidRDefault="006F34DC" w:rsidP="006F34DC">
      <w:pPr>
        <w:pStyle w:val="Text2"/>
        <w:ind w:left="0"/>
        <w:rPr>
          <w:noProof/>
          <w:lang w:val="en-IE"/>
        </w:rPr>
      </w:pPr>
      <w:r w:rsidRPr="003B11BD">
        <w:rPr>
          <w:noProof/>
          <w:lang w:val="en-IE"/>
        </w:rPr>
        <w:t xml:space="preserve">Under </w:t>
      </w:r>
      <w:r w:rsidR="000A569D" w:rsidRPr="003B11BD">
        <w:rPr>
          <w:noProof/>
          <w:lang w:val="en-IE"/>
        </w:rPr>
        <w:t>PO</w:t>
      </w:r>
      <w:r w:rsidRPr="003B11BD">
        <w:rPr>
          <w:noProof/>
          <w:lang w:val="en-IE"/>
        </w:rPr>
        <w:t xml:space="preserve">4 the Commission would directly grant a compulsory licence and specify the conditions under which this licence is granted. </w:t>
      </w:r>
      <w:r w:rsidR="009116EE" w:rsidRPr="003B11BD">
        <w:rPr>
          <w:noProof/>
          <w:lang w:val="en-IE"/>
        </w:rPr>
        <w:t>The granting decision would spec</w:t>
      </w:r>
      <w:r w:rsidR="004B1380" w:rsidRPr="003B11BD">
        <w:rPr>
          <w:noProof/>
          <w:lang w:val="en-IE"/>
        </w:rPr>
        <w:t>if</w:t>
      </w:r>
      <w:r w:rsidR="009116EE" w:rsidRPr="003B11BD">
        <w:rPr>
          <w:noProof/>
          <w:lang w:val="en-IE"/>
        </w:rPr>
        <w:t xml:space="preserve">y all the conditions of the compulsory licence, including the remuneration. These conditions would be </w:t>
      </w:r>
      <w:r w:rsidR="004B1380" w:rsidRPr="003B11BD">
        <w:rPr>
          <w:noProof/>
          <w:lang w:val="en-IE"/>
        </w:rPr>
        <w:t xml:space="preserve">the same for all territories where the compulsory licence applies. This would ensure </w:t>
      </w:r>
      <w:r w:rsidR="006F5483" w:rsidRPr="003B11BD">
        <w:rPr>
          <w:noProof/>
          <w:lang w:val="en-IE"/>
        </w:rPr>
        <w:t>an optimal</w:t>
      </w:r>
      <w:r w:rsidRPr="003B11BD">
        <w:rPr>
          <w:noProof/>
          <w:lang w:val="en-IE"/>
        </w:rPr>
        <w:t xml:space="preserve"> clarity and coherence </w:t>
      </w:r>
      <w:r w:rsidR="006F5483" w:rsidRPr="003B11BD">
        <w:rPr>
          <w:noProof/>
          <w:lang w:val="en-IE"/>
        </w:rPr>
        <w:t>as regards the conditions of the compulsory licence</w:t>
      </w:r>
      <w:r w:rsidRPr="003B11BD">
        <w:rPr>
          <w:noProof/>
          <w:lang w:val="en-IE"/>
        </w:rPr>
        <w:t>.</w:t>
      </w:r>
      <w:r w:rsidR="006F5483" w:rsidRPr="003B11BD">
        <w:rPr>
          <w:noProof/>
          <w:lang w:val="en-IE"/>
        </w:rPr>
        <w:t xml:space="preserve"> Since there would only be one procedure – at EU level – there would not </w:t>
      </w:r>
      <w:r w:rsidR="009B6A65" w:rsidRPr="003B11BD">
        <w:rPr>
          <w:noProof/>
          <w:lang w:val="en-IE"/>
        </w:rPr>
        <w:t xml:space="preserve">be divergences due to national decisions and/ or implementation. </w:t>
      </w:r>
      <w:r w:rsidRPr="003B11BD">
        <w:rPr>
          <w:noProof/>
          <w:lang w:val="en-IE"/>
        </w:rPr>
        <w:t xml:space="preserve">Consequently, </w:t>
      </w:r>
      <w:r w:rsidR="009B6A65" w:rsidRPr="003B11BD">
        <w:rPr>
          <w:noProof/>
          <w:lang w:val="en-IE"/>
        </w:rPr>
        <w:t xml:space="preserve">by relying on a fully harmonised scheme, </w:t>
      </w:r>
      <w:r w:rsidRPr="003B11BD">
        <w:rPr>
          <w:noProof/>
          <w:lang w:val="en-IE"/>
        </w:rPr>
        <w:t xml:space="preserve">Option </w:t>
      </w:r>
      <w:r w:rsidR="009B6A65" w:rsidRPr="003B11BD">
        <w:rPr>
          <w:noProof/>
          <w:lang w:val="en-IE"/>
        </w:rPr>
        <w:t>4 provides an optimal</w:t>
      </w:r>
      <w:r w:rsidRPr="003B11BD">
        <w:rPr>
          <w:noProof/>
          <w:lang w:val="en-IE"/>
        </w:rPr>
        <w:t xml:space="preserve"> coherence and clarity as regards all the featur</w:t>
      </w:r>
      <w:r w:rsidR="003D4E1F" w:rsidRPr="003B11BD">
        <w:rPr>
          <w:noProof/>
          <w:lang w:val="en-IE"/>
        </w:rPr>
        <w:t>es of</w:t>
      </w:r>
      <w:r w:rsidRPr="003B11BD">
        <w:rPr>
          <w:noProof/>
          <w:lang w:val="en-IE"/>
        </w:rPr>
        <w:t xml:space="preserve"> compulsory lice</w:t>
      </w:r>
      <w:r w:rsidR="003D4E1F" w:rsidRPr="003B11BD">
        <w:rPr>
          <w:noProof/>
          <w:lang w:val="en-IE"/>
        </w:rPr>
        <w:t>nsing for crisis management</w:t>
      </w:r>
      <w:r w:rsidRPr="003B11BD">
        <w:rPr>
          <w:noProof/>
          <w:lang w:val="en-IE"/>
        </w:rPr>
        <w:t xml:space="preserve">. </w:t>
      </w:r>
    </w:p>
    <w:p w14:paraId="22E2E219" w14:textId="085BE9A8" w:rsidR="00E26A92" w:rsidRPr="003B11BD" w:rsidRDefault="00A94F37" w:rsidP="00ED49E6">
      <w:pPr>
        <w:pStyle w:val="Heading3"/>
        <w:rPr>
          <w:noProof/>
        </w:rPr>
      </w:pPr>
      <w:bookmarkStart w:id="610" w:name="_Toc121748033"/>
      <w:bookmarkStart w:id="611" w:name="_Toc133435386"/>
      <w:bookmarkStart w:id="612" w:name="_Toc120731239"/>
      <w:bookmarkStart w:id="613" w:name="_Toc121386399"/>
      <w:bookmarkStart w:id="614" w:name="_Toc121489614"/>
      <w:bookmarkStart w:id="615" w:name="_Toc121496374"/>
      <w:r w:rsidRPr="003B11BD">
        <w:rPr>
          <w:noProof/>
        </w:rPr>
        <w:t>Territorial reach</w:t>
      </w:r>
      <w:r w:rsidR="00933D80" w:rsidRPr="003B11BD">
        <w:rPr>
          <w:noProof/>
        </w:rPr>
        <w:t xml:space="preserve"> of</w:t>
      </w:r>
      <w:r w:rsidR="00E26A92" w:rsidRPr="003B11BD">
        <w:rPr>
          <w:noProof/>
        </w:rPr>
        <w:t xml:space="preserve"> compulsory licensing</w:t>
      </w:r>
      <w:bookmarkEnd w:id="610"/>
      <w:bookmarkEnd w:id="611"/>
      <w:r w:rsidR="00E26A92" w:rsidRPr="003B11BD">
        <w:rPr>
          <w:noProof/>
        </w:rPr>
        <w:t xml:space="preserve"> </w:t>
      </w:r>
    </w:p>
    <w:bookmarkEnd w:id="612"/>
    <w:bookmarkEnd w:id="613"/>
    <w:bookmarkEnd w:id="614"/>
    <w:bookmarkEnd w:id="615"/>
    <w:p w14:paraId="44D6FAF2" w14:textId="37A882E3" w:rsidR="00390D94" w:rsidRPr="003B11BD" w:rsidRDefault="00AA0540" w:rsidP="00F315AA">
      <w:pPr>
        <w:rPr>
          <w:noProof/>
          <w:lang w:val="en-IE"/>
        </w:rPr>
      </w:pPr>
      <w:r w:rsidRPr="003B11BD">
        <w:rPr>
          <w:noProof/>
          <w:lang w:val="en-IE"/>
        </w:rPr>
        <w:t>P</w:t>
      </w:r>
      <w:r w:rsidR="7CE1EDB8" w:rsidRPr="003B11BD">
        <w:rPr>
          <w:noProof/>
          <w:lang w:val="en-IE"/>
        </w:rPr>
        <w:t>O</w:t>
      </w:r>
      <w:r w:rsidRPr="003B11BD">
        <w:rPr>
          <w:noProof/>
          <w:lang w:val="en-IE"/>
        </w:rPr>
        <w:t>4</w:t>
      </w:r>
      <w:r w:rsidR="00082DF0" w:rsidRPr="003B11BD">
        <w:rPr>
          <w:noProof/>
          <w:lang w:val="en-IE"/>
        </w:rPr>
        <w:t xml:space="preserve"> would provide </w:t>
      </w:r>
      <w:r w:rsidR="008E5637" w:rsidRPr="003B11BD">
        <w:rPr>
          <w:noProof/>
          <w:lang w:val="en-IE"/>
        </w:rPr>
        <w:t>an optimal</w:t>
      </w:r>
      <w:r w:rsidR="00082DF0" w:rsidRPr="003B11BD">
        <w:rPr>
          <w:noProof/>
          <w:lang w:val="en-IE"/>
        </w:rPr>
        <w:t xml:space="preserve"> solution as regards the territorial scope of the compulsory licence: </w:t>
      </w:r>
      <w:r w:rsidR="00994685" w:rsidRPr="003B11BD">
        <w:rPr>
          <w:noProof/>
          <w:lang w:val="en-IE"/>
        </w:rPr>
        <w:t>one single compulsory licence</w:t>
      </w:r>
      <w:r w:rsidR="00E10B77" w:rsidRPr="003B11BD">
        <w:rPr>
          <w:noProof/>
          <w:lang w:val="en-IE"/>
        </w:rPr>
        <w:t xml:space="preserve"> would cover</w:t>
      </w:r>
      <w:r w:rsidR="00082DF0" w:rsidRPr="003B11BD">
        <w:rPr>
          <w:noProof/>
          <w:lang w:val="en-IE"/>
        </w:rPr>
        <w:t xml:space="preserve"> all EU countries being affected by the crisis</w:t>
      </w:r>
      <w:r w:rsidR="00390D94" w:rsidRPr="003B11BD">
        <w:rPr>
          <w:noProof/>
          <w:lang w:val="en-IE"/>
        </w:rPr>
        <w:t xml:space="preserve"> </w:t>
      </w:r>
      <w:r w:rsidR="00812DC6" w:rsidRPr="003B11BD">
        <w:rPr>
          <w:noProof/>
          <w:lang w:val="en-IE"/>
        </w:rPr>
        <w:t>and all EU countries having the relevant manufacturing capacities</w:t>
      </w:r>
      <w:r w:rsidR="00082DF0" w:rsidRPr="003B11BD">
        <w:rPr>
          <w:noProof/>
          <w:lang w:val="en-IE"/>
        </w:rPr>
        <w:t xml:space="preserve">. </w:t>
      </w:r>
      <w:r w:rsidR="00270081" w:rsidRPr="003B11BD">
        <w:rPr>
          <w:noProof/>
          <w:lang w:val="en-IE"/>
        </w:rPr>
        <w:t xml:space="preserve">By creating an EU-level system, </w:t>
      </w:r>
      <w:r w:rsidR="00740C4C" w:rsidRPr="003B11BD">
        <w:rPr>
          <w:noProof/>
          <w:lang w:val="en-IE"/>
        </w:rPr>
        <w:t>this</w:t>
      </w:r>
      <w:r w:rsidR="00F315AA" w:rsidRPr="003B11BD">
        <w:rPr>
          <w:noProof/>
          <w:lang w:val="en-IE"/>
        </w:rPr>
        <w:t xml:space="preserve"> option </w:t>
      </w:r>
      <w:r w:rsidR="007B3088" w:rsidRPr="003B11BD">
        <w:rPr>
          <w:noProof/>
          <w:lang w:val="en-IE"/>
        </w:rPr>
        <w:t xml:space="preserve">would </w:t>
      </w:r>
      <w:r w:rsidR="00740C4C" w:rsidRPr="003B11BD">
        <w:rPr>
          <w:noProof/>
          <w:lang w:val="en-IE"/>
        </w:rPr>
        <w:t xml:space="preserve">guarantee </w:t>
      </w:r>
      <w:r w:rsidR="005872DE" w:rsidRPr="003B11BD">
        <w:rPr>
          <w:noProof/>
          <w:lang w:val="en-IE"/>
        </w:rPr>
        <w:t>a solution that is fully coherent and equally applicable in all Member States</w:t>
      </w:r>
      <w:r w:rsidR="00F315AA" w:rsidRPr="003B11BD">
        <w:rPr>
          <w:noProof/>
          <w:lang w:val="en-IE"/>
        </w:rPr>
        <w:t>.</w:t>
      </w:r>
      <w:r w:rsidR="00E10B77" w:rsidRPr="003B11BD">
        <w:rPr>
          <w:noProof/>
          <w:lang w:val="en-IE"/>
        </w:rPr>
        <w:t xml:space="preserve"> </w:t>
      </w:r>
      <w:r w:rsidR="00804432" w:rsidRPr="003B11BD">
        <w:rPr>
          <w:noProof/>
          <w:lang w:val="en-IE"/>
        </w:rPr>
        <w:t xml:space="preserve">A unique compulsory licence </w:t>
      </w:r>
      <w:r w:rsidR="007B3088" w:rsidRPr="003B11BD">
        <w:rPr>
          <w:noProof/>
          <w:lang w:val="en-IE"/>
        </w:rPr>
        <w:t xml:space="preserve">offers </w:t>
      </w:r>
      <w:r w:rsidR="006F3AFA" w:rsidRPr="003B11BD">
        <w:rPr>
          <w:noProof/>
          <w:lang w:val="en-IE"/>
        </w:rPr>
        <w:t>an efficient compulsory licensing scheme</w:t>
      </w:r>
      <w:r w:rsidR="00016DA1" w:rsidRPr="003B11BD">
        <w:rPr>
          <w:noProof/>
          <w:lang w:val="en-IE"/>
        </w:rPr>
        <w:t xml:space="preserve">, which avoids national divergences likely to slow down an EU reply to </w:t>
      </w:r>
      <w:r w:rsidR="007B3088" w:rsidRPr="003B11BD">
        <w:rPr>
          <w:noProof/>
          <w:lang w:val="en-IE"/>
        </w:rPr>
        <w:t>a cross-border</w:t>
      </w:r>
      <w:r w:rsidR="00016DA1" w:rsidRPr="003B11BD">
        <w:rPr>
          <w:noProof/>
          <w:lang w:val="en-IE"/>
        </w:rPr>
        <w:t xml:space="preserve"> crisis</w:t>
      </w:r>
      <w:r w:rsidR="00804432" w:rsidRPr="003B11BD">
        <w:rPr>
          <w:noProof/>
          <w:lang w:val="en-IE"/>
        </w:rPr>
        <w:t xml:space="preserve">. The cross-border effect guarantees an effective compulsory licensing scheme as it </w:t>
      </w:r>
      <w:r w:rsidR="00432A42" w:rsidRPr="003B11BD">
        <w:rPr>
          <w:noProof/>
          <w:lang w:val="en-IE"/>
        </w:rPr>
        <w:t xml:space="preserve">matches the reality of the </w:t>
      </w:r>
      <w:r w:rsidR="00D43F3F" w:rsidRPr="003B11BD">
        <w:rPr>
          <w:noProof/>
          <w:lang w:val="en-IE"/>
        </w:rPr>
        <w:t>Single Market</w:t>
      </w:r>
      <w:r w:rsidR="00432A42" w:rsidRPr="003B11BD">
        <w:rPr>
          <w:noProof/>
          <w:lang w:val="en-IE"/>
        </w:rPr>
        <w:t xml:space="preserve"> and its inherently cross-border supply chains and can </w:t>
      </w:r>
      <w:r w:rsidR="00A70FC6" w:rsidRPr="003B11BD">
        <w:rPr>
          <w:noProof/>
          <w:lang w:val="en-IE"/>
        </w:rPr>
        <w:t>supply the whole EU market (instead of one country)</w:t>
      </w:r>
      <w:r w:rsidR="0035199C" w:rsidRPr="003B11BD">
        <w:rPr>
          <w:noProof/>
          <w:lang w:val="en-IE"/>
        </w:rPr>
        <w:t xml:space="preserve">. </w:t>
      </w:r>
      <w:r w:rsidR="00D03024" w:rsidRPr="003B11BD">
        <w:rPr>
          <w:noProof/>
          <w:lang w:val="en-IE"/>
        </w:rPr>
        <w:t xml:space="preserve">A </w:t>
      </w:r>
      <w:r w:rsidRPr="003B11BD">
        <w:rPr>
          <w:noProof/>
          <w:lang w:val="en-IE"/>
        </w:rPr>
        <w:t>CL</w:t>
      </w:r>
      <w:r w:rsidR="00D03024" w:rsidRPr="003B11BD">
        <w:rPr>
          <w:noProof/>
          <w:lang w:val="en-IE"/>
        </w:rPr>
        <w:t xml:space="preserve"> applicable on a wider territory</w:t>
      </w:r>
      <w:r w:rsidR="00A70FC6" w:rsidRPr="003B11BD">
        <w:rPr>
          <w:noProof/>
          <w:lang w:val="en-IE"/>
        </w:rPr>
        <w:t xml:space="preserve"> can </w:t>
      </w:r>
      <w:r w:rsidR="00432A42" w:rsidRPr="003B11BD">
        <w:rPr>
          <w:noProof/>
          <w:lang w:val="en-IE"/>
        </w:rPr>
        <w:t xml:space="preserve">serve as an incentive for licensees </w:t>
      </w:r>
      <w:r w:rsidR="00804432" w:rsidRPr="003B11BD">
        <w:rPr>
          <w:noProof/>
          <w:lang w:val="en-IE"/>
        </w:rPr>
        <w:t>to change their production line to accommodate the need for critical goods.</w:t>
      </w:r>
    </w:p>
    <w:p w14:paraId="5C196C32" w14:textId="7CE135C7" w:rsidR="00BF248B" w:rsidRPr="003B11BD" w:rsidRDefault="00BF248B" w:rsidP="00ED49E6">
      <w:pPr>
        <w:pStyle w:val="Heading3"/>
        <w:rPr>
          <w:noProof/>
        </w:rPr>
      </w:pPr>
      <w:bookmarkStart w:id="616" w:name="_Toc121431368"/>
      <w:bookmarkStart w:id="617" w:name="_Toc121431614"/>
      <w:bookmarkStart w:id="618" w:name="_Toc121479309"/>
      <w:bookmarkStart w:id="619" w:name="_Toc121479401"/>
      <w:bookmarkStart w:id="620" w:name="_Toc121486201"/>
      <w:bookmarkStart w:id="621" w:name="_Toc121486441"/>
      <w:bookmarkStart w:id="622" w:name="_Toc121487140"/>
      <w:bookmarkStart w:id="623" w:name="_Toc121488363"/>
      <w:bookmarkStart w:id="624" w:name="_Toc121488531"/>
      <w:bookmarkStart w:id="625" w:name="_Toc121489379"/>
      <w:bookmarkStart w:id="626" w:name="_Toc121489455"/>
      <w:bookmarkStart w:id="627" w:name="_Toc121489026"/>
      <w:bookmarkStart w:id="628" w:name="_Toc121489615"/>
      <w:bookmarkStart w:id="629" w:name="_Toc121490481"/>
      <w:bookmarkStart w:id="630" w:name="_Toc121490557"/>
      <w:bookmarkStart w:id="631" w:name="_Toc121491605"/>
      <w:bookmarkStart w:id="632" w:name="_Toc121492388"/>
      <w:bookmarkStart w:id="633" w:name="_Toc121431369"/>
      <w:bookmarkStart w:id="634" w:name="_Toc121431615"/>
      <w:bookmarkStart w:id="635" w:name="_Toc121479310"/>
      <w:bookmarkStart w:id="636" w:name="_Toc121479402"/>
      <w:bookmarkStart w:id="637" w:name="_Toc121486202"/>
      <w:bookmarkStart w:id="638" w:name="_Toc121486442"/>
      <w:bookmarkStart w:id="639" w:name="_Toc121487141"/>
      <w:bookmarkStart w:id="640" w:name="_Toc121488364"/>
      <w:bookmarkStart w:id="641" w:name="_Toc121488532"/>
      <w:bookmarkStart w:id="642" w:name="_Toc121489380"/>
      <w:bookmarkStart w:id="643" w:name="_Toc121489456"/>
      <w:bookmarkStart w:id="644" w:name="_Toc121489027"/>
      <w:bookmarkStart w:id="645" w:name="_Toc121489616"/>
      <w:bookmarkStart w:id="646" w:name="_Toc121490482"/>
      <w:bookmarkStart w:id="647" w:name="_Toc121490558"/>
      <w:bookmarkStart w:id="648" w:name="_Toc121491606"/>
      <w:bookmarkStart w:id="649" w:name="_Toc121492389"/>
      <w:bookmarkStart w:id="650" w:name="_Toc121431370"/>
      <w:bookmarkStart w:id="651" w:name="_Toc121431616"/>
      <w:bookmarkStart w:id="652" w:name="_Toc121479311"/>
      <w:bookmarkStart w:id="653" w:name="_Toc121479403"/>
      <w:bookmarkStart w:id="654" w:name="_Toc121486203"/>
      <w:bookmarkStart w:id="655" w:name="_Toc121486443"/>
      <w:bookmarkStart w:id="656" w:name="_Toc121487142"/>
      <w:bookmarkStart w:id="657" w:name="_Toc121488365"/>
      <w:bookmarkStart w:id="658" w:name="_Toc121488533"/>
      <w:bookmarkStart w:id="659" w:name="_Toc121489381"/>
      <w:bookmarkStart w:id="660" w:name="_Toc121489457"/>
      <w:bookmarkStart w:id="661" w:name="_Toc121489028"/>
      <w:bookmarkStart w:id="662" w:name="_Toc121489617"/>
      <w:bookmarkStart w:id="663" w:name="_Toc121490483"/>
      <w:bookmarkStart w:id="664" w:name="_Toc121490559"/>
      <w:bookmarkStart w:id="665" w:name="_Toc121491607"/>
      <w:bookmarkStart w:id="666" w:name="_Toc121492390"/>
      <w:bookmarkStart w:id="667" w:name="_Toc121494299"/>
      <w:bookmarkStart w:id="668" w:name="_Toc121494839"/>
      <w:bookmarkStart w:id="669" w:name="_Toc121495587"/>
      <w:bookmarkStart w:id="670" w:name="_Toc121495670"/>
      <w:bookmarkStart w:id="671" w:name="_Toc121495753"/>
      <w:bookmarkStart w:id="672" w:name="_Toc121496284"/>
      <w:bookmarkStart w:id="673" w:name="_Toc121496375"/>
      <w:bookmarkStart w:id="674" w:name="_Toc121498021"/>
      <w:bookmarkStart w:id="675" w:name="_Toc121498118"/>
      <w:bookmarkStart w:id="676" w:name="_Toc121498215"/>
      <w:bookmarkStart w:id="677" w:name="_Toc121498312"/>
      <w:bookmarkStart w:id="678" w:name="_Toc121499744"/>
      <w:bookmarkStart w:id="679" w:name="_Toc121499841"/>
      <w:bookmarkStart w:id="680" w:name="_Toc121499938"/>
      <w:bookmarkStart w:id="681" w:name="_Toc121500035"/>
      <w:bookmarkStart w:id="682" w:name="_Toc121500132"/>
      <w:bookmarkStart w:id="683" w:name="_Toc121500229"/>
      <w:bookmarkStart w:id="684" w:name="_Toc121500764"/>
      <w:bookmarkStart w:id="685" w:name="_Toc121501008"/>
      <w:bookmarkStart w:id="686" w:name="_Toc121501824"/>
      <w:bookmarkStart w:id="687" w:name="_Toc121502413"/>
      <w:bookmarkStart w:id="688" w:name="_Toc121503009"/>
      <w:bookmarkStart w:id="689" w:name="_Toc121505026"/>
      <w:bookmarkStart w:id="690" w:name="_Toc121658257"/>
      <w:bookmarkStart w:id="691" w:name="_Toc121658525"/>
      <w:bookmarkStart w:id="692" w:name="_Toc121658840"/>
      <w:bookmarkStart w:id="693" w:name="_Toc121659514"/>
      <w:bookmarkStart w:id="694" w:name="_Toc121659603"/>
      <w:bookmarkStart w:id="695" w:name="_Toc121494300"/>
      <w:bookmarkStart w:id="696" w:name="_Toc121494840"/>
      <w:bookmarkStart w:id="697" w:name="_Toc121495588"/>
      <w:bookmarkStart w:id="698" w:name="_Toc121495671"/>
      <w:bookmarkStart w:id="699" w:name="_Toc121495754"/>
      <w:bookmarkStart w:id="700" w:name="_Toc121496285"/>
      <w:bookmarkStart w:id="701" w:name="_Toc121496376"/>
      <w:bookmarkStart w:id="702" w:name="_Toc121498022"/>
      <w:bookmarkStart w:id="703" w:name="_Toc121498119"/>
      <w:bookmarkStart w:id="704" w:name="_Toc121498216"/>
      <w:bookmarkStart w:id="705" w:name="_Toc121498313"/>
      <w:bookmarkStart w:id="706" w:name="_Toc121499745"/>
      <w:bookmarkStart w:id="707" w:name="_Toc121499842"/>
      <w:bookmarkStart w:id="708" w:name="_Toc121499939"/>
      <w:bookmarkStart w:id="709" w:name="_Toc121500036"/>
      <w:bookmarkStart w:id="710" w:name="_Toc121500133"/>
      <w:bookmarkStart w:id="711" w:name="_Toc121500230"/>
      <w:bookmarkStart w:id="712" w:name="_Toc121500765"/>
      <w:bookmarkStart w:id="713" w:name="_Toc121501009"/>
      <w:bookmarkStart w:id="714" w:name="_Toc121501825"/>
      <w:bookmarkStart w:id="715" w:name="_Toc121502414"/>
      <w:bookmarkStart w:id="716" w:name="_Toc121503010"/>
      <w:bookmarkStart w:id="717" w:name="_Toc121505027"/>
      <w:bookmarkStart w:id="718" w:name="_Toc121658258"/>
      <w:bookmarkStart w:id="719" w:name="_Toc121658526"/>
      <w:bookmarkStart w:id="720" w:name="_Toc121658841"/>
      <w:bookmarkStart w:id="721" w:name="_Toc121659515"/>
      <w:bookmarkStart w:id="722" w:name="_Toc121659604"/>
      <w:bookmarkStart w:id="723" w:name="_Toc121494301"/>
      <w:bookmarkStart w:id="724" w:name="_Toc121494841"/>
      <w:bookmarkStart w:id="725" w:name="_Toc121495589"/>
      <w:bookmarkStart w:id="726" w:name="_Toc121495672"/>
      <w:bookmarkStart w:id="727" w:name="_Toc121495755"/>
      <w:bookmarkStart w:id="728" w:name="_Toc121496286"/>
      <w:bookmarkStart w:id="729" w:name="_Toc121496377"/>
      <w:bookmarkStart w:id="730" w:name="_Toc121498023"/>
      <w:bookmarkStart w:id="731" w:name="_Toc121498120"/>
      <w:bookmarkStart w:id="732" w:name="_Toc121498217"/>
      <w:bookmarkStart w:id="733" w:name="_Toc121498314"/>
      <w:bookmarkStart w:id="734" w:name="_Toc121499746"/>
      <w:bookmarkStart w:id="735" w:name="_Toc121499843"/>
      <w:bookmarkStart w:id="736" w:name="_Toc121499940"/>
      <w:bookmarkStart w:id="737" w:name="_Toc121500037"/>
      <w:bookmarkStart w:id="738" w:name="_Toc121500134"/>
      <w:bookmarkStart w:id="739" w:name="_Toc121500231"/>
      <w:bookmarkStart w:id="740" w:name="_Toc121500766"/>
      <w:bookmarkStart w:id="741" w:name="_Toc121501010"/>
      <w:bookmarkStart w:id="742" w:name="_Toc121501826"/>
      <w:bookmarkStart w:id="743" w:name="_Toc121502415"/>
      <w:bookmarkStart w:id="744" w:name="_Toc121503011"/>
      <w:bookmarkStart w:id="745" w:name="_Toc121505028"/>
      <w:bookmarkStart w:id="746" w:name="_Toc121658259"/>
      <w:bookmarkStart w:id="747" w:name="_Toc121658527"/>
      <w:bookmarkStart w:id="748" w:name="_Toc121658842"/>
      <w:bookmarkStart w:id="749" w:name="_Toc121659516"/>
      <w:bookmarkStart w:id="750" w:name="_Toc121659605"/>
      <w:bookmarkStart w:id="751" w:name="_Toc120731240"/>
      <w:bookmarkStart w:id="752" w:name="_Toc121386400"/>
      <w:bookmarkStart w:id="753" w:name="_Toc121489618"/>
      <w:bookmarkStart w:id="754" w:name="_Toc121496378"/>
      <w:bookmarkStart w:id="755" w:name="_Toc121748034"/>
      <w:bookmarkStart w:id="756" w:name="_Toc133435387"/>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sidRPr="003B11BD">
        <w:rPr>
          <w:noProof/>
        </w:rPr>
        <w:t>Support to EU resilience</w:t>
      </w:r>
      <w:bookmarkEnd w:id="751"/>
      <w:bookmarkEnd w:id="752"/>
      <w:bookmarkEnd w:id="753"/>
      <w:bookmarkEnd w:id="754"/>
      <w:bookmarkEnd w:id="755"/>
      <w:bookmarkEnd w:id="756"/>
    </w:p>
    <w:p w14:paraId="7D377819" w14:textId="5BDFCD3D" w:rsidR="00BF248B" w:rsidRPr="003B11BD" w:rsidRDefault="002D2EA9" w:rsidP="00BF3335">
      <w:pPr>
        <w:pStyle w:val="Text2"/>
        <w:ind w:left="0"/>
        <w:rPr>
          <w:noProof/>
          <w:lang w:val="en-IE"/>
        </w:rPr>
      </w:pPr>
      <w:r w:rsidRPr="003B11BD">
        <w:rPr>
          <w:noProof/>
          <w:lang w:val="en-IE"/>
        </w:rPr>
        <w:t xml:space="preserve">Just like in </w:t>
      </w:r>
      <w:r w:rsidR="00E167A4" w:rsidRPr="003B11BD">
        <w:rPr>
          <w:noProof/>
          <w:lang w:val="en-IE"/>
        </w:rPr>
        <w:t>PO</w:t>
      </w:r>
      <w:r w:rsidRPr="003B11BD">
        <w:rPr>
          <w:noProof/>
          <w:lang w:val="en-IE"/>
        </w:rPr>
        <w:t>3, t</w:t>
      </w:r>
      <w:r w:rsidR="00D17CA1" w:rsidRPr="003B11BD">
        <w:rPr>
          <w:noProof/>
          <w:lang w:val="en-IE"/>
        </w:rPr>
        <w:t xml:space="preserve">his option would complement other EU crisis instruments as the activation of a crisis mode under an EU crisis instrument, such as SMEI, can be the trigger leading to the granting of a compulsory licence. The reliance on the existing advisory body when the trigger originates in an EU crisis instrument, also ensures an optimal coherence with EU crisis instruments. </w:t>
      </w:r>
      <w:r w:rsidR="00514284" w:rsidRPr="003B11BD">
        <w:rPr>
          <w:noProof/>
          <w:lang w:val="en-IE"/>
        </w:rPr>
        <w:t xml:space="preserve">In addition, such EU-level system would provide the EU and its Member States with an efficient and credible compulsory licensing system. This would give more bargaining power to the EU when negotiating voluntary agreements, hence </w:t>
      </w:r>
      <w:r w:rsidR="00496EB9" w:rsidRPr="003B11BD">
        <w:rPr>
          <w:noProof/>
          <w:lang w:val="en-IE"/>
        </w:rPr>
        <w:t>supporting other EU crisis instruments</w:t>
      </w:r>
      <w:r w:rsidR="00514284" w:rsidRPr="003B11BD">
        <w:rPr>
          <w:noProof/>
          <w:lang w:val="en-IE"/>
        </w:rPr>
        <w:t>. Should voluntary agreements fail, the EU would still have the possibility to rely on compulsory licence to start manufacturing of critical goods in the EU</w:t>
      </w:r>
      <w:r w:rsidR="00611A43" w:rsidRPr="003B11BD">
        <w:rPr>
          <w:noProof/>
          <w:lang w:val="en-IE"/>
        </w:rPr>
        <w:t xml:space="preserve"> and provide an EU response, complementing other crisis measures. As in </w:t>
      </w:r>
      <w:r w:rsidR="00E50881" w:rsidRPr="003B11BD">
        <w:rPr>
          <w:noProof/>
          <w:lang w:val="en-IE"/>
        </w:rPr>
        <w:t>PO</w:t>
      </w:r>
      <w:r w:rsidR="00611A43" w:rsidRPr="003B11BD">
        <w:rPr>
          <w:noProof/>
          <w:lang w:val="en-IE"/>
        </w:rPr>
        <w:t>3, the</w:t>
      </w:r>
      <w:r w:rsidR="00D17CA1" w:rsidRPr="003B11BD">
        <w:rPr>
          <w:rStyle w:val="normaltextrun"/>
          <w:noProof/>
          <w:lang w:val="en-IE"/>
        </w:rPr>
        <w:t xml:space="preserve"> </w:t>
      </w:r>
      <w:r w:rsidR="00E50881" w:rsidRPr="003B11BD">
        <w:rPr>
          <w:rStyle w:val="normaltextrun"/>
          <w:noProof/>
          <w:lang w:val="en-IE"/>
        </w:rPr>
        <w:t>coordination</w:t>
      </w:r>
      <w:r w:rsidR="00D17CA1" w:rsidRPr="003B11BD">
        <w:rPr>
          <w:rStyle w:val="normaltextrun"/>
          <w:noProof/>
          <w:lang w:val="en-IE"/>
        </w:rPr>
        <w:t xml:space="preserve"> at EU level for third countries would facilitate decision-making </w:t>
      </w:r>
      <w:r w:rsidR="4C4CE4D5" w:rsidRPr="003B11BD">
        <w:rPr>
          <w:rStyle w:val="normaltextrun"/>
          <w:noProof/>
          <w:lang w:val="en-IE"/>
        </w:rPr>
        <w:t xml:space="preserve">in the context of </w:t>
      </w:r>
      <w:r w:rsidR="000C155F" w:rsidRPr="003B11BD">
        <w:rPr>
          <w:rStyle w:val="normaltextrun"/>
          <w:noProof/>
          <w:lang w:val="en-IE"/>
        </w:rPr>
        <w:t>Regulation (EC) No 816/2006</w:t>
      </w:r>
      <w:r w:rsidR="00D17CA1" w:rsidRPr="003B11BD">
        <w:rPr>
          <w:rStyle w:val="normaltextrun"/>
          <w:noProof/>
          <w:lang w:val="en-IE"/>
        </w:rPr>
        <w:t xml:space="preserve">, should different compulsory licences be </w:t>
      </w:r>
      <w:r w:rsidR="40166F3B" w:rsidRPr="003B11BD">
        <w:rPr>
          <w:rStyle w:val="normaltextrun"/>
          <w:noProof/>
          <w:lang w:val="en-IE"/>
        </w:rPr>
        <w:t>required</w:t>
      </w:r>
      <w:r w:rsidR="00D17CA1" w:rsidRPr="003B11BD">
        <w:rPr>
          <w:rStyle w:val="normaltextrun"/>
          <w:noProof/>
          <w:lang w:val="en-IE"/>
        </w:rPr>
        <w:t xml:space="preserve"> </w:t>
      </w:r>
      <w:r w:rsidR="4D0862FB" w:rsidRPr="003B11BD">
        <w:rPr>
          <w:rStyle w:val="normaltextrun"/>
          <w:noProof/>
          <w:lang w:val="en-IE"/>
        </w:rPr>
        <w:t>to address the third country’s needs</w:t>
      </w:r>
      <w:r w:rsidR="00D17CA1" w:rsidRPr="003B11BD">
        <w:rPr>
          <w:rStyle w:val="normaltextrun"/>
          <w:noProof/>
          <w:lang w:val="en-IE"/>
        </w:rPr>
        <w:t xml:space="preserve">. </w:t>
      </w:r>
      <w:r w:rsidR="00EF1136" w:rsidRPr="003B11BD">
        <w:rPr>
          <w:rStyle w:val="normaltextrun"/>
          <w:noProof/>
          <w:lang w:val="en-IE"/>
        </w:rPr>
        <w:t>Non-EU</w:t>
      </w:r>
      <w:r w:rsidR="004108E7" w:rsidRPr="003B11BD">
        <w:rPr>
          <w:rStyle w:val="normaltextrun"/>
          <w:noProof/>
          <w:lang w:val="en-IE"/>
        </w:rPr>
        <w:t xml:space="preserve"> countries would benefit from the possibility to only have one compulsory licence covering multiple EU </w:t>
      </w:r>
      <w:r w:rsidR="00713B6D" w:rsidRPr="003B11BD">
        <w:rPr>
          <w:rStyle w:val="normaltextrun"/>
          <w:noProof/>
          <w:lang w:val="en-IE"/>
        </w:rPr>
        <w:t>countries, in case of cross-border manufacturing.</w:t>
      </w:r>
    </w:p>
    <w:p w14:paraId="36F1B12F" w14:textId="6F0F98B4" w:rsidR="00364BA7" w:rsidRPr="003B11BD" w:rsidRDefault="00D7081B" w:rsidP="00ED49E6">
      <w:pPr>
        <w:pStyle w:val="Heading3"/>
        <w:rPr>
          <w:noProof/>
        </w:rPr>
      </w:pPr>
      <w:bookmarkStart w:id="757" w:name="_Toc121390767"/>
      <w:bookmarkStart w:id="758" w:name="_Toc121390845"/>
      <w:bookmarkStart w:id="759" w:name="_Toc121395059"/>
      <w:bookmarkStart w:id="760" w:name="_Toc121396305"/>
      <w:bookmarkStart w:id="761" w:name="_Toc121396553"/>
      <w:bookmarkStart w:id="762" w:name="_Toc121396902"/>
      <w:bookmarkStart w:id="763" w:name="_Toc121397237"/>
      <w:bookmarkStart w:id="764" w:name="_Toc121397343"/>
      <w:bookmarkStart w:id="765" w:name="_Toc121399113"/>
      <w:bookmarkStart w:id="766" w:name="_Toc121399187"/>
      <w:bookmarkStart w:id="767" w:name="_Toc121399421"/>
      <w:bookmarkStart w:id="768" w:name="_Toc121399527"/>
      <w:bookmarkStart w:id="769" w:name="_Toc121399616"/>
      <w:bookmarkStart w:id="770" w:name="_Toc121431372"/>
      <w:bookmarkStart w:id="771" w:name="_Toc121431618"/>
      <w:bookmarkStart w:id="772" w:name="_Toc121479313"/>
      <w:bookmarkStart w:id="773" w:name="_Toc121479405"/>
      <w:bookmarkStart w:id="774" w:name="_Toc121486205"/>
      <w:bookmarkStart w:id="775" w:name="_Toc121486445"/>
      <w:bookmarkStart w:id="776" w:name="_Toc121487144"/>
      <w:bookmarkStart w:id="777" w:name="_Toc121488367"/>
      <w:bookmarkStart w:id="778" w:name="_Toc121488535"/>
      <w:bookmarkStart w:id="779" w:name="_Toc121489383"/>
      <w:bookmarkStart w:id="780" w:name="_Toc121489459"/>
      <w:bookmarkStart w:id="781" w:name="_Toc121489030"/>
      <w:bookmarkStart w:id="782" w:name="_Toc121489619"/>
      <w:bookmarkStart w:id="783" w:name="_Toc121490485"/>
      <w:bookmarkStart w:id="784" w:name="_Toc121490561"/>
      <w:bookmarkStart w:id="785" w:name="_Toc121491609"/>
      <w:bookmarkStart w:id="786" w:name="_Toc121492392"/>
      <w:bookmarkStart w:id="787" w:name="_Toc121494303"/>
      <w:bookmarkStart w:id="788" w:name="_Toc121494843"/>
      <w:bookmarkStart w:id="789" w:name="_Toc121495591"/>
      <w:bookmarkStart w:id="790" w:name="_Toc121495674"/>
      <w:bookmarkStart w:id="791" w:name="_Toc121495757"/>
      <w:bookmarkStart w:id="792" w:name="_Toc121496288"/>
      <w:bookmarkStart w:id="793" w:name="_Toc121496379"/>
      <w:bookmarkStart w:id="794" w:name="_Toc121498025"/>
      <w:bookmarkStart w:id="795" w:name="_Toc121498122"/>
      <w:bookmarkStart w:id="796" w:name="_Toc121498219"/>
      <w:bookmarkStart w:id="797" w:name="_Toc121498316"/>
      <w:bookmarkStart w:id="798" w:name="_Toc121499748"/>
      <w:bookmarkStart w:id="799" w:name="_Toc121499845"/>
      <w:bookmarkStart w:id="800" w:name="_Toc121499942"/>
      <w:bookmarkStart w:id="801" w:name="_Toc121500039"/>
      <w:bookmarkStart w:id="802" w:name="_Toc121500136"/>
      <w:bookmarkStart w:id="803" w:name="_Toc121500233"/>
      <w:bookmarkStart w:id="804" w:name="_Toc121500768"/>
      <w:bookmarkStart w:id="805" w:name="_Toc121501012"/>
      <w:bookmarkStart w:id="806" w:name="_Toc121501828"/>
      <w:bookmarkStart w:id="807" w:name="_Toc121502417"/>
      <w:bookmarkStart w:id="808" w:name="_Toc121503013"/>
      <w:bookmarkStart w:id="809" w:name="_Toc121505030"/>
      <w:bookmarkStart w:id="810" w:name="_Toc121658261"/>
      <w:bookmarkStart w:id="811" w:name="_Toc121658529"/>
      <w:bookmarkStart w:id="812" w:name="_Toc121658844"/>
      <w:bookmarkStart w:id="813" w:name="_Toc121659518"/>
      <w:bookmarkStart w:id="814" w:name="_Toc121659607"/>
      <w:bookmarkStart w:id="815" w:name="_Toc121390768"/>
      <w:bookmarkStart w:id="816" w:name="_Toc121390846"/>
      <w:bookmarkStart w:id="817" w:name="_Toc121395060"/>
      <w:bookmarkStart w:id="818" w:name="_Toc121396306"/>
      <w:bookmarkStart w:id="819" w:name="_Toc121396903"/>
      <w:bookmarkStart w:id="820" w:name="_Toc121397238"/>
      <w:bookmarkStart w:id="821" w:name="_Toc121399114"/>
      <w:bookmarkStart w:id="822" w:name="_Toc121399188"/>
      <w:bookmarkStart w:id="823" w:name="_Toc121399528"/>
      <w:bookmarkStart w:id="824" w:name="_Toc121431373"/>
      <w:bookmarkStart w:id="825" w:name="_Toc121431619"/>
      <w:bookmarkStart w:id="826" w:name="_Toc121479314"/>
      <w:bookmarkStart w:id="827" w:name="_Toc121479406"/>
      <w:bookmarkStart w:id="828" w:name="_Toc121486206"/>
      <w:bookmarkStart w:id="829" w:name="_Toc121486446"/>
      <w:bookmarkStart w:id="830" w:name="_Toc121487145"/>
      <w:bookmarkStart w:id="831" w:name="_Toc121488368"/>
      <w:bookmarkStart w:id="832" w:name="_Toc121488536"/>
      <w:bookmarkStart w:id="833" w:name="_Toc121489384"/>
      <w:bookmarkStart w:id="834" w:name="_Toc121489460"/>
      <w:bookmarkStart w:id="835" w:name="_Toc121489031"/>
      <w:bookmarkStart w:id="836" w:name="_Toc121489620"/>
      <w:bookmarkStart w:id="837" w:name="_Toc121490486"/>
      <w:bookmarkStart w:id="838" w:name="_Toc121490562"/>
      <w:bookmarkStart w:id="839" w:name="_Toc121494304"/>
      <w:bookmarkStart w:id="840" w:name="_Toc121494844"/>
      <w:bookmarkStart w:id="841" w:name="_Toc121495592"/>
      <w:bookmarkStart w:id="842" w:name="_Toc121495675"/>
      <w:bookmarkStart w:id="843" w:name="_Toc121495758"/>
      <w:bookmarkStart w:id="844" w:name="_Toc121496289"/>
      <w:bookmarkStart w:id="845" w:name="_Toc121496380"/>
      <w:bookmarkStart w:id="846" w:name="_Toc121498026"/>
      <w:bookmarkStart w:id="847" w:name="_Toc121498123"/>
      <w:bookmarkStart w:id="848" w:name="_Toc121498220"/>
      <w:bookmarkStart w:id="849" w:name="_Toc121498317"/>
      <w:bookmarkStart w:id="850" w:name="_Toc121499749"/>
      <w:bookmarkStart w:id="851" w:name="_Toc121499846"/>
      <w:bookmarkStart w:id="852" w:name="_Toc121499943"/>
      <w:bookmarkStart w:id="853" w:name="_Toc121500040"/>
      <w:bookmarkStart w:id="854" w:name="_Toc121500137"/>
      <w:bookmarkStart w:id="855" w:name="_Toc121500234"/>
      <w:bookmarkStart w:id="856" w:name="_Toc121500769"/>
      <w:bookmarkStart w:id="857" w:name="_Toc121501013"/>
      <w:bookmarkStart w:id="858" w:name="_Toc121501829"/>
      <w:bookmarkStart w:id="859" w:name="_Toc121502418"/>
      <w:bookmarkStart w:id="860" w:name="_Toc121503014"/>
      <w:bookmarkStart w:id="861" w:name="_Toc121505031"/>
      <w:bookmarkStart w:id="862" w:name="_Toc121658262"/>
      <w:bookmarkStart w:id="863" w:name="_Toc121658530"/>
      <w:bookmarkStart w:id="864" w:name="_Toc121658845"/>
      <w:bookmarkStart w:id="865" w:name="_Toc121659519"/>
      <w:bookmarkStart w:id="866" w:name="_Toc121659608"/>
      <w:bookmarkStart w:id="867" w:name="_Toc121386402"/>
      <w:bookmarkStart w:id="868" w:name="_Toc121489621"/>
      <w:bookmarkStart w:id="869" w:name="_Toc121496381"/>
      <w:bookmarkStart w:id="870" w:name="_Toc121748035"/>
      <w:bookmarkStart w:id="871" w:name="_Toc133435388"/>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3B11BD">
        <w:rPr>
          <w:noProof/>
        </w:rPr>
        <w:t>Impacts</w:t>
      </w:r>
      <w:r w:rsidR="00364BA7" w:rsidRPr="003B11BD">
        <w:rPr>
          <w:noProof/>
        </w:rPr>
        <w:t xml:space="preserve"> per stakeholder group</w:t>
      </w:r>
      <w:bookmarkEnd w:id="867"/>
      <w:bookmarkEnd w:id="868"/>
      <w:bookmarkEnd w:id="869"/>
      <w:bookmarkEnd w:id="870"/>
      <w:bookmarkEnd w:id="871"/>
    </w:p>
    <w:p w14:paraId="14C34884" w14:textId="589EFDC1" w:rsidR="004E7238" w:rsidRPr="003B11BD" w:rsidRDefault="00AB24B9" w:rsidP="004E7238">
      <w:pPr>
        <w:rPr>
          <w:noProof/>
          <w:lang w:val="en-IE"/>
        </w:rPr>
      </w:pPr>
      <w:r w:rsidRPr="003B11BD">
        <w:rPr>
          <w:noProof/>
          <w:lang w:val="en-IE"/>
        </w:rPr>
        <w:t>The impacts of PO4 per stakeholder group are summarized in Table 5 below</w:t>
      </w:r>
      <w:r w:rsidR="004E7238" w:rsidRPr="003B11BD">
        <w:rPr>
          <w:noProof/>
          <w:lang w:val="en-IE"/>
        </w:rPr>
        <w:t>.</w:t>
      </w:r>
    </w:p>
    <w:p w14:paraId="536D2D77" w14:textId="2749CB32" w:rsidR="003270B0" w:rsidRPr="003B11BD" w:rsidRDefault="003270B0" w:rsidP="003270B0">
      <w:pPr>
        <w:pStyle w:val="Caption"/>
        <w:keepNext/>
        <w:rPr>
          <w:noProof/>
          <w:lang w:val="en-IE"/>
        </w:rPr>
      </w:pPr>
      <w:bookmarkStart w:id="872" w:name="_Toc121503016"/>
      <w:bookmarkStart w:id="873" w:name="_Toc121505033"/>
      <w:bookmarkStart w:id="874" w:name="_Toc121503017"/>
      <w:bookmarkStart w:id="875" w:name="_Toc121505034"/>
      <w:bookmarkStart w:id="876" w:name="_Toc121503018"/>
      <w:bookmarkStart w:id="877" w:name="_Toc121505035"/>
      <w:bookmarkStart w:id="878" w:name="_Toc121503019"/>
      <w:bookmarkStart w:id="879" w:name="_Toc121505036"/>
      <w:bookmarkEnd w:id="872"/>
      <w:bookmarkEnd w:id="873"/>
      <w:bookmarkEnd w:id="874"/>
      <w:bookmarkEnd w:id="875"/>
      <w:bookmarkEnd w:id="876"/>
      <w:bookmarkEnd w:id="877"/>
      <w:bookmarkEnd w:id="878"/>
      <w:bookmarkEnd w:id="879"/>
      <w:r w:rsidRPr="003B11BD">
        <w:rPr>
          <w:noProof/>
          <w:lang w:val="en-IE"/>
        </w:rPr>
        <w:t xml:space="preserve">Table </w:t>
      </w:r>
      <w:r w:rsidR="00C6592A">
        <w:rPr>
          <w:noProof/>
          <w:lang w:val="en-IE"/>
        </w:rPr>
        <w:t>5</w:t>
      </w:r>
      <w:r w:rsidRPr="003B11BD">
        <w:rPr>
          <w:noProof/>
          <w:lang w:val="en-IE"/>
        </w:rPr>
        <w:t xml:space="preserve">: Impacts on stakeholders </w:t>
      </w:r>
      <w:r w:rsidR="001C10F5" w:rsidRPr="003B11BD">
        <w:rPr>
          <w:noProof/>
          <w:lang w:val="en-IE"/>
        </w:rPr>
        <w:t>in</w:t>
      </w:r>
      <w:r w:rsidR="007976EA" w:rsidRPr="003B11BD">
        <w:rPr>
          <w:noProof/>
          <w:lang w:val="en-IE"/>
        </w:rPr>
        <w:t xml:space="preserve"> the event</w:t>
      </w:r>
      <w:r w:rsidR="001C10F5" w:rsidRPr="003B11BD">
        <w:rPr>
          <w:noProof/>
          <w:lang w:val="en-IE"/>
        </w:rPr>
        <w:t xml:space="preserve"> of a </w:t>
      </w:r>
      <w:r w:rsidR="00302419" w:rsidRPr="003B11BD">
        <w:rPr>
          <w:noProof/>
          <w:lang w:val="en-IE"/>
        </w:rPr>
        <w:t xml:space="preserve">cross-border </w:t>
      </w:r>
      <w:r w:rsidR="001C10F5" w:rsidRPr="003B11BD">
        <w:rPr>
          <w:noProof/>
          <w:lang w:val="en-IE"/>
        </w:rPr>
        <w:t xml:space="preserve">crisis </w:t>
      </w:r>
      <w:r w:rsidRPr="003B11BD">
        <w:rPr>
          <w:noProof/>
          <w:lang w:val="en-IE"/>
        </w:rPr>
        <w:t xml:space="preserve">- Option 4 </w:t>
      </w:r>
      <w:r w:rsidR="00165F30" w:rsidRPr="003B11BD">
        <w:rPr>
          <w:noProof/>
          <w:lang w:val="en-IE"/>
        </w:rPr>
        <w:t>compared to the baseline</w:t>
      </w:r>
    </w:p>
    <w:tbl>
      <w:tblPr>
        <w:tblStyle w:val="TableGrid"/>
        <w:tblW w:w="8925" w:type="dxa"/>
        <w:tblLayout w:type="fixed"/>
        <w:tblLook w:val="04A0" w:firstRow="1" w:lastRow="0" w:firstColumn="1" w:lastColumn="0" w:noHBand="0" w:noVBand="1"/>
      </w:tblPr>
      <w:tblGrid>
        <w:gridCol w:w="1435"/>
        <w:gridCol w:w="5194"/>
        <w:gridCol w:w="2296"/>
      </w:tblGrid>
      <w:tr w:rsidR="003270B0" w:rsidRPr="003B11BD" w14:paraId="6982401E" w14:textId="77777777" w:rsidTr="004655C6">
        <w:tc>
          <w:tcPr>
            <w:tcW w:w="1435" w:type="dxa"/>
            <w:tcBorders>
              <w:top w:val="single" w:sz="12" w:space="0" w:color="FFFFFF" w:themeColor="background1"/>
              <w:left w:val="single" w:sz="12" w:space="0" w:color="FFFFFF" w:themeColor="background1"/>
            </w:tcBorders>
          </w:tcPr>
          <w:p w14:paraId="1E760C91" w14:textId="77777777" w:rsidR="003270B0" w:rsidRPr="003B11BD" w:rsidRDefault="003270B0" w:rsidP="00F03230">
            <w:pPr>
              <w:pStyle w:val="Size10"/>
              <w:rPr>
                <w:noProof/>
              </w:rPr>
            </w:pPr>
          </w:p>
        </w:tc>
        <w:tc>
          <w:tcPr>
            <w:tcW w:w="5194" w:type="dxa"/>
          </w:tcPr>
          <w:p w14:paraId="31CCE474" w14:textId="497C9AE4" w:rsidR="003270B0" w:rsidRPr="003B11BD" w:rsidRDefault="00B80F23" w:rsidP="00F03230">
            <w:pPr>
              <w:pStyle w:val="Size10"/>
              <w:rPr>
                <w:noProof/>
              </w:rPr>
            </w:pPr>
            <w:r w:rsidRPr="003B11BD">
              <w:rPr>
                <w:noProof/>
              </w:rPr>
              <w:t>Advantages</w:t>
            </w:r>
          </w:p>
        </w:tc>
        <w:tc>
          <w:tcPr>
            <w:tcW w:w="2296" w:type="dxa"/>
          </w:tcPr>
          <w:p w14:paraId="1C64FE73" w14:textId="4C4F025B" w:rsidR="003270B0" w:rsidRPr="003B11BD" w:rsidRDefault="00B80F23" w:rsidP="00F03230">
            <w:pPr>
              <w:pStyle w:val="Size10"/>
              <w:rPr>
                <w:noProof/>
              </w:rPr>
            </w:pPr>
            <w:r w:rsidRPr="003B11BD">
              <w:rPr>
                <w:noProof/>
              </w:rPr>
              <w:t>Disadvantages</w:t>
            </w:r>
          </w:p>
        </w:tc>
      </w:tr>
      <w:tr w:rsidR="003270B0" w:rsidRPr="003B11BD" w14:paraId="7254E1FD" w14:textId="77777777" w:rsidTr="004655C6">
        <w:trPr>
          <w:trHeight w:val="1134"/>
        </w:trPr>
        <w:tc>
          <w:tcPr>
            <w:tcW w:w="1435" w:type="dxa"/>
          </w:tcPr>
          <w:p w14:paraId="44E29D88" w14:textId="77777777" w:rsidR="003270B0" w:rsidRPr="003B11BD" w:rsidRDefault="003270B0" w:rsidP="00F03230">
            <w:pPr>
              <w:pStyle w:val="Size10"/>
              <w:rPr>
                <w:noProof/>
              </w:rPr>
            </w:pPr>
            <w:r w:rsidRPr="003B11BD">
              <w:rPr>
                <w:noProof/>
              </w:rPr>
              <w:t>Patent owners</w:t>
            </w:r>
          </w:p>
        </w:tc>
        <w:tc>
          <w:tcPr>
            <w:tcW w:w="5194" w:type="dxa"/>
          </w:tcPr>
          <w:p w14:paraId="44C2540E" w14:textId="5EE51573" w:rsidR="003270B0" w:rsidRPr="003B11BD" w:rsidRDefault="3B9B7B80" w:rsidP="00F03230">
            <w:pPr>
              <w:pStyle w:val="Size10"/>
              <w:rPr>
                <w:noProof/>
              </w:rPr>
            </w:pPr>
            <w:r w:rsidRPr="003B11BD">
              <w:rPr>
                <w:noProof/>
              </w:rPr>
              <w:t xml:space="preserve">(+ </w:t>
            </w:r>
            <w:r w:rsidR="62B81940" w:rsidRPr="003B11BD">
              <w:rPr>
                <w:noProof/>
              </w:rPr>
              <w:t xml:space="preserve">+) </w:t>
            </w:r>
            <w:r w:rsidR="00ED49E6" w:rsidRPr="003B11BD">
              <w:rPr>
                <w:noProof/>
              </w:rPr>
              <w:t>L</w:t>
            </w:r>
            <w:r w:rsidR="369B261E" w:rsidRPr="003B11BD">
              <w:rPr>
                <w:noProof/>
              </w:rPr>
              <w:t>ower</w:t>
            </w:r>
            <w:r w:rsidRPr="003B11BD">
              <w:rPr>
                <w:noProof/>
              </w:rPr>
              <w:t xml:space="preserve"> costs</w:t>
            </w:r>
            <w:r w:rsidR="00397E6B" w:rsidRPr="003B11BD">
              <w:rPr>
                <w:noProof/>
              </w:rPr>
              <w:t xml:space="preserve"> of negotiations</w:t>
            </w:r>
            <w:r w:rsidRPr="003B11BD">
              <w:rPr>
                <w:noProof/>
              </w:rPr>
              <w:t xml:space="preserve">, </w:t>
            </w:r>
            <w:r w:rsidR="00270487" w:rsidRPr="003B11BD">
              <w:rPr>
                <w:noProof/>
              </w:rPr>
              <w:t xml:space="preserve">due to </w:t>
            </w:r>
            <w:r w:rsidR="00397E6B" w:rsidRPr="003B11BD">
              <w:rPr>
                <w:noProof/>
              </w:rPr>
              <w:t xml:space="preserve">a </w:t>
            </w:r>
            <w:r w:rsidR="00165F30" w:rsidRPr="003B11BD">
              <w:rPr>
                <w:noProof/>
              </w:rPr>
              <w:t>single procedure at EU level</w:t>
            </w:r>
            <w:r w:rsidR="00165F30" w:rsidRPr="003B11BD" w:rsidDel="00165F30">
              <w:rPr>
                <w:noProof/>
              </w:rPr>
              <w:t xml:space="preserve"> </w:t>
            </w:r>
            <w:r w:rsidRPr="003B11BD">
              <w:rPr>
                <w:noProof/>
              </w:rPr>
              <w:t>instead of multiple procedures in each MS concerned</w:t>
            </w:r>
            <w:r w:rsidR="09CFED6E" w:rsidRPr="003B11BD">
              <w:rPr>
                <w:noProof/>
              </w:rPr>
              <w:t>.</w:t>
            </w:r>
          </w:p>
          <w:p w14:paraId="6E1F7B45" w14:textId="387B5CFE" w:rsidR="003270B0" w:rsidRPr="003B11BD" w:rsidRDefault="37690C0D" w:rsidP="00270487">
            <w:pPr>
              <w:pStyle w:val="Size10"/>
              <w:rPr>
                <w:noProof/>
              </w:rPr>
            </w:pPr>
            <w:r w:rsidRPr="003B11BD">
              <w:rPr>
                <w:noProof/>
              </w:rPr>
              <w:t>(+</w:t>
            </w:r>
            <w:r w:rsidR="001C4AF4" w:rsidRPr="003B11BD">
              <w:rPr>
                <w:noProof/>
              </w:rPr>
              <w:t xml:space="preserve"> </w:t>
            </w:r>
            <w:r w:rsidR="00173AB7" w:rsidRPr="003B11BD">
              <w:rPr>
                <w:noProof/>
              </w:rPr>
              <w:t>+</w:t>
            </w:r>
            <w:r w:rsidR="001C4AF4" w:rsidRPr="003B11BD">
              <w:rPr>
                <w:noProof/>
              </w:rPr>
              <w:t xml:space="preserve"> </w:t>
            </w:r>
            <w:r w:rsidRPr="003B11BD">
              <w:rPr>
                <w:noProof/>
              </w:rPr>
              <w:t xml:space="preserve">) </w:t>
            </w:r>
            <w:r w:rsidR="00270487" w:rsidRPr="003B11BD">
              <w:rPr>
                <w:noProof/>
              </w:rPr>
              <w:t>More</w:t>
            </w:r>
            <w:r w:rsidRPr="003B11BD">
              <w:rPr>
                <w:noProof/>
              </w:rPr>
              <w:t xml:space="preserve"> </w:t>
            </w:r>
            <w:r w:rsidR="00173AB7" w:rsidRPr="003B11BD">
              <w:rPr>
                <w:noProof/>
              </w:rPr>
              <w:t xml:space="preserve">legal certainty (e.g. </w:t>
            </w:r>
            <w:r w:rsidR="71AF13C4" w:rsidRPr="003B11BD">
              <w:rPr>
                <w:noProof/>
              </w:rPr>
              <w:t xml:space="preserve">clarity on what level </w:t>
            </w:r>
            <w:r w:rsidR="002F791A" w:rsidRPr="003B11BD">
              <w:rPr>
                <w:noProof/>
              </w:rPr>
              <w:t>of</w:t>
            </w:r>
            <w:r w:rsidRPr="003B11BD">
              <w:rPr>
                <w:noProof/>
              </w:rPr>
              <w:t xml:space="preserve"> </w:t>
            </w:r>
            <w:r w:rsidR="71AF13C4" w:rsidRPr="003B11BD">
              <w:rPr>
                <w:noProof/>
              </w:rPr>
              <w:t>remuneration may be expected</w:t>
            </w:r>
            <w:r w:rsidR="2ED38D7A" w:rsidRPr="003B11BD">
              <w:rPr>
                <w:noProof/>
              </w:rPr>
              <w:t>),</w:t>
            </w:r>
            <w:r w:rsidR="71AF13C4" w:rsidRPr="003B11BD">
              <w:rPr>
                <w:noProof/>
              </w:rPr>
              <w:t xml:space="preserve"> as </w:t>
            </w:r>
            <w:r w:rsidR="00397E6B" w:rsidRPr="003B11BD">
              <w:rPr>
                <w:noProof/>
              </w:rPr>
              <w:t xml:space="preserve">a </w:t>
            </w:r>
            <w:r w:rsidR="1E3185B5" w:rsidRPr="003B11BD">
              <w:rPr>
                <w:noProof/>
              </w:rPr>
              <w:t>single procedure at EU level</w:t>
            </w:r>
            <w:r w:rsidR="00165F30" w:rsidRPr="003B11BD">
              <w:rPr>
                <w:noProof/>
              </w:rPr>
              <w:t xml:space="preserve"> instead of multiple procedures in each </w:t>
            </w:r>
            <w:r w:rsidR="005E4F9D" w:rsidRPr="003B11BD">
              <w:rPr>
                <w:noProof/>
              </w:rPr>
              <w:t xml:space="preserve">EU country </w:t>
            </w:r>
            <w:r w:rsidR="00165F30" w:rsidRPr="003B11BD">
              <w:rPr>
                <w:noProof/>
              </w:rPr>
              <w:t>concerned</w:t>
            </w:r>
            <w:r w:rsidR="71AF13C4" w:rsidRPr="003B11BD">
              <w:rPr>
                <w:noProof/>
              </w:rPr>
              <w:t xml:space="preserve">. </w:t>
            </w:r>
          </w:p>
        </w:tc>
        <w:tc>
          <w:tcPr>
            <w:tcW w:w="2296" w:type="dxa"/>
          </w:tcPr>
          <w:p w14:paraId="5F1CE39D" w14:textId="1EAC27F3" w:rsidR="003270B0" w:rsidRPr="003B11BD" w:rsidRDefault="00493A15" w:rsidP="00BD2843">
            <w:pPr>
              <w:pStyle w:val="Size10"/>
              <w:rPr>
                <w:noProof/>
              </w:rPr>
            </w:pPr>
            <w:r w:rsidRPr="003B11BD">
              <w:rPr>
                <w:noProof/>
              </w:rPr>
              <w:t xml:space="preserve">(- -) </w:t>
            </w:r>
            <w:r w:rsidR="0AC241A4" w:rsidRPr="003B11BD">
              <w:rPr>
                <w:noProof/>
              </w:rPr>
              <w:t xml:space="preserve">In </w:t>
            </w:r>
            <w:r w:rsidR="00BD2843">
              <w:rPr>
                <w:noProof/>
              </w:rPr>
              <w:t xml:space="preserve">the event </w:t>
            </w:r>
            <w:r w:rsidR="0AC241A4" w:rsidRPr="003B11BD">
              <w:rPr>
                <w:noProof/>
              </w:rPr>
              <w:t xml:space="preserve">of a </w:t>
            </w:r>
            <w:r w:rsidR="008A605D" w:rsidRPr="003B11BD">
              <w:rPr>
                <w:noProof/>
              </w:rPr>
              <w:t>broader</w:t>
            </w:r>
            <w:r w:rsidR="6B795023" w:rsidRPr="003B11BD">
              <w:rPr>
                <w:noProof/>
              </w:rPr>
              <w:t xml:space="preserve"> geographical scope </w:t>
            </w:r>
            <w:r w:rsidR="20D6241B" w:rsidRPr="003B11BD">
              <w:rPr>
                <w:noProof/>
              </w:rPr>
              <w:t>of a CL</w:t>
            </w:r>
            <w:r w:rsidR="0AC241A4" w:rsidRPr="003B11BD">
              <w:rPr>
                <w:noProof/>
              </w:rPr>
              <w:t xml:space="preserve">, wider </w:t>
            </w:r>
            <w:r w:rsidR="005C04CE" w:rsidRPr="003B11BD">
              <w:rPr>
                <w:noProof/>
              </w:rPr>
              <w:t>loss of control over patent rights</w:t>
            </w:r>
            <w:r w:rsidR="00ED5AFE" w:rsidRPr="003B11BD">
              <w:rPr>
                <w:noProof/>
              </w:rPr>
              <w:t>.</w:t>
            </w:r>
          </w:p>
        </w:tc>
      </w:tr>
      <w:tr w:rsidR="003270B0" w:rsidRPr="003B11BD" w14:paraId="5B74497D" w14:textId="77777777" w:rsidTr="004655C6">
        <w:trPr>
          <w:trHeight w:val="1134"/>
        </w:trPr>
        <w:tc>
          <w:tcPr>
            <w:tcW w:w="1435" w:type="dxa"/>
          </w:tcPr>
          <w:p w14:paraId="3D6E8C97" w14:textId="77777777" w:rsidR="003270B0" w:rsidRPr="003B11BD" w:rsidRDefault="003270B0" w:rsidP="00F03230">
            <w:pPr>
              <w:pStyle w:val="Size10"/>
              <w:rPr>
                <w:noProof/>
              </w:rPr>
            </w:pPr>
            <w:r w:rsidRPr="003B11BD">
              <w:rPr>
                <w:noProof/>
              </w:rPr>
              <w:t>Manufacturers – potential licensees</w:t>
            </w:r>
          </w:p>
        </w:tc>
        <w:tc>
          <w:tcPr>
            <w:tcW w:w="5194" w:type="dxa"/>
          </w:tcPr>
          <w:p w14:paraId="55144310" w14:textId="7C3C7DBD" w:rsidR="003270B0" w:rsidRPr="003B11BD" w:rsidRDefault="00DF42E5" w:rsidP="00F03230">
            <w:pPr>
              <w:pStyle w:val="Size10"/>
              <w:rPr>
                <w:noProof/>
              </w:rPr>
            </w:pPr>
            <w:r>
              <w:rPr>
                <w:noProof/>
              </w:rPr>
              <w:t>(</w:t>
            </w:r>
            <w:r w:rsidR="62B81940" w:rsidRPr="003B11BD">
              <w:rPr>
                <w:noProof/>
              </w:rPr>
              <w:t>+</w:t>
            </w:r>
            <w:r w:rsidR="370E5D9D" w:rsidRPr="003B11BD">
              <w:rPr>
                <w:noProof/>
              </w:rPr>
              <w:t xml:space="preserve"> +</w:t>
            </w:r>
            <w:r w:rsidR="62B81940" w:rsidRPr="003B11BD">
              <w:rPr>
                <w:noProof/>
              </w:rPr>
              <w:t xml:space="preserve">) </w:t>
            </w:r>
            <w:r w:rsidR="00ED49E6" w:rsidRPr="003B11BD">
              <w:rPr>
                <w:noProof/>
              </w:rPr>
              <w:t>L</w:t>
            </w:r>
            <w:r w:rsidR="369B261E" w:rsidRPr="003B11BD">
              <w:rPr>
                <w:noProof/>
              </w:rPr>
              <w:t>ower</w:t>
            </w:r>
            <w:r w:rsidR="3B9B7B80" w:rsidRPr="003B11BD">
              <w:rPr>
                <w:noProof/>
              </w:rPr>
              <w:t xml:space="preserve"> costs</w:t>
            </w:r>
            <w:r w:rsidR="00397E6B" w:rsidRPr="003B11BD">
              <w:rPr>
                <w:noProof/>
              </w:rPr>
              <w:t xml:space="preserve"> of negotiations, </w:t>
            </w:r>
            <w:r w:rsidR="00270487" w:rsidRPr="003B11BD">
              <w:rPr>
                <w:noProof/>
              </w:rPr>
              <w:t>due to the</w:t>
            </w:r>
            <w:r w:rsidR="00397E6B" w:rsidRPr="003B11BD">
              <w:rPr>
                <w:noProof/>
              </w:rPr>
              <w:t xml:space="preserve"> single procedure </w:t>
            </w:r>
            <w:r w:rsidR="3B9B7B80" w:rsidRPr="003B11BD">
              <w:rPr>
                <w:noProof/>
              </w:rPr>
              <w:t xml:space="preserve">at EU level instead of multiple procedures in each </w:t>
            </w:r>
            <w:r w:rsidR="005E4F9D" w:rsidRPr="003B11BD">
              <w:rPr>
                <w:noProof/>
              </w:rPr>
              <w:t xml:space="preserve">EU country </w:t>
            </w:r>
            <w:r w:rsidR="3B9B7B80" w:rsidRPr="003B11BD">
              <w:rPr>
                <w:noProof/>
              </w:rPr>
              <w:t>concerned</w:t>
            </w:r>
            <w:r w:rsidR="09CFED6E" w:rsidRPr="003B11BD">
              <w:rPr>
                <w:noProof/>
              </w:rPr>
              <w:t>.</w:t>
            </w:r>
          </w:p>
          <w:p w14:paraId="738BA946" w14:textId="0CFB7888" w:rsidR="003270B0" w:rsidRPr="003B11BD" w:rsidRDefault="3B9B7B80" w:rsidP="00270487">
            <w:pPr>
              <w:pStyle w:val="Size10"/>
              <w:rPr>
                <w:noProof/>
              </w:rPr>
            </w:pPr>
            <w:r w:rsidRPr="003B11BD">
              <w:rPr>
                <w:noProof/>
              </w:rPr>
              <w:t xml:space="preserve">(+) Lower costs of adapting manufacturing facilities to the production of </w:t>
            </w:r>
            <w:r w:rsidR="00270487" w:rsidRPr="003B11BD">
              <w:rPr>
                <w:noProof/>
              </w:rPr>
              <w:t xml:space="preserve">the </w:t>
            </w:r>
            <w:r w:rsidRPr="003B11BD">
              <w:rPr>
                <w:noProof/>
              </w:rPr>
              <w:t>item(s</w:t>
            </w:r>
            <w:r w:rsidR="003270B0" w:rsidRPr="003B11BD">
              <w:rPr>
                <w:noProof/>
              </w:rPr>
              <w:t>)</w:t>
            </w:r>
            <w:r w:rsidR="00397E6B" w:rsidRPr="003B11BD">
              <w:rPr>
                <w:noProof/>
              </w:rPr>
              <w:t xml:space="preserve"> </w:t>
            </w:r>
            <w:r w:rsidR="00270487" w:rsidRPr="003B11BD">
              <w:rPr>
                <w:noProof/>
              </w:rPr>
              <w:t xml:space="preserve">covered by the licence, </w:t>
            </w:r>
            <w:r w:rsidR="00397E6B" w:rsidRPr="003B11BD">
              <w:rPr>
                <w:noProof/>
              </w:rPr>
              <w:t>due to</w:t>
            </w:r>
            <w:r w:rsidRPr="003B11BD">
              <w:rPr>
                <w:noProof/>
              </w:rPr>
              <w:t xml:space="preserve"> economies of scale</w:t>
            </w:r>
            <w:r w:rsidR="00397E6B" w:rsidRPr="003B11BD">
              <w:rPr>
                <w:noProof/>
              </w:rPr>
              <w:t xml:space="preserve">, if EU-level </w:t>
            </w:r>
            <w:r w:rsidR="00E6068C" w:rsidRPr="003B11BD">
              <w:rPr>
                <w:noProof/>
              </w:rPr>
              <w:t xml:space="preserve">compulsory licensing </w:t>
            </w:r>
            <w:r w:rsidR="00397E6B" w:rsidRPr="003B11BD">
              <w:rPr>
                <w:noProof/>
              </w:rPr>
              <w:t>leads to</w:t>
            </w:r>
            <w:r w:rsidRPr="003B11BD">
              <w:rPr>
                <w:noProof/>
              </w:rPr>
              <w:t xml:space="preserve"> wider </w:t>
            </w:r>
            <w:r w:rsidR="003270B0" w:rsidRPr="003B11BD">
              <w:rPr>
                <w:noProof/>
              </w:rPr>
              <w:t>geographic</w:t>
            </w:r>
            <w:r w:rsidR="00397E6B" w:rsidRPr="003B11BD">
              <w:rPr>
                <w:noProof/>
              </w:rPr>
              <w:t>al</w:t>
            </w:r>
            <w:r w:rsidRPr="003B11BD">
              <w:rPr>
                <w:noProof/>
              </w:rPr>
              <w:t xml:space="preserve"> scope</w:t>
            </w:r>
            <w:r w:rsidR="09CFED6E" w:rsidRPr="003B11BD">
              <w:rPr>
                <w:noProof/>
              </w:rPr>
              <w:t>.</w:t>
            </w:r>
            <w:r w:rsidRPr="003B11BD">
              <w:rPr>
                <w:noProof/>
              </w:rPr>
              <w:t xml:space="preserve"> </w:t>
            </w:r>
          </w:p>
        </w:tc>
        <w:tc>
          <w:tcPr>
            <w:tcW w:w="2296" w:type="dxa"/>
          </w:tcPr>
          <w:p w14:paraId="4FE9E7F4" w14:textId="4D8C1DD1" w:rsidR="003270B0" w:rsidRPr="003B11BD" w:rsidRDefault="002857EE" w:rsidP="00F03230">
            <w:pPr>
              <w:pStyle w:val="Size10"/>
              <w:rPr>
                <w:noProof/>
              </w:rPr>
            </w:pPr>
            <w:r w:rsidRPr="003B11BD">
              <w:rPr>
                <w:noProof/>
              </w:rPr>
              <w:t>/</w:t>
            </w:r>
          </w:p>
        </w:tc>
      </w:tr>
      <w:tr w:rsidR="003270B0" w:rsidRPr="003B11BD" w14:paraId="479011CD" w14:textId="77777777" w:rsidTr="004655C6">
        <w:trPr>
          <w:trHeight w:val="1134"/>
        </w:trPr>
        <w:tc>
          <w:tcPr>
            <w:tcW w:w="1435" w:type="dxa"/>
          </w:tcPr>
          <w:p w14:paraId="1734360D" w14:textId="673F64C8" w:rsidR="003270B0" w:rsidRPr="003B11BD" w:rsidRDefault="00270487" w:rsidP="00F03230">
            <w:pPr>
              <w:pStyle w:val="Size10"/>
              <w:rPr>
                <w:noProof/>
              </w:rPr>
            </w:pPr>
            <w:r w:rsidRPr="003B11BD">
              <w:rPr>
                <w:noProof/>
              </w:rPr>
              <w:t>EU countries</w:t>
            </w:r>
          </w:p>
        </w:tc>
        <w:tc>
          <w:tcPr>
            <w:tcW w:w="5194" w:type="dxa"/>
          </w:tcPr>
          <w:p w14:paraId="690BFA13" w14:textId="22B1E36C" w:rsidR="003270B0" w:rsidRPr="003B11BD" w:rsidRDefault="054915D3" w:rsidP="00F03230">
            <w:pPr>
              <w:pStyle w:val="Size10"/>
              <w:rPr>
                <w:noProof/>
              </w:rPr>
            </w:pPr>
            <w:r w:rsidRPr="003B11BD">
              <w:rPr>
                <w:noProof/>
              </w:rPr>
              <w:t xml:space="preserve">(+ </w:t>
            </w:r>
            <w:r w:rsidR="2F5C591A" w:rsidRPr="003B11BD">
              <w:rPr>
                <w:noProof/>
              </w:rPr>
              <w:t xml:space="preserve">+ </w:t>
            </w:r>
            <w:r w:rsidRPr="003B11BD">
              <w:rPr>
                <w:noProof/>
              </w:rPr>
              <w:t xml:space="preserve">+) </w:t>
            </w:r>
            <w:r w:rsidR="2F5C591A" w:rsidRPr="003B11BD">
              <w:rPr>
                <w:noProof/>
              </w:rPr>
              <w:t>S</w:t>
            </w:r>
            <w:r w:rsidRPr="003B11BD">
              <w:rPr>
                <w:noProof/>
              </w:rPr>
              <w:t xml:space="preserve">ignificantly lower costs of </w:t>
            </w:r>
            <w:r w:rsidR="17C4DFCB" w:rsidRPr="003B11BD">
              <w:rPr>
                <w:noProof/>
              </w:rPr>
              <w:t>runn</w:t>
            </w:r>
            <w:r w:rsidR="1A952C6A" w:rsidRPr="003B11BD">
              <w:rPr>
                <w:noProof/>
              </w:rPr>
              <w:t>ing</w:t>
            </w:r>
            <w:r w:rsidRPr="003B11BD">
              <w:rPr>
                <w:noProof/>
              </w:rPr>
              <w:t xml:space="preserve"> the </w:t>
            </w:r>
            <w:r w:rsidR="00E6068C" w:rsidRPr="003B11BD">
              <w:rPr>
                <w:noProof/>
              </w:rPr>
              <w:t xml:space="preserve">compulsory licensing </w:t>
            </w:r>
            <w:r w:rsidRPr="003B11BD">
              <w:rPr>
                <w:noProof/>
              </w:rPr>
              <w:t xml:space="preserve">procedure (no negotiations with the patent holders or manufacturers), as </w:t>
            </w:r>
            <w:r w:rsidR="005E4F9D" w:rsidRPr="003B11BD">
              <w:rPr>
                <w:noProof/>
              </w:rPr>
              <w:t xml:space="preserve">EU countries </w:t>
            </w:r>
            <w:r w:rsidRPr="003B11BD">
              <w:rPr>
                <w:noProof/>
              </w:rPr>
              <w:t>will only implement a single decision made at EU level</w:t>
            </w:r>
            <w:r w:rsidR="3B9B7B80" w:rsidRPr="003B11BD" w:rsidDel="00EB775B">
              <w:rPr>
                <w:noProof/>
              </w:rPr>
              <w:t xml:space="preserve"> </w:t>
            </w:r>
            <w:r w:rsidR="3B9B7B80" w:rsidRPr="003B11BD" w:rsidDel="00EB775B">
              <w:rPr>
                <w:i/>
                <w:iCs/>
                <w:noProof/>
              </w:rPr>
              <w:t>(D)</w:t>
            </w:r>
            <w:r w:rsidR="00EA00A3" w:rsidRPr="003B11BD">
              <w:rPr>
                <w:i/>
                <w:iCs/>
                <w:noProof/>
              </w:rPr>
              <w:t>.</w:t>
            </w:r>
          </w:p>
          <w:p w14:paraId="51052743" w14:textId="5F331D5C" w:rsidR="003270B0" w:rsidRPr="003B11BD" w:rsidRDefault="4A6B7D83" w:rsidP="00F03230">
            <w:pPr>
              <w:pStyle w:val="Size10"/>
              <w:rPr>
                <w:noProof/>
              </w:rPr>
            </w:pPr>
            <w:r w:rsidRPr="003B11BD">
              <w:rPr>
                <w:noProof/>
              </w:rPr>
              <w:t xml:space="preserve">(+) Better exchange of information about availabilities of product, in case </w:t>
            </w:r>
            <w:r w:rsidR="00844A21" w:rsidRPr="00844A21">
              <w:rPr>
                <w:noProof/>
              </w:rPr>
              <w:t xml:space="preserve">of local shortages </w:t>
            </w:r>
            <w:r w:rsidR="00844A21">
              <w:rPr>
                <w:noProof/>
              </w:rPr>
              <w:t>or</w:t>
            </w:r>
            <w:r w:rsidRPr="003B11BD">
              <w:rPr>
                <w:noProof/>
              </w:rPr>
              <w:t xml:space="preserve"> cross-border value chain</w:t>
            </w:r>
            <w:r w:rsidR="002D190F">
              <w:rPr>
                <w:noProof/>
              </w:rPr>
              <w:t>s</w:t>
            </w:r>
            <w:r w:rsidRPr="003B11BD">
              <w:rPr>
                <w:noProof/>
              </w:rPr>
              <w:t xml:space="preserve"> disruptions. </w:t>
            </w:r>
          </w:p>
          <w:p w14:paraId="0B859AD9" w14:textId="6C8A207C" w:rsidR="003270B0" w:rsidRPr="003B11BD" w:rsidRDefault="6C6EFF39" w:rsidP="00F03230">
            <w:pPr>
              <w:pStyle w:val="Size10"/>
              <w:rPr>
                <w:noProof/>
              </w:rPr>
            </w:pPr>
            <w:r w:rsidRPr="003B11BD">
              <w:rPr>
                <w:noProof/>
              </w:rPr>
              <w:t xml:space="preserve">(+) Better decision-making and cooperation in the context of </w:t>
            </w:r>
            <w:r w:rsidR="00E6068C" w:rsidRPr="003B11BD">
              <w:rPr>
                <w:noProof/>
              </w:rPr>
              <w:t xml:space="preserve">compulsory licensing </w:t>
            </w:r>
            <w:r w:rsidRPr="003B11BD">
              <w:rPr>
                <w:noProof/>
              </w:rPr>
              <w:t xml:space="preserve">for export to </w:t>
            </w:r>
            <w:r w:rsidR="002D606C" w:rsidRPr="003B11BD">
              <w:rPr>
                <w:noProof/>
              </w:rPr>
              <w:t xml:space="preserve">non-EU </w:t>
            </w:r>
            <w:r w:rsidRPr="003B11BD">
              <w:rPr>
                <w:noProof/>
              </w:rPr>
              <w:t xml:space="preserve">countries </w:t>
            </w:r>
            <w:r w:rsidR="00EB775B" w:rsidRPr="003B11BD">
              <w:rPr>
                <w:i/>
                <w:noProof/>
              </w:rPr>
              <w:t>(E</w:t>
            </w:r>
            <w:r w:rsidR="008D3E39" w:rsidRPr="003B11BD">
              <w:rPr>
                <w:i/>
                <w:noProof/>
              </w:rPr>
              <w:t>)</w:t>
            </w:r>
            <w:r w:rsidR="00EA00A3" w:rsidRPr="003B11BD">
              <w:rPr>
                <w:i/>
                <w:noProof/>
              </w:rPr>
              <w:t>.</w:t>
            </w:r>
          </w:p>
        </w:tc>
        <w:tc>
          <w:tcPr>
            <w:tcW w:w="2296" w:type="dxa"/>
          </w:tcPr>
          <w:p w14:paraId="02899402" w14:textId="30671799" w:rsidR="000A636B" w:rsidRPr="003B11BD" w:rsidRDefault="004A10C5" w:rsidP="00F03230">
            <w:pPr>
              <w:pStyle w:val="Size10"/>
              <w:rPr>
                <w:noProof/>
              </w:rPr>
            </w:pPr>
            <w:r w:rsidRPr="003B11BD">
              <w:rPr>
                <w:noProof/>
              </w:rPr>
              <w:t>(-) C</w:t>
            </w:r>
            <w:r w:rsidR="000A636B" w:rsidRPr="003B11BD">
              <w:rPr>
                <w:noProof/>
              </w:rPr>
              <w:t xml:space="preserve">ost of participating in the advisory committee assisting the single contact point </w:t>
            </w:r>
            <w:r w:rsidR="00EB775B" w:rsidRPr="003B11BD">
              <w:rPr>
                <w:i/>
                <w:noProof/>
              </w:rPr>
              <w:t>(E</w:t>
            </w:r>
            <w:r w:rsidR="008D3E39" w:rsidRPr="003B11BD">
              <w:rPr>
                <w:i/>
                <w:noProof/>
              </w:rPr>
              <w:t>)</w:t>
            </w:r>
            <w:r w:rsidR="00EA00A3" w:rsidRPr="003B11BD">
              <w:rPr>
                <w:i/>
                <w:noProof/>
              </w:rPr>
              <w:t>.</w:t>
            </w:r>
            <w:r w:rsidR="000A636B" w:rsidRPr="003B11BD">
              <w:rPr>
                <w:i/>
                <w:noProof/>
              </w:rPr>
              <w:t xml:space="preserve"> </w:t>
            </w:r>
          </w:p>
          <w:p w14:paraId="1F92388C" w14:textId="42118033" w:rsidR="0085341B" w:rsidRPr="003B11BD" w:rsidRDefault="4A6B7D83" w:rsidP="00F03230">
            <w:pPr>
              <w:pStyle w:val="Size10"/>
              <w:rPr>
                <w:noProof/>
              </w:rPr>
            </w:pPr>
            <w:r w:rsidRPr="003B11BD">
              <w:rPr>
                <w:noProof/>
              </w:rPr>
              <w:t xml:space="preserve">(-) </w:t>
            </w:r>
            <w:r w:rsidR="004A10C5" w:rsidRPr="003B11BD">
              <w:rPr>
                <w:noProof/>
              </w:rPr>
              <w:t>C</w:t>
            </w:r>
            <w:r w:rsidRPr="003B11BD">
              <w:rPr>
                <w:noProof/>
              </w:rPr>
              <w:t>ost of reporting to the EC on the implemented CL</w:t>
            </w:r>
            <w:r w:rsidR="7A1E8121" w:rsidRPr="003B11BD">
              <w:rPr>
                <w:noProof/>
              </w:rPr>
              <w:t>.</w:t>
            </w:r>
          </w:p>
        </w:tc>
      </w:tr>
      <w:tr w:rsidR="003270B0" w:rsidRPr="003B11BD" w14:paraId="7B5C8C1A" w14:textId="77777777" w:rsidTr="004655C6">
        <w:trPr>
          <w:trHeight w:val="701"/>
        </w:trPr>
        <w:tc>
          <w:tcPr>
            <w:tcW w:w="1435" w:type="dxa"/>
          </w:tcPr>
          <w:p w14:paraId="7D07AF20" w14:textId="52239668" w:rsidR="003270B0" w:rsidRPr="003B11BD" w:rsidRDefault="00270487" w:rsidP="00A96DF8">
            <w:pPr>
              <w:pStyle w:val="Size10"/>
              <w:rPr>
                <w:noProof/>
              </w:rPr>
            </w:pPr>
            <w:r w:rsidRPr="003B11BD">
              <w:rPr>
                <w:noProof/>
              </w:rPr>
              <w:t>The general public (</w:t>
            </w:r>
            <w:r w:rsidR="000A407D" w:rsidRPr="003B11BD">
              <w:rPr>
                <w:noProof/>
              </w:rPr>
              <w:t xml:space="preserve">EU </w:t>
            </w:r>
            <w:r w:rsidR="00A96DF8" w:rsidRPr="003B11BD">
              <w:rPr>
                <w:noProof/>
              </w:rPr>
              <w:t>c</w:t>
            </w:r>
            <w:r w:rsidR="003270B0" w:rsidRPr="003B11BD">
              <w:rPr>
                <w:noProof/>
              </w:rPr>
              <w:t>itizens</w:t>
            </w:r>
            <w:r w:rsidRPr="003B11BD">
              <w:rPr>
                <w:noProof/>
              </w:rPr>
              <w:t>)</w:t>
            </w:r>
          </w:p>
        </w:tc>
        <w:tc>
          <w:tcPr>
            <w:tcW w:w="5194" w:type="dxa"/>
          </w:tcPr>
          <w:p w14:paraId="2AD64DAC" w14:textId="3271FC7B" w:rsidR="003270B0" w:rsidRPr="003B11BD" w:rsidRDefault="5C3BBF2F" w:rsidP="005E4F9D">
            <w:pPr>
              <w:pStyle w:val="Size10"/>
              <w:rPr>
                <w:noProof/>
              </w:rPr>
            </w:pPr>
            <w:r w:rsidRPr="003B11BD">
              <w:rPr>
                <w:noProof/>
              </w:rPr>
              <w:t xml:space="preserve">(+ + +) Significantly lower risk of </w:t>
            </w:r>
            <w:r w:rsidR="004E6979" w:rsidRPr="003B11BD">
              <w:rPr>
                <w:noProof/>
              </w:rPr>
              <w:t xml:space="preserve">delays or </w:t>
            </w:r>
            <w:r w:rsidRPr="003B11BD">
              <w:rPr>
                <w:noProof/>
              </w:rPr>
              <w:t xml:space="preserve">unavailability of critical products during crisis, as rules </w:t>
            </w:r>
            <w:r w:rsidR="005E4F9D" w:rsidRPr="003B11BD">
              <w:rPr>
                <w:noProof/>
              </w:rPr>
              <w:t xml:space="preserve">are consistent </w:t>
            </w:r>
            <w:r w:rsidRPr="003B11BD">
              <w:rPr>
                <w:noProof/>
              </w:rPr>
              <w:t xml:space="preserve">across </w:t>
            </w:r>
            <w:r w:rsidR="002E35C4" w:rsidRPr="003B11BD">
              <w:rPr>
                <w:noProof/>
              </w:rPr>
              <w:t>all</w:t>
            </w:r>
            <w:r w:rsidR="175B3040" w:rsidRPr="003B11BD">
              <w:rPr>
                <w:noProof/>
              </w:rPr>
              <w:t xml:space="preserve"> </w:t>
            </w:r>
            <w:r w:rsidR="005E4F9D" w:rsidRPr="003B11BD">
              <w:rPr>
                <w:noProof/>
              </w:rPr>
              <w:t xml:space="preserve">EU countries </w:t>
            </w:r>
            <w:r w:rsidR="00EB775B" w:rsidRPr="003B11BD">
              <w:rPr>
                <w:i/>
                <w:noProof/>
              </w:rPr>
              <w:t>(D)</w:t>
            </w:r>
            <w:r w:rsidR="006C2D7A" w:rsidRPr="003B11BD">
              <w:rPr>
                <w:i/>
                <w:noProof/>
              </w:rPr>
              <w:t>.</w:t>
            </w:r>
          </w:p>
        </w:tc>
        <w:tc>
          <w:tcPr>
            <w:tcW w:w="2296" w:type="dxa"/>
          </w:tcPr>
          <w:p w14:paraId="7A6E7A73" w14:textId="0DBF0759" w:rsidR="003270B0" w:rsidRPr="003B11BD" w:rsidRDefault="5C3BBF2F" w:rsidP="00F03230">
            <w:pPr>
              <w:pStyle w:val="Size10"/>
              <w:rPr>
                <w:noProof/>
              </w:rPr>
            </w:pPr>
            <w:r w:rsidRPr="003B11BD" w:rsidDel="006C2D7A">
              <w:rPr>
                <w:noProof/>
              </w:rPr>
              <w:t xml:space="preserve"> </w:t>
            </w:r>
            <w:r w:rsidR="42484D24" w:rsidRPr="003B11BD">
              <w:rPr>
                <w:noProof/>
              </w:rPr>
              <w:t>/</w:t>
            </w:r>
          </w:p>
        </w:tc>
      </w:tr>
      <w:tr w:rsidR="00F73AD0" w:rsidRPr="003B11BD" w14:paraId="4744CD87" w14:textId="77777777" w:rsidTr="004655C6">
        <w:trPr>
          <w:trHeight w:val="58"/>
        </w:trPr>
        <w:tc>
          <w:tcPr>
            <w:tcW w:w="1435" w:type="dxa"/>
          </w:tcPr>
          <w:p w14:paraId="252B4321" w14:textId="1249E08A" w:rsidR="00F73AD0" w:rsidRPr="003B11BD" w:rsidRDefault="00EF1136" w:rsidP="00F03230">
            <w:pPr>
              <w:pStyle w:val="Size10"/>
              <w:rPr>
                <w:noProof/>
              </w:rPr>
            </w:pPr>
            <w:r w:rsidRPr="003B11BD">
              <w:rPr>
                <w:noProof/>
              </w:rPr>
              <w:t>Non-EU</w:t>
            </w:r>
            <w:r w:rsidR="00F73AD0" w:rsidRPr="003B11BD">
              <w:rPr>
                <w:noProof/>
              </w:rPr>
              <w:t xml:space="preserve"> countries</w:t>
            </w:r>
          </w:p>
        </w:tc>
        <w:tc>
          <w:tcPr>
            <w:tcW w:w="5194" w:type="dxa"/>
          </w:tcPr>
          <w:p w14:paraId="07BAFC51" w14:textId="56976D3C" w:rsidR="00031D5A" w:rsidRPr="003B11BD" w:rsidRDefault="42484D24" w:rsidP="00F03230">
            <w:pPr>
              <w:pStyle w:val="Size10"/>
              <w:rPr>
                <w:noProof/>
              </w:rPr>
            </w:pPr>
            <w:r w:rsidRPr="003B11BD">
              <w:rPr>
                <w:noProof/>
              </w:rPr>
              <w:t>(+</w:t>
            </w:r>
            <w:r w:rsidR="00DF42E5">
              <w:rPr>
                <w:noProof/>
              </w:rPr>
              <w:t xml:space="preserve"> </w:t>
            </w:r>
            <w:r w:rsidRPr="003B11BD">
              <w:rPr>
                <w:noProof/>
              </w:rPr>
              <w:t>+</w:t>
            </w:r>
            <w:r w:rsidR="00DF42E5">
              <w:rPr>
                <w:noProof/>
              </w:rPr>
              <w:t xml:space="preserve"> </w:t>
            </w:r>
            <w:r w:rsidRPr="003B11BD">
              <w:rPr>
                <w:noProof/>
              </w:rPr>
              <w:t xml:space="preserve">+) Increased legal certainty and administrative savings </w:t>
            </w:r>
            <w:r w:rsidR="1E3185B5" w:rsidRPr="003B11BD">
              <w:rPr>
                <w:noProof/>
              </w:rPr>
              <w:t xml:space="preserve">when </w:t>
            </w:r>
            <w:r w:rsidRPr="003B11BD">
              <w:rPr>
                <w:noProof/>
              </w:rPr>
              <w:t>access</w:t>
            </w:r>
            <w:r w:rsidR="1E3185B5" w:rsidRPr="003B11BD">
              <w:rPr>
                <w:noProof/>
              </w:rPr>
              <w:t>ing</w:t>
            </w:r>
            <w:r w:rsidRPr="003B11BD">
              <w:rPr>
                <w:noProof/>
              </w:rPr>
              <w:t xml:space="preserve"> critical goods in case of cross-border </w:t>
            </w:r>
            <w:r w:rsidR="12AF7F18" w:rsidRPr="003B11BD">
              <w:rPr>
                <w:noProof/>
              </w:rPr>
              <w:t>supply</w:t>
            </w:r>
            <w:r w:rsidRPr="003B11BD">
              <w:rPr>
                <w:noProof/>
              </w:rPr>
              <w:t xml:space="preserve"> chain</w:t>
            </w:r>
            <w:r w:rsidR="002D190F">
              <w:rPr>
                <w:noProof/>
              </w:rPr>
              <w:t>s</w:t>
            </w:r>
            <w:r w:rsidR="5CEE758E" w:rsidRPr="003B11BD">
              <w:rPr>
                <w:noProof/>
              </w:rPr>
              <w:t xml:space="preserve"> </w:t>
            </w:r>
            <w:r w:rsidR="2EC0F89D" w:rsidRPr="003B11BD">
              <w:rPr>
                <w:noProof/>
              </w:rPr>
              <w:t xml:space="preserve">due to </w:t>
            </w:r>
            <w:r w:rsidR="15019370" w:rsidRPr="003B11BD">
              <w:rPr>
                <w:noProof/>
              </w:rPr>
              <w:t xml:space="preserve">direct </w:t>
            </w:r>
            <w:r w:rsidR="2EC0F89D" w:rsidRPr="003B11BD">
              <w:rPr>
                <w:noProof/>
              </w:rPr>
              <w:t>coordination at EU level</w:t>
            </w:r>
            <w:r w:rsidR="008D3E39" w:rsidRPr="003B11BD">
              <w:rPr>
                <w:noProof/>
              </w:rPr>
              <w:t xml:space="preserve"> </w:t>
            </w:r>
            <w:r w:rsidR="008D3E39" w:rsidRPr="003B11BD">
              <w:rPr>
                <w:i/>
                <w:noProof/>
              </w:rPr>
              <w:t>(</w:t>
            </w:r>
            <w:r w:rsidR="00EB775B" w:rsidRPr="003B11BD">
              <w:rPr>
                <w:i/>
                <w:noProof/>
              </w:rPr>
              <w:t>E</w:t>
            </w:r>
            <w:r w:rsidR="5CEE758E" w:rsidRPr="003B11BD">
              <w:rPr>
                <w:i/>
                <w:noProof/>
              </w:rPr>
              <w:t>)</w:t>
            </w:r>
            <w:r w:rsidR="107FEF9A" w:rsidRPr="003B11BD">
              <w:rPr>
                <w:i/>
                <w:noProof/>
              </w:rPr>
              <w:t>.</w:t>
            </w:r>
          </w:p>
        </w:tc>
        <w:tc>
          <w:tcPr>
            <w:tcW w:w="2296" w:type="dxa"/>
          </w:tcPr>
          <w:p w14:paraId="2B6E732A" w14:textId="350CB63E" w:rsidR="00F73AD0" w:rsidRPr="003B11BD" w:rsidRDefault="3FB309C6" w:rsidP="00F03230">
            <w:pPr>
              <w:pStyle w:val="Size10"/>
              <w:rPr>
                <w:noProof/>
              </w:rPr>
            </w:pPr>
            <w:r w:rsidRPr="003B11BD">
              <w:rPr>
                <w:noProof/>
              </w:rPr>
              <w:t>/</w:t>
            </w:r>
          </w:p>
        </w:tc>
      </w:tr>
    </w:tbl>
    <w:p w14:paraId="7E5BE11C" w14:textId="5224F1C8" w:rsidR="121A3F30" w:rsidRPr="003B11BD" w:rsidRDefault="003270B0" w:rsidP="005B6BA3">
      <w:pPr>
        <w:pStyle w:val="Caption"/>
        <w:rPr>
          <w:noProof/>
          <w:lang w:val="en-IE"/>
        </w:rPr>
      </w:pPr>
      <w:r w:rsidRPr="003B11BD">
        <w:rPr>
          <w:noProof/>
          <w:lang w:val="en-IE"/>
        </w:rPr>
        <w:t>Note: (0) neutral impact; (+) minor positive impact; (++) positive impact; (+++) significant positive impact; (-) minor negative impact; (- -) negative impact; (- - -) significant negative impact</w:t>
      </w:r>
      <w:r w:rsidR="143D82BC" w:rsidRPr="003B11BD">
        <w:rPr>
          <w:noProof/>
          <w:lang w:val="en-IE"/>
        </w:rPr>
        <w:t xml:space="preserve">; </w:t>
      </w:r>
      <w:r w:rsidR="00EB775B" w:rsidRPr="003B11BD">
        <w:rPr>
          <w:noProof/>
          <w:lang w:val="en-IE"/>
        </w:rPr>
        <w:t>(D</w:t>
      </w:r>
      <w:r w:rsidR="143D82BC" w:rsidRPr="003B11BD">
        <w:rPr>
          <w:noProof/>
          <w:lang w:val="en-IE"/>
        </w:rPr>
        <w:t xml:space="preserve">) applies </w:t>
      </w:r>
      <w:r w:rsidR="00EB775B" w:rsidRPr="003B11BD">
        <w:rPr>
          <w:noProof/>
          <w:lang w:val="en-IE"/>
        </w:rPr>
        <w:t>only</w:t>
      </w:r>
      <w:r w:rsidR="6D944A7A" w:rsidRPr="003B11BD">
        <w:rPr>
          <w:noProof/>
          <w:lang w:val="en-IE"/>
        </w:rPr>
        <w:t xml:space="preserve"> in case </w:t>
      </w:r>
      <w:r w:rsidR="00EA00A3" w:rsidRPr="003B11BD">
        <w:rPr>
          <w:noProof/>
          <w:lang w:val="en-IE"/>
        </w:rPr>
        <w:t>of</w:t>
      </w:r>
      <w:r w:rsidR="6D944A7A" w:rsidRPr="003B11BD">
        <w:rPr>
          <w:noProof/>
          <w:lang w:val="en-IE"/>
        </w:rPr>
        <w:t xml:space="preserve"> an EU-</w:t>
      </w:r>
      <w:r w:rsidR="00EB775B" w:rsidRPr="003B11BD">
        <w:rPr>
          <w:noProof/>
          <w:lang w:val="en-IE"/>
        </w:rPr>
        <w:t xml:space="preserve">level </w:t>
      </w:r>
      <w:r w:rsidR="00E6068C" w:rsidRPr="003B11BD">
        <w:rPr>
          <w:noProof/>
          <w:lang w:val="en-IE"/>
        </w:rPr>
        <w:t xml:space="preserve">compulsory licensing </w:t>
      </w:r>
      <w:r w:rsidR="00EB775B" w:rsidRPr="003B11BD">
        <w:rPr>
          <w:noProof/>
          <w:lang w:val="en-IE"/>
        </w:rPr>
        <w:t>for domestic purposes,</w:t>
      </w:r>
      <w:r w:rsidR="6D944A7A" w:rsidRPr="003B11BD">
        <w:rPr>
          <w:noProof/>
          <w:lang w:val="en-IE"/>
        </w:rPr>
        <w:t xml:space="preserve"> </w:t>
      </w:r>
      <w:r w:rsidR="00EB775B" w:rsidRPr="003B11BD">
        <w:rPr>
          <w:noProof/>
          <w:lang w:val="en-IE"/>
        </w:rPr>
        <w:t xml:space="preserve">(E) applies only in case </w:t>
      </w:r>
      <w:r w:rsidR="00EA00A3" w:rsidRPr="003B11BD">
        <w:rPr>
          <w:noProof/>
          <w:lang w:val="en-IE"/>
        </w:rPr>
        <w:t>of</w:t>
      </w:r>
      <w:r w:rsidR="6D944A7A" w:rsidRPr="003B11BD">
        <w:rPr>
          <w:noProof/>
          <w:lang w:val="en-IE"/>
        </w:rPr>
        <w:t xml:space="preserve"> </w:t>
      </w:r>
      <w:r w:rsidR="00E6068C" w:rsidRPr="003B11BD">
        <w:rPr>
          <w:noProof/>
          <w:lang w:val="en-IE"/>
        </w:rPr>
        <w:t xml:space="preserve">compulsory licensing </w:t>
      </w:r>
      <w:r w:rsidR="6D944A7A" w:rsidRPr="003B11BD">
        <w:rPr>
          <w:noProof/>
          <w:lang w:val="en-IE"/>
        </w:rPr>
        <w:t>for export purposes (</w:t>
      </w:r>
      <w:r w:rsidR="02EBD808" w:rsidRPr="003B11BD">
        <w:rPr>
          <w:noProof/>
          <w:lang w:val="en-IE"/>
        </w:rPr>
        <w:t xml:space="preserve">in the context of </w:t>
      </w:r>
      <w:r w:rsidR="000C155F" w:rsidRPr="003B11BD">
        <w:rPr>
          <w:noProof/>
          <w:lang w:val="en-IE"/>
        </w:rPr>
        <w:t>Regulation (EC) No 816/2006</w:t>
      </w:r>
      <w:r w:rsidR="02EBD808" w:rsidRPr="003B11BD">
        <w:rPr>
          <w:noProof/>
          <w:lang w:val="en-IE"/>
        </w:rPr>
        <w:t>).</w:t>
      </w:r>
    </w:p>
    <w:p w14:paraId="11AF422A" w14:textId="166A4EE9" w:rsidR="00E37ED4" w:rsidRPr="003B11BD" w:rsidRDefault="00E37ED4" w:rsidP="00E37ED4">
      <w:pPr>
        <w:rPr>
          <w:noProof/>
          <w:lang w:val="en-IE"/>
        </w:rPr>
      </w:pPr>
      <w:r w:rsidRPr="003B11BD" w:rsidDel="00703A67">
        <w:rPr>
          <w:noProof/>
          <w:lang w:val="en-IE"/>
        </w:rPr>
        <w:t xml:space="preserve">Under </w:t>
      </w:r>
      <w:r w:rsidR="005E35C7" w:rsidRPr="003B11BD">
        <w:rPr>
          <w:noProof/>
          <w:lang w:val="en-IE"/>
        </w:rPr>
        <w:t>PO</w:t>
      </w:r>
      <w:r w:rsidRPr="003B11BD">
        <w:rPr>
          <w:noProof/>
          <w:lang w:val="en-IE"/>
        </w:rPr>
        <w:t>4</w:t>
      </w:r>
      <w:r w:rsidRPr="003B11BD" w:rsidDel="00703A67">
        <w:rPr>
          <w:noProof/>
          <w:lang w:val="en-IE"/>
        </w:rPr>
        <w:t xml:space="preserve">, </w:t>
      </w:r>
      <w:r w:rsidRPr="003B11BD" w:rsidDel="00703A67">
        <w:rPr>
          <w:b/>
          <w:bCs/>
          <w:noProof/>
          <w:lang w:val="en-IE"/>
        </w:rPr>
        <w:t>patent owners</w:t>
      </w:r>
      <w:r w:rsidRPr="003B11BD" w:rsidDel="00703A67">
        <w:rPr>
          <w:noProof/>
          <w:lang w:val="en-IE"/>
        </w:rPr>
        <w:t xml:space="preserve"> would benefit from a reduction of co</w:t>
      </w:r>
      <w:r w:rsidR="009124A3" w:rsidRPr="003B11BD">
        <w:rPr>
          <w:noProof/>
          <w:lang w:val="en-IE"/>
        </w:rPr>
        <w:t xml:space="preserve">sts </w:t>
      </w:r>
      <w:r w:rsidR="00E14AD7" w:rsidRPr="003B11BD">
        <w:rPr>
          <w:noProof/>
          <w:lang w:val="en-IE"/>
        </w:rPr>
        <w:t xml:space="preserve">and </w:t>
      </w:r>
      <w:r w:rsidR="00E14AD7" w:rsidRPr="003B11BD" w:rsidDel="00703A67">
        <w:rPr>
          <w:noProof/>
          <w:lang w:val="en-IE"/>
        </w:rPr>
        <w:t>legal uncertainty</w:t>
      </w:r>
      <w:r w:rsidR="00457C4F" w:rsidRPr="003B11BD">
        <w:rPr>
          <w:noProof/>
          <w:lang w:val="en-IE"/>
        </w:rPr>
        <w:t xml:space="preserve"> since</w:t>
      </w:r>
      <w:r w:rsidR="009124A3" w:rsidRPr="003B11BD">
        <w:rPr>
          <w:noProof/>
          <w:lang w:val="en-IE"/>
        </w:rPr>
        <w:t>, in the absence of</w:t>
      </w:r>
      <w:r w:rsidRPr="003B11BD" w:rsidDel="00703A67">
        <w:rPr>
          <w:noProof/>
          <w:lang w:val="en-IE"/>
        </w:rPr>
        <w:t xml:space="preserve"> national procedure</w:t>
      </w:r>
      <w:r w:rsidR="009124A3" w:rsidRPr="003B11BD">
        <w:rPr>
          <w:noProof/>
          <w:lang w:val="en-IE"/>
        </w:rPr>
        <w:t>s</w:t>
      </w:r>
      <w:r w:rsidRPr="003B11BD" w:rsidDel="00703A67">
        <w:rPr>
          <w:noProof/>
          <w:lang w:val="en-IE"/>
        </w:rPr>
        <w:t xml:space="preserve">, </w:t>
      </w:r>
      <w:r w:rsidR="00E14AD7" w:rsidRPr="003B11BD">
        <w:rPr>
          <w:noProof/>
          <w:lang w:val="en-IE"/>
        </w:rPr>
        <w:t>negotiations</w:t>
      </w:r>
      <w:r w:rsidR="009124A3" w:rsidRPr="003B11BD">
        <w:rPr>
          <w:noProof/>
          <w:lang w:val="en-IE"/>
        </w:rPr>
        <w:t xml:space="preserve"> would be limited to</w:t>
      </w:r>
      <w:r w:rsidRPr="003B11BD" w:rsidDel="00703A67">
        <w:rPr>
          <w:noProof/>
          <w:lang w:val="en-IE"/>
        </w:rPr>
        <w:t xml:space="preserve"> participation in </w:t>
      </w:r>
      <w:r w:rsidR="00E14AD7" w:rsidRPr="003B11BD">
        <w:rPr>
          <w:noProof/>
          <w:lang w:val="en-IE"/>
        </w:rPr>
        <w:t>one</w:t>
      </w:r>
      <w:r w:rsidRPr="003B11BD" w:rsidDel="00703A67">
        <w:rPr>
          <w:noProof/>
          <w:lang w:val="en-IE"/>
        </w:rPr>
        <w:t xml:space="preserve"> EU-level procedure. In addition, </w:t>
      </w:r>
      <w:r w:rsidR="00951A59" w:rsidRPr="003B11BD">
        <w:rPr>
          <w:noProof/>
          <w:lang w:val="en-IE"/>
        </w:rPr>
        <w:t xml:space="preserve">they would gain legal clarity as </w:t>
      </w:r>
      <w:r w:rsidRPr="003B11BD" w:rsidDel="00703A67">
        <w:rPr>
          <w:noProof/>
          <w:lang w:val="en-IE"/>
        </w:rPr>
        <w:t>the remuneration will be set at EU</w:t>
      </w:r>
      <w:r w:rsidRPr="003B11BD">
        <w:rPr>
          <w:noProof/>
          <w:lang w:val="en-IE"/>
        </w:rPr>
        <w:t>-</w:t>
      </w:r>
      <w:r w:rsidRPr="003B11BD" w:rsidDel="00703A67">
        <w:rPr>
          <w:noProof/>
          <w:lang w:val="en-IE"/>
        </w:rPr>
        <w:t>level</w:t>
      </w:r>
      <w:r w:rsidRPr="003B11BD">
        <w:rPr>
          <w:noProof/>
          <w:lang w:val="en-IE"/>
        </w:rPr>
        <w:t>, no longer</w:t>
      </w:r>
      <w:r w:rsidRPr="003B11BD" w:rsidDel="00703A67">
        <w:rPr>
          <w:noProof/>
          <w:lang w:val="en-IE"/>
        </w:rPr>
        <w:t xml:space="preserve"> at national level.</w:t>
      </w:r>
      <w:r w:rsidRPr="003B11BD">
        <w:rPr>
          <w:noProof/>
          <w:lang w:val="en-IE"/>
        </w:rPr>
        <w:t xml:space="preserve"> However, patent owners would still face an important loss of control on their patent rights since the impact of compulsory </w:t>
      </w:r>
      <w:r w:rsidR="00C55853" w:rsidRPr="003B11BD">
        <w:rPr>
          <w:noProof/>
          <w:lang w:val="en-IE"/>
        </w:rPr>
        <w:t>licensing</w:t>
      </w:r>
      <w:r w:rsidRPr="003B11BD">
        <w:rPr>
          <w:noProof/>
          <w:lang w:val="en-IE"/>
        </w:rPr>
        <w:t xml:space="preserve"> would no longer be limited to a given Member State. Under </w:t>
      </w:r>
      <w:r w:rsidR="009124A3" w:rsidRPr="003B11BD">
        <w:rPr>
          <w:noProof/>
          <w:lang w:val="en-IE"/>
        </w:rPr>
        <w:t>PO4</w:t>
      </w:r>
      <w:r w:rsidRPr="003B11BD">
        <w:rPr>
          <w:noProof/>
          <w:lang w:val="en-IE"/>
        </w:rPr>
        <w:t>, the greater territorial reach would also extend to c</w:t>
      </w:r>
      <w:r w:rsidRPr="003B11BD" w:rsidDel="00703A67">
        <w:rPr>
          <w:noProof/>
          <w:lang w:val="en-IE"/>
        </w:rPr>
        <w:t xml:space="preserve">ompulsory licences </w:t>
      </w:r>
      <w:r w:rsidR="00DE1B1B" w:rsidRPr="003B11BD">
        <w:rPr>
          <w:noProof/>
          <w:lang w:val="en-IE"/>
        </w:rPr>
        <w:t>for</w:t>
      </w:r>
      <w:r w:rsidRPr="003B11BD" w:rsidDel="00703A67">
        <w:rPr>
          <w:noProof/>
          <w:lang w:val="en-IE"/>
        </w:rPr>
        <w:t xml:space="preserve"> export to a </w:t>
      </w:r>
      <w:r w:rsidR="002D606C" w:rsidRPr="003B11BD">
        <w:rPr>
          <w:noProof/>
          <w:lang w:val="en-IE"/>
        </w:rPr>
        <w:t xml:space="preserve">non-EU </w:t>
      </w:r>
      <w:r w:rsidRPr="003B11BD" w:rsidDel="00703A67">
        <w:rPr>
          <w:noProof/>
          <w:lang w:val="en-IE"/>
        </w:rPr>
        <w:t xml:space="preserve">country. Overall, the situation of </w:t>
      </w:r>
      <w:r w:rsidRPr="003B11BD" w:rsidDel="00703A67">
        <w:rPr>
          <w:b/>
          <w:noProof/>
          <w:lang w:val="en-IE"/>
        </w:rPr>
        <w:t>potential licensees</w:t>
      </w:r>
      <w:r w:rsidRPr="003B11BD" w:rsidDel="00703A67">
        <w:rPr>
          <w:noProof/>
          <w:lang w:val="en-IE"/>
        </w:rPr>
        <w:t xml:space="preserve"> would improve under </w:t>
      </w:r>
      <w:r w:rsidR="00E14AD7" w:rsidRPr="003B11BD">
        <w:rPr>
          <w:noProof/>
          <w:lang w:val="en-IE"/>
        </w:rPr>
        <w:t>PO4</w:t>
      </w:r>
      <w:r w:rsidRPr="003B11BD" w:rsidDel="00703A67">
        <w:rPr>
          <w:noProof/>
          <w:lang w:val="en-IE"/>
        </w:rPr>
        <w:t xml:space="preserve">. They would benefit from the centralised procedure and the wide territorial scope of the licence </w:t>
      </w:r>
      <w:r w:rsidR="00951A59" w:rsidRPr="003B11BD">
        <w:rPr>
          <w:noProof/>
          <w:lang w:val="en-IE"/>
        </w:rPr>
        <w:t xml:space="preserve">that can bring </w:t>
      </w:r>
      <w:r w:rsidRPr="003B11BD" w:rsidDel="00703A67">
        <w:rPr>
          <w:noProof/>
          <w:lang w:val="en-IE"/>
        </w:rPr>
        <w:t xml:space="preserve">economies of scale. </w:t>
      </w:r>
      <w:r w:rsidR="00270487" w:rsidRPr="003B11BD">
        <w:rPr>
          <w:b/>
          <w:noProof/>
          <w:lang w:val="en-IE"/>
        </w:rPr>
        <w:t>EU countries</w:t>
      </w:r>
      <w:r w:rsidRPr="003B11BD" w:rsidDel="00703A67">
        <w:rPr>
          <w:noProof/>
          <w:lang w:val="en-IE"/>
        </w:rPr>
        <w:t xml:space="preserve"> would need to bear limited adjustments costs as </w:t>
      </w:r>
      <w:r w:rsidR="009124A3" w:rsidRPr="003B11BD">
        <w:rPr>
          <w:noProof/>
          <w:lang w:val="en-IE"/>
        </w:rPr>
        <w:t xml:space="preserve">PO4 </w:t>
      </w:r>
      <w:r w:rsidRPr="003B11BD" w:rsidDel="00703A67">
        <w:rPr>
          <w:noProof/>
          <w:lang w:val="en-IE"/>
        </w:rPr>
        <w:t>would provide an EU-level compulsory licence, through a regulation</w:t>
      </w:r>
      <w:r w:rsidR="005E35C7" w:rsidRPr="003B11BD">
        <w:rPr>
          <w:noProof/>
          <w:lang w:val="en-IE"/>
        </w:rPr>
        <w:t xml:space="preserve">, </w:t>
      </w:r>
      <w:r w:rsidRPr="003B11BD" w:rsidDel="00703A67">
        <w:rPr>
          <w:noProof/>
          <w:lang w:val="en-IE"/>
        </w:rPr>
        <w:t>on top of existing</w:t>
      </w:r>
      <w:r w:rsidRPr="003B11BD">
        <w:rPr>
          <w:noProof/>
          <w:lang w:val="en-IE"/>
        </w:rPr>
        <w:t xml:space="preserve"> national</w:t>
      </w:r>
      <w:r w:rsidR="005E35C7" w:rsidRPr="003B11BD">
        <w:rPr>
          <w:noProof/>
          <w:lang w:val="en-IE"/>
        </w:rPr>
        <w:t xml:space="preserve"> legislation. They would face</w:t>
      </w:r>
      <w:r w:rsidRPr="003B11BD" w:rsidDel="00703A67">
        <w:rPr>
          <w:noProof/>
          <w:lang w:val="en-IE"/>
        </w:rPr>
        <w:t xml:space="preserve"> some </w:t>
      </w:r>
      <w:r w:rsidR="009E5071" w:rsidRPr="003B11BD">
        <w:rPr>
          <w:noProof/>
          <w:lang w:val="en-IE"/>
        </w:rPr>
        <w:t>monitoring</w:t>
      </w:r>
      <w:r w:rsidR="009E5071" w:rsidRPr="003B11BD" w:rsidDel="00703A67">
        <w:rPr>
          <w:noProof/>
          <w:lang w:val="en-IE"/>
        </w:rPr>
        <w:t xml:space="preserve"> </w:t>
      </w:r>
      <w:r w:rsidRPr="003B11BD" w:rsidDel="00703A67">
        <w:rPr>
          <w:noProof/>
          <w:lang w:val="en-IE"/>
        </w:rPr>
        <w:t>costs</w:t>
      </w:r>
      <w:r w:rsidR="005E35C7" w:rsidRPr="003B11BD">
        <w:rPr>
          <w:noProof/>
          <w:lang w:val="en-IE"/>
        </w:rPr>
        <w:t xml:space="preserve"> </w:t>
      </w:r>
      <w:r w:rsidR="007976EA" w:rsidRPr="003B11BD">
        <w:rPr>
          <w:noProof/>
          <w:lang w:val="en-IE"/>
        </w:rPr>
        <w:t>in the event of a</w:t>
      </w:r>
      <w:r w:rsidR="00F1145C" w:rsidRPr="003B11BD">
        <w:rPr>
          <w:noProof/>
          <w:lang w:val="en-IE"/>
        </w:rPr>
        <w:t xml:space="preserve"> </w:t>
      </w:r>
      <w:r w:rsidR="005E35C7" w:rsidRPr="003B11BD">
        <w:rPr>
          <w:noProof/>
          <w:lang w:val="en-IE"/>
        </w:rPr>
        <w:t>crisis</w:t>
      </w:r>
      <w:r w:rsidRPr="003B11BD" w:rsidDel="00703A67">
        <w:rPr>
          <w:noProof/>
          <w:lang w:val="en-IE"/>
        </w:rPr>
        <w:t xml:space="preserve">, linked to the transparency obligation. However, better sharing of information would also allow a reduction of costs for Member States as it could help identifying best practices. On enforcement costs, Member States would </w:t>
      </w:r>
      <w:r w:rsidR="004033F2" w:rsidRPr="003B11BD">
        <w:rPr>
          <w:noProof/>
          <w:lang w:val="en-IE"/>
        </w:rPr>
        <w:t xml:space="preserve">also </w:t>
      </w:r>
      <w:r w:rsidR="00E947DA" w:rsidRPr="003B11BD">
        <w:rPr>
          <w:noProof/>
          <w:lang w:val="en-IE"/>
        </w:rPr>
        <w:t>bear the cost of participating in the advisory committee, but overall</w:t>
      </w:r>
      <w:r w:rsidR="004033F2" w:rsidRPr="003B11BD">
        <w:rPr>
          <w:noProof/>
          <w:lang w:val="en-IE"/>
        </w:rPr>
        <w:t xml:space="preserve"> they</w:t>
      </w:r>
      <w:r w:rsidR="00E947DA" w:rsidRPr="003B11BD">
        <w:rPr>
          <w:noProof/>
          <w:lang w:val="en-IE"/>
        </w:rPr>
        <w:t xml:space="preserve"> would</w:t>
      </w:r>
      <w:r w:rsidR="00E947DA" w:rsidRPr="003B11BD" w:rsidDel="00703A67">
        <w:rPr>
          <w:noProof/>
          <w:lang w:val="en-IE"/>
        </w:rPr>
        <w:t xml:space="preserve"> </w:t>
      </w:r>
      <w:r w:rsidRPr="003B11BD" w:rsidDel="00703A67">
        <w:rPr>
          <w:noProof/>
          <w:lang w:val="en-IE"/>
        </w:rPr>
        <w:t>benefit</w:t>
      </w:r>
      <w:r w:rsidR="00E14AD7" w:rsidRPr="003B11BD">
        <w:rPr>
          <w:noProof/>
          <w:lang w:val="en-IE"/>
        </w:rPr>
        <w:t xml:space="preserve"> from the centralised procedure, as</w:t>
      </w:r>
      <w:r w:rsidR="00E14AD7" w:rsidRPr="003B11BD" w:rsidDel="00703A67">
        <w:rPr>
          <w:noProof/>
          <w:lang w:val="en-IE"/>
        </w:rPr>
        <w:t xml:space="preserve"> </w:t>
      </w:r>
      <w:r w:rsidR="00E14AD7" w:rsidRPr="003B11BD">
        <w:rPr>
          <w:noProof/>
          <w:lang w:val="en-IE"/>
        </w:rPr>
        <w:t>c</w:t>
      </w:r>
      <w:r w:rsidRPr="003B11BD" w:rsidDel="00703A67">
        <w:rPr>
          <w:noProof/>
          <w:lang w:val="en-IE"/>
        </w:rPr>
        <w:t xml:space="preserve">osts linked to the negotiations with the patent owners and the manufacturers would be </w:t>
      </w:r>
      <w:r w:rsidR="00951A59" w:rsidRPr="003B11BD">
        <w:rPr>
          <w:noProof/>
          <w:lang w:val="en-IE"/>
        </w:rPr>
        <w:t xml:space="preserve">incurred </w:t>
      </w:r>
      <w:r w:rsidR="00E14AD7" w:rsidRPr="003B11BD">
        <w:rPr>
          <w:noProof/>
          <w:lang w:val="en-IE"/>
        </w:rPr>
        <w:t>solely at EU level (</w:t>
      </w:r>
      <w:r w:rsidR="00E947DA" w:rsidRPr="003B11BD">
        <w:rPr>
          <w:noProof/>
          <w:lang w:val="en-IE"/>
        </w:rPr>
        <w:t xml:space="preserve">i.e. </w:t>
      </w:r>
      <w:r w:rsidR="00E14AD7" w:rsidRPr="003B11BD">
        <w:rPr>
          <w:noProof/>
          <w:lang w:val="en-IE"/>
        </w:rPr>
        <w:t xml:space="preserve">although </w:t>
      </w:r>
      <w:r w:rsidR="00E947DA" w:rsidRPr="003B11BD">
        <w:rPr>
          <w:noProof/>
          <w:lang w:val="en-IE"/>
        </w:rPr>
        <w:t xml:space="preserve">the </w:t>
      </w:r>
      <w:r w:rsidRPr="003B11BD" w:rsidDel="00703A67">
        <w:rPr>
          <w:noProof/>
          <w:lang w:val="en-IE"/>
        </w:rPr>
        <w:t>cost</w:t>
      </w:r>
      <w:r w:rsidR="00E14AD7" w:rsidRPr="003B11BD">
        <w:rPr>
          <w:noProof/>
          <w:lang w:val="en-IE"/>
        </w:rPr>
        <w:t>s of</w:t>
      </w:r>
      <w:r w:rsidRPr="003B11BD" w:rsidDel="00703A67">
        <w:rPr>
          <w:noProof/>
          <w:lang w:val="en-IE"/>
        </w:rPr>
        <w:t xml:space="preserve"> participating in the EU level negotiations would remain</w:t>
      </w:r>
      <w:r w:rsidR="00E947DA" w:rsidRPr="003B11BD">
        <w:rPr>
          <w:noProof/>
          <w:lang w:val="en-IE"/>
        </w:rPr>
        <w:t xml:space="preserve">, they are expected to be lower as tasks would be shared among </w:t>
      </w:r>
      <w:r w:rsidR="00DF1980" w:rsidRPr="003B11BD">
        <w:rPr>
          <w:noProof/>
          <w:lang w:val="en-IE"/>
        </w:rPr>
        <w:t xml:space="preserve">many </w:t>
      </w:r>
      <w:r w:rsidR="00E947DA" w:rsidRPr="003B11BD">
        <w:rPr>
          <w:noProof/>
          <w:lang w:val="en-IE"/>
        </w:rPr>
        <w:t>countries</w:t>
      </w:r>
      <w:r w:rsidR="00E14AD7" w:rsidRPr="003B11BD">
        <w:rPr>
          <w:noProof/>
          <w:lang w:val="en-IE"/>
        </w:rPr>
        <w:t>)</w:t>
      </w:r>
      <w:r w:rsidRPr="003B11BD" w:rsidDel="00703A67">
        <w:rPr>
          <w:noProof/>
          <w:lang w:val="en-IE"/>
        </w:rPr>
        <w:t xml:space="preserve">. </w:t>
      </w:r>
      <w:r w:rsidR="00EF41D4" w:rsidRPr="003B11BD">
        <w:rPr>
          <w:noProof/>
          <w:lang w:val="en-IE"/>
        </w:rPr>
        <w:t>Th</w:t>
      </w:r>
      <w:r w:rsidR="0060798A" w:rsidRPr="003B11BD">
        <w:rPr>
          <w:noProof/>
          <w:lang w:val="en-IE"/>
        </w:rPr>
        <w:t>e</w:t>
      </w:r>
      <w:r w:rsidR="00EF41D4" w:rsidRPr="003B11BD">
        <w:rPr>
          <w:noProof/>
          <w:lang w:val="en-IE"/>
        </w:rPr>
        <w:t xml:space="preserve"> new </w:t>
      </w:r>
      <w:r w:rsidR="00CA43BC" w:rsidRPr="003B11BD">
        <w:rPr>
          <w:noProof/>
          <w:lang w:val="en-IE"/>
        </w:rPr>
        <w:t>compulsory licensing</w:t>
      </w:r>
      <w:r w:rsidR="00EF41D4" w:rsidRPr="003B11BD">
        <w:rPr>
          <w:noProof/>
          <w:lang w:val="en-IE"/>
        </w:rPr>
        <w:t xml:space="preserve"> rules would also strengthen EU bargaining position as 27 countries would run negotiations together and at once.</w:t>
      </w:r>
      <w:r w:rsidR="00EF41D4" w:rsidRPr="003B11BD" w:rsidDel="00703A67">
        <w:rPr>
          <w:noProof/>
          <w:lang w:val="en-IE"/>
        </w:rPr>
        <w:t xml:space="preserve"> </w:t>
      </w:r>
      <w:r w:rsidRPr="003B11BD" w:rsidDel="00703A67">
        <w:rPr>
          <w:bCs/>
          <w:noProof/>
          <w:lang w:val="en-IE"/>
        </w:rPr>
        <w:t xml:space="preserve">In case of crisis, </w:t>
      </w:r>
      <w:r w:rsidRPr="003B11BD" w:rsidDel="00703A67">
        <w:rPr>
          <w:b/>
          <w:bCs/>
          <w:noProof/>
          <w:lang w:val="en-IE"/>
        </w:rPr>
        <w:t>EU c</w:t>
      </w:r>
      <w:r w:rsidRPr="003B11BD" w:rsidDel="00703A67">
        <w:rPr>
          <w:b/>
          <w:noProof/>
          <w:lang w:val="en-IE"/>
        </w:rPr>
        <w:t>itizens</w:t>
      </w:r>
      <w:r w:rsidRPr="003B11BD" w:rsidDel="00703A67">
        <w:rPr>
          <w:noProof/>
          <w:lang w:val="en-IE"/>
        </w:rPr>
        <w:t xml:space="preserve"> would greatly benefit from this option as it would improve the EU’s ability to issue an effective and efficient compulsory licence for the whole EU, including in case of cross-border supply chain disruptions. </w:t>
      </w:r>
      <w:r w:rsidR="00EF1136" w:rsidRPr="003B11BD">
        <w:rPr>
          <w:b/>
          <w:noProof/>
          <w:lang w:val="en-IE"/>
        </w:rPr>
        <w:t>Non-EU</w:t>
      </w:r>
      <w:r w:rsidRPr="003B11BD" w:rsidDel="00703A67">
        <w:rPr>
          <w:b/>
          <w:noProof/>
          <w:lang w:val="en-IE"/>
        </w:rPr>
        <w:t xml:space="preserve"> countries</w:t>
      </w:r>
      <w:r w:rsidRPr="003B11BD" w:rsidDel="00703A67">
        <w:rPr>
          <w:noProof/>
          <w:lang w:val="en-IE"/>
        </w:rPr>
        <w:t xml:space="preserve"> would also benefit from this option as this would provide the possibility to rely on a compulsory licence covering a cross-border supply chain.</w:t>
      </w:r>
    </w:p>
    <w:p w14:paraId="3FC7A5C5" w14:textId="301C652F" w:rsidR="004F5228" w:rsidRPr="003B11BD" w:rsidRDefault="004F5228" w:rsidP="004F5228">
      <w:pPr>
        <w:pStyle w:val="Heading2"/>
        <w:rPr>
          <w:noProof/>
          <w:lang w:val="en-IE"/>
        </w:rPr>
      </w:pPr>
      <w:bookmarkStart w:id="880" w:name="_Toc121498028"/>
      <w:bookmarkStart w:id="881" w:name="_Toc121498125"/>
      <w:bookmarkStart w:id="882" w:name="_Toc121498222"/>
      <w:bookmarkStart w:id="883" w:name="_Toc121498319"/>
      <w:bookmarkStart w:id="884" w:name="_Toc121499751"/>
      <w:bookmarkStart w:id="885" w:name="_Toc121499848"/>
      <w:bookmarkStart w:id="886" w:name="_Toc121499945"/>
      <w:bookmarkStart w:id="887" w:name="_Toc121500042"/>
      <w:bookmarkStart w:id="888" w:name="_Toc121500139"/>
      <w:bookmarkStart w:id="889" w:name="_Toc121500236"/>
      <w:bookmarkStart w:id="890" w:name="_Toc121501015"/>
      <w:bookmarkStart w:id="891" w:name="_Toc121502420"/>
      <w:bookmarkStart w:id="892" w:name="_Toc121503020"/>
      <w:bookmarkStart w:id="893" w:name="_Toc121505037"/>
      <w:bookmarkStart w:id="894" w:name="_Toc121658264"/>
      <w:bookmarkStart w:id="895" w:name="_Toc121658532"/>
      <w:bookmarkStart w:id="896" w:name="_Toc121498029"/>
      <w:bookmarkStart w:id="897" w:name="_Toc121498126"/>
      <w:bookmarkStart w:id="898" w:name="_Toc121498223"/>
      <w:bookmarkStart w:id="899" w:name="_Toc121498320"/>
      <w:bookmarkStart w:id="900" w:name="_Toc121499752"/>
      <w:bookmarkStart w:id="901" w:name="_Toc121499849"/>
      <w:bookmarkStart w:id="902" w:name="_Toc121499946"/>
      <w:bookmarkStart w:id="903" w:name="_Toc121500043"/>
      <w:bookmarkStart w:id="904" w:name="_Toc121500140"/>
      <w:bookmarkStart w:id="905" w:name="_Toc121500237"/>
      <w:bookmarkStart w:id="906" w:name="_Toc121501016"/>
      <w:bookmarkStart w:id="907" w:name="_Toc121502421"/>
      <w:bookmarkStart w:id="908" w:name="_Toc121503021"/>
      <w:bookmarkStart w:id="909" w:name="_Toc121505038"/>
      <w:bookmarkStart w:id="910" w:name="_Toc121658265"/>
      <w:bookmarkStart w:id="911" w:name="_Toc121658533"/>
      <w:bookmarkStart w:id="912" w:name="_Toc120731242"/>
      <w:bookmarkStart w:id="913" w:name="_Toc121386403"/>
      <w:bookmarkStart w:id="914" w:name="_Toc121489622"/>
      <w:bookmarkStart w:id="915" w:name="_Toc121496382"/>
      <w:bookmarkStart w:id="916" w:name="_Toc121748036"/>
      <w:bookmarkStart w:id="917" w:name="_Toc13343538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sidRPr="003B11BD">
        <w:rPr>
          <w:noProof/>
          <w:lang w:val="en-IE"/>
        </w:rPr>
        <w:t>Common impacts</w:t>
      </w:r>
      <w:bookmarkEnd w:id="912"/>
      <w:bookmarkEnd w:id="913"/>
      <w:bookmarkEnd w:id="914"/>
      <w:bookmarkEnd w:id="915"/>
      <w:bookmarkEnd w:id="916"/>
      <w:bookmarkEnd w:id="917"/>
    </w:p>
    <w:p w14:paraId="598B8A49" w14:textId="73A05A65" w:rsidR="00993F6A" w:rsidRPr="003B11BD" w:rsidRDefault="00BF248B" w:rsidP="00ED49E6">
      <w:pPr>
        <w:pStyle w:val="Heading3"/>
        <w:rPr>
          <w:noProof/>
        </w:rPr>
      </w:pPr>
      <w:bookmarkStart w:id="918" w:name="_Toc121658267"/>
      <w:bookmarkStart w:id="919" w:name="_Toc121658535"/>
      <w:bookmarkStart w:id="920" w:name="_Toc121658268"/>
      <w:bookmarkStart w:id="921" w:name="_Toc121658536"/>
      <w:bookmarkStart w:id="922" w:name="_Toc121658269"/>
      <w:bookmarkStart w:id="923" w:name="_Toc121658537"/>
      <w:bookmarkStart w:id="924" w:name="_Toc121658270"/>
      <w:bookmarkStart w:id="925" w:name="_Toc121658538"/>
      <w:bookmarkStart w:id="926" w:name="_Toc121658271"/>
      <w:bookmarkStart w:id="927" w:name="_Toc121658539"/>
      <w:bookmarkStart w:id="928" w:name="_Toc121658272"/>
      <w:bookmarkStart w:id="929" w:name="_Toc121658540"/>
      <w:bookmarkStart w:id="930" w:name="_Toc121658273"/>
      <w:bookmarkStart w:id="931" w:name="_Toc121658541"/>
      <w:bookmarkStart w:id="932" w:name="_Toc121658274"/>
      <w:bookmarkStart w:id="933" w:name="_Toc121658542"/>
      <w:bookmarkStart w:id="934" w:name="_Toc121658275"/>
      <w:bookmarkStart w:id="935" w:name="_Toc121658543"/>
      <w:bookmarkStart w:id="936" w:name="_Toc121658276"/>
      <w:bookmarkStart w:id="937" w:name="_Toc121658544"/>
      <w:bookmarkStart w:id="938" w:name="_Toc121658277"/>
      <w:bookmarkStart w:id="939" w:name="_Toc121658545"/>
      <w:bookmarkStart w:id="940" w:name="_Toc121658279"/>
      <w:bookmarkStart w:id="941" w:name="_Toc121658547"/>
      <w:bookmarkStart w:id="942" w:name="_Toc121658280"/>
      <w:bookmarkStart w:id="943" w:name="_Toc121658548"/>
      <w:bookmarkStart w:id="944" w:name="_Toc120731244"/>
      <w:bookmarkStart w:id="945" w:name="_Toc121386405"/>
      <w:bookmarkStart w:id="946" w:name="_Toc121489624"/>
      <w:bookmarkStart w:id="947" w:name="_Toc121496384"/>
      <w:bookmarkStart w:id="948" w:name="_Toc121748037"/>
      <w:bookmarkStart w:id="949" w:name="_Toc133435390"/>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Pr="003B11BD">
        <w:rPr>
          <w:noProof/>
        </w:rPr>
        <w:t>Impacts on fundamental rights</w:t>
      </w:r>
      <w:bookmarkEnd w:id="944"/>
      <w:bookmarkEnd w:id="945"/>
      <w:bookmarkEnd w:id="946"/>
      <w:bookmarkEnd w:id="947"/>
      <w:bookmarkEnd w:id="948"/>
      <w:bookmarkEnd w:id="949"/>
    </w:p>
    <w:p w14:paraId="32DED944" w14:textId="36DF7CE8" w:rsidR="00B464BC" w:rsidRPr="003B11BD" w:rsidRDefault="00B464BC" w:rsidP="29A10855">
      <w:pPr>
        <w:rPr>
          <w:noProof/>
          <w:lang w:val="en-IE"/>
        </w:rPr>
      </w:pPr>
      <w:r w:rsidRPr="003B11BD">
        <w:rPr>
          <w:noProof/>
          <w:lang w:val="en-IE"/>
        </w:rPr>
        <w:t>This initiative will have a clear impact on fundamental rights as it would provide an additional tool to face crises, including health-related (right to health care – article 35 of the Charter) or environmental crises (right to environmental protection – article 37 of the Charter). Through the increased probability of supply of critical goods and services the most fundamental needs and rights of EU citizens such as safety and health</w:t>
      </w:r>
      <w:r w:rsidR="00755595" w:rsidRPr="003B11BD">
        <w:rPr>
          <w:noProof/>
          <w:lang w:val="en-IE"/>
        </w:rPr>
        <w:t>,</w:t>
      </w:r>
      <w:r w:rsidRPr="003B11BD">
        <w:rPr>
          <w:noProof/>
          <w:lang w:val="en-IE"/>
        </w:rPr>
        <w:t xml:space="preserve"> in a crisis setting</w:t>
      </w:r>
      <w:r w:rsidR="00755595" w:rsidRPr="003B11BD">
        <w:rPr>
          <w:noProof/>
          <w:lang w:val="en-IE"/>
        </w:rPr>
        <w:t>,</w:t>
      </w:r>
      <w:r w:rsidRPr="003B11BD">
        <w:rPr>
          <w:noProof/>
          <w:lang w:val="en-IE"/>
        </w:rPr>
        <w:t xml:space="preserve"> would be more swiftly</w:t>
      </w:r>
      <w:r w:rsidR="00755595" w:rsidRPr="003B11BD">
        <w:rPr>
          <w:noProof/>
          <w:lang w:val="en-IE"/>
        </w:rPr>
        <w:t xml:space="preserve"> and efficiently</w:t>
      </w:r>
      <w:r w:rsidR="00DE72D8" w:rsidRPr="003B11BD">
        <w:rPr>
          <w:noProof/>
          <w:lang w:val="en-IE"/>
        </w:rPr>
        <w:t xml:space="preserve"> catered to</w:t>
      </w:r>
      <w:r w:rsidRPr="003B11BD">
        <w:rPr>
          <w:noProof/>
          <w:lang w:val="en-IE"/>
        </w:rPr>
        <w:t xml:space="preserve">. </w:t>
      </w:r>
    </w:p>
    <w:p w14:paraId="1E84B799" w14:textId="5920EF4F" w:rsidR="00E915B0" w:rsidRPr="003B11BD" w:rsidRDefault="00755595" w:rsidP="00917D55">
      <w:pPr>
        <w:rPr>
          <w:noProof/>
          <w:lang w:val="en-IE"/>
        </w:rPr>
      </w:pPr>
      <w:r w:rsidRPr="003B11BD">
        <w:rPr>
          <w:noProof/>
          <w:lang w:val="en-IE"/>
        </w:rPr>
        <w:t>Collective licensing</w:t>
      </w:r>
      <w:r w:rsidR="00DE72D8" w:rsidRPr="003B11BD">
        <w:rPr>
          <w:noProof/>
          <w:lang w:val="en-IE"/>
        </w:rPr>
        <w:t>,</w:t>
      </w:r>
      <w:r w:rsidRPr="003B11BD">
        <w:rPr>
          <w:noProof/>
          <w:lang w:val="en-IE"/>
        </w:rPr>
        <w:t xml:space="preserve"> of course</w:t>
      </w:r>
      <w:r w:rsidR="00DE72D8" w:rsidRPr="003B11BD">
        <w:rPr>
          <w:noProof/>
          <w:lang w:val="en-IE"/>
        </w:rPr>
        <w:t>,</w:t>
      </w:r>
      <w:r w:rsidRPr="003B11BD">
        <w:rPr>
          <w:noProof/>
          <w:lang w:val="en-IE"/>
        </w:rPr>
        <w:t xml:space="preserve"> also concerns</w:t>
      </w:r>
      <w:r w:rsidR="00D6694F" w:rsidRPr="003B11BD">
        <w:rPr>
          <w:noProof/>
          <w:lang w:val="en-IE"/>
        </w:rPr>
        <w:t xml:space="preserve"> the right to </w:t>
      </w:r>
      <w:r w:rsidR="00663C5A" w:rsidRPr="003B11BD">
        <w:rPr>
          <w:noProof/>
          <w:lang w:val="en-IE"/>
        </w:rPr>
        <w:t xml:space="preserve">intellectual </w:t>
      </w:r>
      <w:r w:rsidR="00D6694F" w:rsidRPr="003B11BD">
        <w:rPr>
          <w:noProof/>
          <w:lang w:val="en-IE"/>
        </w:rPr>
        <w:t>property of patent owners</w:t>
      </w:r>
      <w:r w:rsidR="00663C5A" w:rsidRPr="003B11BD">
        <w:rPr>
          <w:noProof/>
          <w:lang w:val="en-IE"/>
        </w:rPr>
        <w:t xml:space="preserve"> (article 17(2) of t</w:t>
      </w:r>
      <w:r w:rsidR="00053096" w:rsidRPr="003B11BD">
        <w:rPr>
          <w:noProof/>
          <w:lang w:val="en-IE"/>
        </w:rPr>
        <w:t>he EU Charter of fundamental rights</w:t>
      </w:r>
      <w:r w:rsidR="00894B8C" w:rsidRPr="003B11BD">
        <w:rPr>
          <w:noProof/>
          <w:lang w:val="en-IE"/>
        </w:rPr>
        <w:t xml:space="preserve"> – the ‘Charter’</w:t>
      </w:r>
      <w:r w:rsidR="00053096" w:rsidRPr="003B11BD">
        <w:rPr>
          <w:noProof/>
          <w:lang w:val="en-IE"/>
        </w:rPr>
        <w:t>)</w:t>
      </w:r>
      <w:r w:rsidR="00D6694F" w:rsidRPr="003B11BD">
        <w:rPr>
          <w:noProof/>
          <w:lang w:val="en-IE"/>
        </w:rPr>
        <w:t xml:space="preserve">, as compulsory licensing </w:t>
      </w:r>
      <w:r w:rsidR="00416CD4" w:rsidRPr="003B11BD">
        <w:rPr>
          <w:noProof/>
          <w:lang w:val="en-IE"/>
        </w:rPr>
        <w:t xml:space="preserve">partially </w:t>
      </w:r>
      <w:r w:rsidR="00D6694F" w:rsidRPr="003B11BD">
        <w:rPr>
          <w:noProof/>
          <w:lang w:val="en-IE"/>
        </w:rPr>
        <w:t>deprives patent owners of the control of their rights.</w:t>
      </w:r>
      <w:r w:rsidRPr="003B11BD">
        <w:rPr>
          <w:noProof/>
          <w:lang w:val="en-IE"/>
        </w:rPr>
        <w:t xml:space="preserve"> The extent to which this initiative impacts these rights – as compared to the baseline – is discussed in section 6.5.3 below</w:t>
      </w:r>
      <w:r w:rsidR="00367FD0" w:rsidRPr="003B11BD">
        <w:rPr>
          <w:noProof/>
          <w:lang w:val="en-IE"/>
        </w:rPr>
        <w:t>.</w:t>
      </w:r>
      <w:r w:rsidR="00D6694F" w:rsidRPr="003B11BD">
        <w:rPr>
          <w:noProof/>
          <w:lang w:val="en-IE"/>
        </w:rPr>
        <w:t xml:space="preserve"> </w:t>
      </w:r>
      <w:r w:rsidR="006A2D9B" w:rsidRPr="003B11BD">
        <w:rPr>
          <w:noProof/>
          <w:lang w:val="en-IE"/>
        </w:rPr>
        <w:t>IP rights</w:t>
      </w:r>
      <w:r w:rsidR="001F3AAB" w:rsidRPr="003B11BD">
        <w:rPr>
          <w:noProof/>
          <w:lang w:val="en-IE"/>
        </w:rPr>
        <w:t xml:space="preserve"> are not absolute rights </w:t>
      </w:r>
      <w:r w:rsidR="002D459F" w:rsidRPr="003B11BD">
        <w:rPr>
          <w:noProof/>
          <w:lang w:val="en-IE"/>
        </w:rPr>
        <w:t>and limitation to the exercise of these rights are allowed under the Charter</w:t>
      </w:r>
      <w:r w:rsidR="40A75EFF" w:rsidRPr="003B11BD">
        <w:rPr>
          <w:noProof/>
          <w:lang w:val="en-IE"/>
        </w:rPr>
        <w:t>, provided that the proportionality principle is respected</w:t>
      </w:r>
      <w:r w:rsidR="002D459F" w:rsidRPr="003B11BD">
        <w:rPr>
          <w:noProof/>
          <w:lang w:val="en-IE"/>
        </w:rPr>
        <w:t xml:space="preserve">. </w:t>
      </w:r>
      <w:r w:rsidR="3FA62B19" w:rsidRPr="003B11BD">
        <w:rPr>
          <w:noProof/>
          <w:lang w:val="en-IE"/>
        </w:rPr>
        <w:t>In that respect, this initiative provides for that</w:t>
      </w:r>
      <w:r w:rsidR="00D6694F" w:rsidRPr="003B11BD">
        <w:rPr>
          <w:noProof/>
          <w:lang w:val="en-IE"/>
        </w:rPr>
        <w:t xml:space="preserve"> </w:t>
      </w:r>
      <w:r w:rsidR="00DB4071" w:rsidRPr="003B11BD">
        <w:rPr>
          <w:noProof/>
          <w:lang w:val="en-IE"/>
        </w:rPr>
        <w:t>compulsory licensing</w:t>
      </w:r>
      <w:r w:rsidR="00D6694F" w:rsidRPr="003B11BD">
        <w:rPr>
          <w:noProof/>
          <w:lang w:val="en-IE"/>
        </w:rPr>
        <w:t xml:space="preserve"> would remain an exceptional mechanism</w:t>
      </w:r>
      <w:r w:rsidR="2908647F" w:rsidRPr="003B11BD">
        <w:rPr>
          <w:noProof/>
          <w:lang w:val="en-IE"/>
        </w:rPr>
        <w:t>, with a</w:t>
      </w:r>
      <w:r w:rsidR="00D6694F" w:rsidRPr="003B11BD">
        <w:rPr>
          <w:noProof/>
          <w:lang w:val="en-IE"/>
        </w:rPr>
        <w:t xml:space="preserve"> scope limited to cross-border crises.</w:t>
      </w:r>
      <w:r w:rsidR="001A2D6C" w:rsidRPr="003B11BD">
        <w:rPr>
          <w:noProof/>
          <w:lang w:val="en-IE"/>
        </w:rPr>
        <w:t xml:space="preserve"> </w:t>
      </w:r>
      <w:r w:rsidR="72682300" w:rsidRPr="003B11BD">
        <w:rPr>
          <w:noProof/>
          <w:lang w:val="en-IE"/>
        </w:rPr>
        <w:t>In addition, compulsory licence would always be granted on a non-exclusive basis and subject to a definite duration. Finally, patent owners would have the possibility to share their position as regards the granting of a compulsory licence and the conditions surrounding it. An important aspect of the conditions concerns the ability for patent owners to receive a fair compensation for the limitation of their right. In that respect, the present initiative provides for that patent owners would always be entitled to receive an adequate remuneration in respect of each compulsory licence granted under this initiative. This remuneration would be determined, following clear criteria set in the EU legislation. In addition, patent owners would be entitled to share their position as regards this remuneration</w:t>
      </w:r>
      <w:r w:rsidR="006465CA" w:rsidRPr="003B11BD">
        <w:rPr>
          <w:noProof/>
          <w:lang w:val="en-IE"/>
        </w:rPr>
        <w:t>, in the context of discussions within the advisory body</w:t>
      </w:r>
      <w:r w:rsidR="72682300" w:rsidRPr="003B11BD">
        <w:rPr>
          <w:noProof/>
          <w:lang w:val="en-IE"/>
        </w:rPr>
        <w:t>. As explained in the next title, this initiative may have a positive impact on other fundamental rights as it would provide an additional tool to face crises, including health-related (right to health care – article 35 of the Charter) or environmental crises (right to environmental protection – article 37 of the Charter).</w:t>
      </w:r>
      <w:bookmarkStart w:id="950" w:name="_Toc120731245"/>
      <w:bookmarkStart w:id="951" w:name="_Toc121386406"/>
      <w:bookmarkStart w:id="952" w:name="_Toc121489625"/>
      <w:bookmarkStart w:id="953" w:name="_Toc121496385"/>
      <w:bookmarkStart w:id="954" w:name="_Toc121748038"/>
    </w:p>
    <w:p w14:paraId="6A14FA2E" w14:textId="1528E798" w:rsidR="00A05201" w:rsidRPr="003B11BD" w:rsidRDefault="00A05201" w:rsidP="00ED49E6">
      <w:pPr>
        <w:pStyle w:val="Heading3"/>
        <w:rPr>
          <w:noProof/>
        </w:rPr>
      </w:pPr>
      <w:bookmarkStart w:id="955" w:name="_Toc133435391"/>
      <w:r w:rsidRPr="003B11BD">
        <w:rPr>
          <w:noProof/>
        </w:rPr>
        <w:t>Social</w:t>
      </w:r>
      <w:r w:rsidR="00387640" w:rsidRPr="003B11BD">
        <w:rPr>
          <w:noProof/>
        </w:rPr>
        <w:t xml:space="preserve"> and environmental</w:t>
      </w:r>
      <w:r w:rsidRPr="003B11BD">
        <w:rPr>
          <w:noProof/>
        </w:rPr>
        <w:t xml:space="preserve"> impacts</w:t>
      </w:r>
      <w:bookmarkEnd w:id="950"/>
      <w:bookmarkEnd w:id="951"/>
      <w:bookmarkEnd w:id="952"/>
      <w:bookmarkEnd w:id="953"/>
      <w:bookmarkEnd w:id="954"/>
      <w:bookmarkEnd w:id="955"/>
    </w:p>
    <w:p w14:paraId="2277A824" w14:textId="41116594" w:rsidR="00DB7274" w:rsidRPr="003B11BD" w:rsidRDefault="00A05201" w:rsidP="00387640">
      <w:pPr>
        <w:rPr>
          <w:noProof/>
          <w:lang w:val="en-IE"/>
        </w:rPr>
      </w:pPr>
      <w:r w:rsidRPr="003B11BD">
        <w:rPr>
          <w:noProof/>
          <w:lang w:val="en-IE"/>
        </w:rPr>
        <w:t xml:space="preserve">Improved EU readiness to tackle a major crisis </w:t>
      </w:r>
      <w:r w:rsidR="00F17C29" w:rsidRPr="003B11BD">
        <w:rPr>
          <w:noProof/>
          <w:lang w:val="en-IE"/>
        </w:rPr>
        <w:t xml:space="preserve">would </w:t>
      </w:r>
      <w:r w:rsidRPr="003B11BD">
        <w:rPr>
          <w:noProof/>
          <w:lang w:val="en-IE"/>
        </w:rPr>
        <w:t>bring positive social impacts, as it could help limit various disruptions to everyday societal processes by curbing the crisis or eliminating it al</w:t>
      </w:r>
      <w:r w:rsidR="00387640" w:rsidRPr="003B11BD">
        <w:rPr>
          <w:noProof/>
          <w:lang w:val="en-IE"/>
        </w:rPr>
        <w:t xml:space="preserve">together. </w:t>
      </w:r>
      <w:r w:rsidR="00612628" w:rsidRPr="003B11BD">
        <w:rPr>
          <w:noProof/>
          <w:lang w:val="en-IE"/>
        </w:rPr>
        <w:t>Notwithstanding that</w:t>
      </w:r>
      <w:r w:rsidR="0090703A" w:rsidRPr="003B11BD">
        <w:rPr>
          <w:noProof/>
          <w:lang w:val="en-IE"/>
        </w:rPr>
        <w:t xml:space="preserve"> societal disruption</w:t>
      </w:r>
      <w:r w:rsidR="000A569D" w:rsidRPr="003B11BD">
        <w:rPr>
          <w:noProof/>
          <w:lang w:val="en-IE"/>
        </w:rPr>
        <w:t xml:space="preserve"> can be caused by a </w:t>
      </w:r>
      <w:r w:rsidR="0090703A" w:rsidRPr="003B11BD">
        <w:rPr>
          <w:noProof/>
          <w:lang w:val="en-IE"/>
        </w:rPr>
        <w:t>crisis in any domain (</w:t>
      </w:r>
      <w:r w:rsidR="00560640" w:rsidRPr="003B11BD">
        <w:rPr>
          <w:noProof/>
          <w:lang w:val="en-IE"/>
        </w:rPr>
        <w:t xml:space="preserve">e.g. </w:t>
      </w:r>
      <w:r w:rsidR="0090703A" w:rsidRPr="003B11BD">
        <w:rPr>
          <w:noProof/>
          <w:lang w:val="en-IE"/>
        </w:rPr>
        <w:t>threats to the env</w:t>
      </w:r>
      <w:r w:rsidR="00560640" w:rsidRPr="003B11BD">
        <w:rPr>
          <w:noProof/>
          <w:lang w:val="en-IE"/>
        </w:rPr>
        <w:t>ironment, national security, etc.</w:t>
      </w:r>
      <w:r w:rsidR="0090703A" w:rsidRPr="003B11BD">
        <w:rPr>
          <w:noProof/>
          <w:lang w:val="en-IE"/>
        </w:rPr>
        <w:t xml:space="preserve">), the recent </w:t>
      </w:r>
      <w:r w:rsidR="00387640" w:rsidRPr="003B11BD">
        <w:rPr>
          <w:noProof/>
          <w:lang w:val="en-IE"/>
        </w:rPr>
        <w:t>COVID-19 pandemic</w:t>
      </w:r>
      <w:r w:rsidR="0090703A" w:rsidRPr="003B11BD">
        <w:rPr>
          <w:noProof/>
          <w:lang w:val="en-IE"/>
        </w:rPr>
        <w:t xml:space="preserve"> provided</w:t>
      </w:r>
      <w:r w:rsidRPr="003B11BD">
        <w:rPr>
          <w:noProof/>
          <w:lang w:val="en-IE"/>
        </w:rPr>
        <w:t xml:space="preserve"> multiple examples of disruptions</w:t>
      </w:r>
      <w:r w:rsidR="00355760" w:rsidRPr="003B11BD">
        <w:rPr>
          <w:noProof/>
          <w:lang w:val="en-IE"/>
        </w:rPr>
        <w:t xml:space="preserve"> </w:t>
      </w:r>
      <w:r w:rsidRPr="003B11BD">
        <w:rPr>
          <w:noProof/>
          <w:lang w:val="en-IE"/>
        </w:rPr>
        <w:t xml:space="preserve">that could </w:t>
      </w:r>
      <w:r w:rsidR="0090703A" w:rsidRPr="003B11BD">
        <w:rPr>
          <w:noProof/>
          <w:lang w:val="en-IE"/>
        </w:rPr>
        <w:t xml:space="preserve">have </w:t>
      </w:r>
      <w:r w:rsidRPr="003B11BD">
        <w:rPr>
          <w:noProof/>
          <w:lang w:val="en-IE"/>
        </w:rPr>
        <w:t>be</w:t>
      </w:r>
      <w:r w:rsidR="0090703A" w:rsidRPr="003B11BD">
        <w:rPr>
          <w:noProof/>
          <w:lang w:val="en-IE"/>
        </w:rPr>
        <w:t>en</w:t>
      </w:r>
      <w:r w:rsidRPr="003B11BD">
        <w:rPr>
          <w:noProof/>
          <w:lang w:val="en-IE"/>
        </w:rPr>
        <w:t xml:space="preserve"> av</w:t>
      </w:r>
      <w:r w:rsidR="0090703A" w:rsidRPr="003B11BD">
        <w:rPr>
          <w:noProof/>
          <w:lang w:val="en-IE"/>
        </w:rPr>
        <w:t>oided with a more effective resilience tool. They included</w:t>
      </w:r>
      <w:r w:rsidRPr="003B11BD">
        <w:rPr>
          <w:noProof/>
          <w:lang w:val="en-IE"/>
        </w:rPr>
        <w:t xml:space="preserve"> </w:t>
      </w:r>
      <w:r w:rsidR="00DB7274" w:rsidRPr="003B11BD">
        <w:rPr>
          <w:noProof/>
          <w:lang w:val="en-IE"/>
        </w:rPr>
        <w:t xml:space="preserve">challenges </w:t>
      </w:r>
      <w:r w:rsidRPr="003B11BD">
        <w:rPr>
          <w:noProof/>
          <w:lang w:val="en-IE"/>
        </w:rPr>
        <w:t xml:space="preserve">to </w:t>
      </w:r>
      <w:r w:rsidR="00A92028" w:rsidRPr="003B11BD">
        <w:rPr>
          <w:noProof/>
          <w:lang w:val="en-IE"/>
        </w:rPr>
        <w:t>s</w:t>
      </w:r>
      <w:r w:rsidR="00DB7274" w:rsidRPr="003B11BD">
        <w:rPr>
          <w:noProof/>
          <w:lang w:val="en-IE"/>
        </w:rPr>
        <w:t>o</w:t>
      </w:r>
      <w:r w:rsidR="00A92028" w:rsidRPr="003B11BD">
        <w:rPr>
          <w:noProof/>
          <w:lang w:val="en-IE"/>
        </w:rPr>
        <w:t>c</w:t>
      </w:r>
      <w:r w:rsidR="00DB7274" w:rsidRPr="003B11BD">
        <w:rPr>
          <w:noProof/>
          <w:lang w:val="en-IE"/>
        </w:rPr>
        <w:t>io-</w:t>
      </w:r>
      <w:r w:rsidRPr="003B11BD">
        <w:rPr>
          <w:noProof/>
          <w:lang w:val="en-IE"/>
        </w:rPr>
        <w:t>economic activities</w:t>
      </w:r>
      <w:r w:rsidR="00AB6540" w:rsidRPr="003B11BD">
        <w:rPr>
          <w:noProof/>
          <w:lang w:val="en-IE"/>
        </w:rPr>
        <w:t xml:space="preserve"> underpinning people’s lives</w:t>
      </w:r>
      <w:r w:rsidRPr="003B11BD">
        <w:rPr>
          <w:noProof/>
          <w:lang w:val="en-IE"/>
        </w:rPr>
        <w:t xml:space="preserve"> (</w:t>
      </w:r>
      <w:r w:rsidR="000325D1" w:rsidRPr="003B11BD">
        <w:rPr>
          <w:noProof/>
          <w:lang w:val="en-IE"/>
        </w:rPr>
        <w:t xml:space="preserve">e.g. the loss in GDP due to restrictive measures, </w:t>
      </w:r>
      <w:r w:rsidR="00A11268" w:rsidRPr="003B11BD">
        <w:rPr>
          <w:noProof/>
          <w:lang w:val="en-IE"/>
        </w:rPr>
        <w:t xml:space="preserve">limited access to education, </w:t>
      </w:r>
      <w:r w:rsidRPr="003B11BD">
        <w:rPr>
          <w:noProof/>
          <w:lang w:val="en-IE"/>
        </w:rPr>
        <w:t xml:space="preserve">businesses closed due to lock-downs, </w:t>
      </w:r>
      <w:r w:rsidR="00A92028" w:rsidRPr="003B11BD">
        <w:rPr>
          <w:noProof/>
          <w:lang w:val="en-IE"/>
        </w:rPr>
        <w:t>un</w:t>
      </w:r>
      <w:r w:rsidRPr="003B11BD">
        <w:rPr>
          <w:noProof/>
          <w:lang w:val="en-IE"/>
        </w:rPr>
        <w:t>employmen</w:t>
      </w:r>
      <w:r w:rsidR="0090703A" w:rsidRPr="003B11BD">
        <w:rPr>
          <w:noProof/>
          <w:lang w:val="en-IE"/>
        </w:rPr>
        <w:t xml:space="preserve">t) </w:t>
      </w:r>
      <w:r w:rsidR="00AB6540" w:rsidRPr="003B11BD">
        <w:rPr>
          <w:noProof/>
          <w:lang w:val="en-IE"/>
        </w:rPr>
        <w:t>affecting</w:t>
      </w:r>
      <w:r w:rsidR="00DB7274" w:rsidRPr="003B11BD">
        <w:rPr>
          <w:noProof/>
          <w:lang w:val="en-IE"/>
        </w:rPr>
        <w:t xml:space="preserve"> health </w:t>
      </w:r>
      <w:r w:rsidR="00A92028" w:rsidRPr="003B11BD">
        <w:rPr>
          <w:noProof/>
          <w:lang w:val="en-IE"/>
        </w:rPr>
        <w:t>and</w:t>
      </w:r>
      <w:r w:rsidR="00DB7274" w:rsidRPr="003B11BD">
        <w:rPr>
          <w:noProof/>
          <w:lang w:val="en-IE"/>
        </w:rPr>
        <w:t xml:space="preserve"> wellbeing (</w:t>
      </w:r>
      <w:r w:rsidR="00A92028" w:rsidRPr="003B11BD">
        <w:rPr>
          <w:noProof/>
          <w:lang w:val="en-IE"/>
        </w:rPr>
        <w:t>COVID-19 death toll</w:t>
      </w:r>
      <w:r w:rsidRPr="003B11BD">
        <w:rPr>
          <w:noProof/>
          <w:lang w:val="en-IE"/>
        </w:rPr>
        <w:t>, implications related to mental health, etc.).</w:t>
      </w:r>
      <w:r w:rsidR="00B6280A" w:rsidRPr="003B11BD">
        <w:rPr>
          <w:noProof/>
          <w:lang w:val="en-IE"/>
        </w:rPr>
        <w:t xml:space="preserve"> T</w:t>
      </w:r>
      <w:r w:rsidR="00C85A73" w:rsidRPr="003B11BD">
        <w:rPr>
          <w:noProof/>
          <w:lang w:val="en-IE"/>
        </w:rPr>
        <w:t xml:space="preserve">he exact amount of potential indirect economic </w:t>
      </w:r>
      <w:r w:rsidR="00B6280A" w:rsidRPr="003B11BD">
        <w:rPr>
          <w:noProof/>
          <w:lang w:val="en-IE"/>
        </w:rPr>
        <w:t>impacts</w:t>
      </w:r>
      <w:r w:rsidR="000A569D" w:rsidRPr="003B11BD">
        <w:rPr>
          <w:noProof/>
          <w:lang w:val="en-IE"/>
        </w:rPr>
        <w:t xml:space="preserve"> that can be avoided is</w:t>
      </w:r>
      <w:r w:rsidR="00C85A73" w:rsidRPr="003B11BD">
        <w:rPr>
          <w:noProof/>
          <w:lang w:val="en-IE"/>
        </w:rPr>
        <w:t xml:space="preserve"> impossible to quantify</w:t>
      </w:r>
      <w:r w:rsidR="00B6280A" w:rsidRPr="003B11BD">
        <w:rPr>
          <w:rStyle w:val="FootnoteReference"/>
          <w:noProof/>
          <w:lang w:val="en-IE"/>
        </w:rPr>
        <w:footnoteReference w:id="130"/>
      </w:r>
      <w:r w:rsidR="00C85A73" w:rsidRPr="003B11BD">
        <w:rPr>
          <w:noProof/>
          <w:lang w:val="en-IE"/>
        </w:rPr>
        <w:t>, whereas the cost of major crisis can be paramount to any economy</w:t>
      </w:r>
      <w:r w:rsidR="00C85A73" w:rsidRPr="003B11BD">
        <w:rPr>
          <w:rStyle w:val="FootnoteReference"/>
          <w:noProof/>
          <w:lang w:val="en-IE"/>
        </w:rPr>
        <w:footnoteReference w:id="131"/>
      </w:r>
      <w:r w:rsidR="00C85A73" w:rsidRPr="003B11BD">
        <w:rPr>
          <w:noProof/>
          <w:lang w:val="en-IE"/>
        </w:rPr>
        <w:t xml:space="preserve">. </w:t>
      </w:r>
    </w:p>
    <w:p w14:paraId="41F42C10" w14:textId="6CBE4EBF" w:rsidR="00BF248B" w:rsidRPr="003B11BD" w:rsidRDefault="00DB7274" w:rsidP="00387640">
      <w:pPr>
        <w:rPr>
          <w:noProof/>
          <w:lang w:val="en-IE"/>
        </w:rPr>
      </w:pPr>
      <w:r w:rsidRPr="003B11BD">
        <w:rPr>
          <w:noProof/>
          <w:lang w:val="en-IE"/>
        </w:rPr>
        <w:t>As far as the environmental impacts are concerned, th</w:t>
      </w:r>
      <w:r w:rsidR="002F4FBB" w:rsidRPr="003B11BD">
        <w:rPr>
          <w:noProof/>
          <w:lang w:val="en-IE"/>
        </w:rPr>
        <w:t>e</w:t>
      </w:r>
      <w:r w:rsidRPr="003B11BD">
        <w:rPr>
          <w:noProof/>
          <w:lang w:val="en-IE"/>
        </w:rPr>
        <w:t>y will predominantly depend on the type of crisis that the EU may face in the future</w:t>
      </w:r>
      <w:r w:rsidR="00FF2B50" w:rsidRPr="003B11BD">
        <w:rPr>
          <w:noProof/>
          <w:lang w:val="en-IE"/>
        </w:rPr>
        <w:t>,</w:t>
      </w:r>
      <w:r w:rsidR="00A92028" w:rsidRPr="003B11BD">
        <w:rPr>
          <w:noProof/>
          <w:lang w:val="en-IE"/>
        </w:rPr>
        <w:t xml:space="preserve"> </w:t>
      </w:r>
      <w:r w:rsidR="00FF2B50" w:rsidRPr="003B11BD">
        <w:rPr>
          <w:noProof/>
          <w:lang w:val="en-IE"/>
        </w:rPr>
        <w:t xml:space="preserve">assuming that it </w:t>
      </w:r>
      <w:r w:rsidR="006D5795" w:rsidRPr="003B11BD">
        <w:rPr>
          <w:noProof/>
          <w:lang w:val="en-IE"/>
        </w:rPr>
        <w:t>would be</w:t>
      </w:r>
      <w:r w:rsidRPr="003B11BD">
        <w:rPr>
          <w:noProof/>
          <w:lang w:val="en-IE"/>
        </w:rPr>
        <w:t xml:space="preserve"> targeted </w:t>
      </w:r>
      <w:r w:rsidR="00506490" w:rsidRPr="003B11BD">
        <w:rPr>
          <w:noProof/>
          <w:lang w:val="en-IE"/>
        </w:rPr>
        <w:t>by the new initiative</w:t>
      </w:r>
      <w:r w:rsidR="00FF2B50" w:rsidRPr="003B11BD">
        <w:rPr>
          <w:noProof/>
          <w:lang w:val="en-IE"/>
        </w:rPr>
        <w:t xml:space="preserve"> (i.e. addressing</w:t>
      </w:r>
      <w:r w:rsidR="00AB6540" w:rsidRPr="003B11BD">
        <w:rPr>
          <w:noProof/>
          <w:lang w:val="en-IE"/>
        </w:rPr>
        <w:t xml:space="preserve"> such</w:t>
      </w:r>
      <w:r w:rsidR="00FF2B50" w:rsidRPr="003B11BD">
        <w:rPr>
          <w:noProof/>
          <w:lang w:val="en-IE"/>
        </w:rPr>
        <w:t xml:space="preserve"> crisis would require access to patent protected products)</w:t>
      </w:r>
      <w:r w:rsidR="00506490" w:rsidRPr="003B11BD">
        <w:rPr>
          <w:noProof/>
          <w:lang w:val="en-IE"/>
        </w:rPr>
        <w:t xml:space="preserve">. </w:t>
      </w:r>
      <w:r w:rsidR="006D5795" w:rsidRPr="003B11BD">
        <w:rPr>
          <w:noProof/>
          <w:lang w:val="en-IE"/>
        </w:rPr>
        <w:t xml:space="preserve">If the crisis concerns environmental threats, the positive impacts of the initiative could be </w:t>
      </w:r>
      <w:r w:rsidR="00513214" w:rsidRPr="003B11BD">
        <w:rPr>
          <w:noProof/>
          <w:lang w:val="en-IE"/>
        </w:rPr>
        <w:t xml:space="preserve">decisive </w:t>
      </w:r>
      <w:r w:rsidR="00DA3942" w:rsidRPr="003B11BD">
        <w:rPr>
          <w:noProof/>
          <w:lang w:val="en-IE"/>
        </w:rPr>
        <w:t xml:space="preserve">in </w:t>
      </w:r>
      <w:r w:rsidR="00EB3B0A" w:rsidRPr="003B11BD">
        <w:rPr>
          <w:noProof/>
          <w:lang w:val="en-IE"/>
        </w:rPr>
        <w:t xml:space="preserve">increasing access to products and technologies </w:t>
      </w:r>
      <w:r w:rsidR="005E3E69" w:rsidRPr="003B11BD">
        <w:rPr>
          <w:noProof/>
          <w:lang w:val="en-IE"/>
        </w:rPr>
        <w:t>able to tackle the crisis</w:t>
      </w:r>
      <w:r w:rsidR="006D5795" w:rsidRPr="003B11BD">
        <w:rPr>
          <w:noProof/>
          <w:lang w:val="en-IE"/>
        </w:rPr>
        <w:t xml:space="preserve">. </w:t>
      </w:r>
      <w:r w:rsidR="00B93DEC" w:rsidRPr="003B11BD">
        <w:rPr>
          <w:noProof/>
          <w:lang w:val="en-IE"/>
        </w:rPr>
        <w:t>Finally</w:t>
      </w:r>
      <w:r w:rsidR="00AF630F" w:rsidRPr="003B11BD">
        <w:rPr>
          <w:noProof/>
          <w:lang w:val="en-IE"/>
        </w:rPr>
        <w:t xml:space="preserve">, since no environmental legislation is affected by this proposal and its principal objective is to streamline and harmonise </w:t>
      </w:r>
      <w:r w:rsidR="005E3E69" w:rsidRPr="003B11BD">
        <w:rPr>
          <w:noProof/>
          <w:lang w:val="en-IE"/>
        </w:rPr>
        <w:t xml:space="preserve">compulsory licensing </w:t>
      </w:r>
      <w:r w:rsidR="00AF630F" w:rsidRPr="003B11BD">
        <w:rPr>
          <w:noProof/>
          <w:lang w:val="en-IE"/>
        </w:rPr>
        <w:t xml:space="preserve">procedures in </w:t>
      </w:r>
      <w:r w:rsidR="00F52AF9" w:rsidRPr="003B11BD">
        <w:rPr>
          <w:noProof/>
          <w:lang w:val="en-IE"/>
        </w:rPr>
        <w:t>cross-border</w:t>
      </w:r>
      <w:r w:rsidR="00AF630F" w:rsidRPr="003B11BD">
        <w:rPr>
          <w:noProof/>
          <w:lang w:val="en-IE"/>
        </w:rPr>
        <w:t xml:space="preserve"> </w:t>
      </w:r>
      <w:r w:rsidR="00F52AF9" w:rsidRPr="003B11BD">
        <w:rPr>
          <w:noProof/>
          <w:lang w:val="en-IE"/>
        </w:rPr>
        <w:t>crises</w:t>
      </w:r>
      <w:r w:rsidR="00AF630F" w:rsidRPr="003B11BD">
        <w:rPr>
          <w:b/>
          <w:noProof/>
          <w:lang w:val="en-IE"/>
        </w:rPr>
        <w:t>, no significant harm</w:t>
      </w:r>
      <w:r w:rsidR="00AF630F" w:rsidRPr="003B11BD">
        <w:rPr>
          <w:noProof/>
          <w:lang w:val="en-IE"/>
        </w:rPr>
        <w:t xml:space="preserve"> to the environment is expected under any of the options analysed.</w:t>
      </w:r>
      <w:r w:rsidR="00481EC7" w:rsidRPr="003B11BD">
        <w:rPr>
          <w:noProof/>
          <w:lang w:val="en-IE"/>
        </w:rPr>
        <w:t xml:space="preserve"> Potential impacts on relevant SDGs are discussed in Annex 3.</w:t>
      </w:r>
    </w:p>
    <w:p w14:paraId="453277D0" w14:textId="15046600" w:rsidR="005F7F96" w:rsidRPr="003B11BD" w:rsidRDefault="00945AA1" w:rsidP="00ED49E6">
      <w:pPr>
        <w:pStyle w:val="Heading3"/>
        <w:rPr>
          <w:noProof/>
        </w:rPr>
      </w:pPr>
      <w:bookmarkStart w:id="956" w:name="_Toc133435392"/>
      <w:bookmarkStart w:id="957" w:name="_Toc121386407"/>
      <w:bookmarkStart w:id="958" w:name="_Toc121489626"/>
      <w:bookmarkStart w:id="959" w:name="_Toc121496386"/>
      <w:bookmarkStart w:id="960" w:name="_Toc121748039"/>
      <w:r w:rsidRPr="003B11BD">
        <w:rPr>
          <w:noProof/>
        </w:rPr>
        <w:t>Economic and</w:t>
      </w:r>
      <w:r w:rsidR="005F7F96" w:rsidRPr="003B11BD">
        <w:rPr>
          <w:noProof/>
        </w:rPr>
        <w:t xml:space="preserve"> competitiveness</w:t>
      </w:r>
      <w:r w:rsidRPr="003B11BD">
        <w:rPr>
          <w:noProof/>
        </w:rPr>
        <w:t xml:space="preserve"> impacts</w:t>
      </w:r>
      <w:bookmarkEnd w:id="956"/>
    </w:p>
    <w:p w14:paraId="6BDB987C" w14:textId="64A2CF37" w:rsidR="00520E06" w:rsidRPr="003B11BD" w:rsidRDefault="006D3F9D" w:rsidP="000F1F12">
      <w:pPr>
        <w:rPr>
          <w:noProof/>
          <w:lang w:val="en-IE"/>
        </w:rPr>
      </w:pPr>
      <w:r w:rsidRPr="003B11BD">
        <w:rPr>
          <w:noProof/>
          <w:lang w:val="en-IE"/>
        </w:rPr>
        <w:t>This initiative rests</w:t>
      </w:r>
      <w:r w:rsidR="00520E06" w:rsidRPr="003B11BD">
        <w:rPr>
          <w:noProof/>
          <w:lang w:val="en-IE"/>
        </w:rPr>
        <w:t xml:space="preserve"> on a precautionary principle regarding unforeseeable future crisis events</w:t>
      </w:r>
      <w:r w:rsidR="00CD64F0" w:rsidRPr="003B11BD">
        <w:rPr>
          <w:noProof/>
          <w:lang w:val="en-IE"/>
        </w:rPr>
        <w:t>, with a small probability but immense</w:t>
      </w:r>
      <w:r w:rsidRPr="003B11BD">
        <w:rPr>
          <w:noProof/>
          <w:lang w:val="en-IE"/>
        </w:rPr>
        <w:t xml:space="preserve"> economic</w:t>
      </w:r>
      <w:r w:rsidR="00DE72D8" w:rsidRPr="003B11BD">
        <w:rPr>
          <w:noProof/>
          <w:lang w:val="en-IE"/>
        </w:rPr>
        <w:t xml:space="preserve"> aftermath</w:t>
      </w:r>
      <w:r w:rsidR="00520E06" w:rsidRPr="003B11BD">
        <w:rPr>
          <w:noProof/>
          <w:lang w:val="en-IE"/>
        </w:rPr>
        <w:t>. For this reason</w:t>
      </w:r>
      <w:r w:rsidR="00CD64F0" w:rsidRPr="003B11BD">
        <w:rPr>
          <w:noProof/>
          <w:lang w:val="en-IE"/>
        </w:rPr>
        <w:t>,</w:t>
      </w:r>
      <w:r w:rsidR="00520E06" w:rsidRPr="003B11BD">
        <w:rPr>
          <w:noProof/>
          <w:lang w:val="en-IE"/>
        </w:rPr>
        <w:t xml:space="preserve"> the economic and competitiveness impacts</w:t>
      </w:r>
      <w:r w:rsidRPr="003B11BD">
        <w:rPr>
          <w:noProof/>
          <w:lang w:val="en-IE"/>
        </w:rPr>
        <w:t xml:space="preserve"> strictly</w:t>
      </w:r>
      <w:r w:rsidR="00520E06" w:rsidRPr="003B11BD">
        <w:rPr>
          <w:noProof/>
          <w:lang w:val="en-IE"/>
        </w:rPr>
        <w:t xml:space="preserve"> hinge on a balance of probabilities. It is fair to assume that the</w:t>
      </w:r>
      <w:r w:rsidR="00CD64F0" w:rsidRPr="003B11BD">
        <w:rPr>
          <w:noProof/>
          <w:lang w:val="en-IE"/>
        </w:rPr>
        <w:t xml:space="preserve"> probability of crises events remains</w:t>
      </w:r>
      <w:r w:rsidR="00520E06" w:rsidRPr="003B11BD">
        <w:rPr>
          <w:noProof/>
          <w:lang w:val="en-IE"/>
        </w:rPr>
        <w:t xml:space="preserve"> unaffected by this initiative. At the same time</w:t>
      </w:r>
      <w:r w:rsidR="00CD64F0" w:rsidRPr="003B11BD">
        <w:rPr>
          <w:noProof/>
          <w:lang w:val="en-IE"/>
        </w:rPr>
        <w:t>, the likelihood that any given crisis requires a Single Market response would</w:t>
      </w:r>
      <w:r w:rsidRPr="003B11BD">
        <w:rPr>
          <w:noProof/>
          <w:lang w:val="en-IE"/>
        </w:rPr>
        <w:t xml:space="preserve"> normally be higher over time</w:t>
      </w:r>
      <w:r w:rsidR="008D613B" w:rsidRPr="003B11BD">
        <w:rPr>
          <w:noProof/>
          <w:lang w:val="en-IE"/>
        </w:rPr>
        <w:t>, as</w:t>
      </w:r>
      <w:r w:rsidR="00CD64F0" w:rsidRPr="003B11BD">
        <w:rPr>
          <w:noProof/>
          <w:lang w:val="en-IE"/>
        </w:rPr>
        <w:t xml:space="preserve"> EU value chains increasingly interweave. </w:t>
      </w:r>
    </w:p>
    <w:p w14:paraId="12178E1C" w14:textId="335ED3AD" w:rsidR="00AA10B6" w:rsidRPr="003B11BD" w:rsidRDefault="00520E06" w:rsidP="000F1F12">
      <w:pPr>
        <w:rPr>
          <w:noProof/>
          <w:lang w:val="en-IE"/>
        </w:rPr>
      </w:pPr>
      <w:r w:rsidRPr="003B11BD">
        <w:rPr>
          <w:noProof/>
          <w:lang w:val="en-IE"/>
        </w:rPr>
        <w:t xml:space="preserve">This initiative is intended to </w:t>
      </w:r>
      <w:r w:rsidRPr="003B11BD">
        <w:rPr>
          <w:b/>
          <w:noProof/>
          <w:lang w:val="en-IE"/>
        </w:rPr>
        <w:t>increase the likelihood</w:t>
      </w:r>
      <w:r w:rsidR="00CD64F0" w:rsidRPr="003B11BD">
        <w:rPr>
          <w:b/>
          <w:noProof/>
          <w:lang w:val="en-IE"/>
        </w:rPr>
        <w:t xml:space="preserve"> of supply</w:t>
      </w:r>
      <w:r w:rsidRPr="003B11BD">
        <w:rPr>
          <w:b/>
          <w:noProof/>
          <w:lang w:val="en-IE"/>
        </w:rPr>
        <w:t xml:space="preserve"> and decrease the lead time of</w:t>
      </w:r>
      <w:r w:rsidR="006D3F9D" w:rsidRPr="003B11BD">
        <w:rPr>
          <w:b/>
          <w:noProof/>
          <w:lang w:val="en-IE"/>
        </w:rPr>
        <w:t xml:space="preserve"> such</w:t>
      </w:r>
      <w:r w:rsidRPr="003B11BD">
        <w:rPr>
          <w:b/>
          <w:noProof/>
          <w:lang w:val="en-IE"/>
        </w:rPr>
        <w:t xml:space="preserve"> supply of patent protected critical goods</w:t>
      </w:r>
      <w:r w:rsidRPr="003B11BD">
        <w:rPr>
          <w:noProof/>
          <w:lang w:val="en-IE"/>
        </w:rPr>
        <w:t>, should a cross</w:t>
      </w:r>
      <w:r w:rsidR="00CD64F0" w:rsidRPr="003B11BD">
        <w:rPr>
          <w:noProof/>
          <w:lang w:val="en-IE"/>
        </w:rPr>
        <w:t>-border crisis happen</w:t>
      </w:r>
      <w:r w:rsidRPr="003B11BD">
        <w:rPr>
          <w:noProof/>
          <w:lang w:val="en-IE"/>
        </w:rPr>
        <w:t>.</w:t>
      </w:r>
      <w:r w:rsidR="00CD64F0" w:rsidRPr="003B11BD">
        <w:rPr>
          <w:noProof/>
          <w:lang w:val="en-IE"/>
        </w:rPr>
        <w:t xml:space="preserve"> In a situation of a health or an environmental crisis, any improvement in the expected supply of</w:t>
      </w:r>
      <w:r w:rsidR="00DE72D8" w:rsidRPr="003B11BD">
        <w:rPr>
          <w:noProof/>
          <w:lang w:val="en-IE"/>
        </w:rPr>
        <w:t xml:space="preserve"> such</w:t>
      </w:r>
      <w:r w:rsidR="00CD64F0" w:rsidRPr="003B11BD">
        <w:rPr>
          <w:noProof/>
          <w:lang w:val="en-IE"/>
        </w:rPr>
        <w:t xml:space="preserve"> critical products – however marginal – generates economic and competitiveness benefits of macro-economic</w:t>
      </w:r>
      <w:r w:rsidR="00AA10B6" w:rsidRPr="003B11BD">
        <w:rPr>
          <w:noProof/>
          <w:lang w:val="en-IE"/>
        </w:rPr>
        <w:t xml:space="preserve"> proportions</w:t>
      </w:r>
      <w:r w:rsidR="00CD64F0" w:rsidRPr="003B11BD">
        <w:rPr>
          <w:noProof/>
          <w:lang w:val="en-IE"/>
        </w:rPr>
        <w:t>.</w:t>
      </w:r>
      <w:r w:rsidR="00CA6BD3" w:rsidRPr="003B11BD">
        <w:rPr>
          <w:noProof/>
          <w:lang w:val="en-IE"/>
        </w:rPr>
        <w:t xml:space="preserve"> That in itself trumps all other </w:t>
      </w:r>
      <w:r w:rsidR="00DE72D8" w:rsidRPr="003B11BD">
        <w:rPr>
          <w:noProof/>
          <w:lang w:val="en-IE"/>
        </w:rPr>
        <w:t xml:space="preserve">economic and </w:t>
      </w:r>
      <w:r w:rsidR="00CA6BD3" w:rsidRPr="003B11BD">
        <w:rPr>
          <w:noProof/>
          <w:lang w:val="en-IE"/>
        </w:rPr>
        <w:t xml:space="preserve">competitiveness effects. </w:t>
      </w:r>
    </w:p>
    <w:p w14:paraId="7D042376" w14:textId="3FE3AD59" w:rsidR="00FF2E91" w:rsidRPr="003B11BD" w:rsidRDefault="00F95666" w:rsidP="00D82AC1">
      <w:pPr>
        <w:rPr>
          <w:noProof/>
          <w:lang w:val="en-IE"/>
        </w:rPr>
      </w:pPr>
      <w:r w:rsidRPr="003B11BD">
        <w:rPr>
          <w:noProof/>
          <w:lang w:val="en-IE"/>
        </w:rPr>
        <w:t>Regarding the potential trade-off between keeping the incentives for innovation through IP protection</w:t>
      </w:r>
      <w:r w:rsidRPr="003B11BD">
        <w:rPr>
          <w:rStyle w:val="FootnoteReference"/>
          <w:noProof/>
          <w:lang w:val="en-IE"/>
        </w:rPr>
        <w:footnoteReference w:id="132"/>
      </w:r>
      <w:r w:rsidRPr="003B11BD">
        <w:rPr>
          <w:noProof/>
          <w:lang w:val="en-IE"/>
        </w:rPr>
        <w:t xml:space="preserve"> and ensuring at the same time access to critical products in cross-border crisis situations through compulsory licensing, it is possible that frequent recourse to compulsory licencing could in the long term carry the risk of dis-incentivising research and development</w:t>
      </w:r>
      <w:r w:rsidRPr="003B11BD">
        <w:rPr>
          <w:rStyle w:val="FootnoteReference"/>
          <w:noProof/>
          <w:lang w:val="en-IE"/>
        </w:rPr>
        <w:footnoteReference w:id="133"/>
      </w:r>
      <w:r w:rsidRPr="003B11BD">
        <w:rPr>
          <w:noProof/>
          <w:lang w:val="en-IE"/>
        </w:rPr>
        <w:t xml:space="preserve"> (i.e. compulsory licensing might have a chilling effect on innovation and investment by IP holders concerned, as it marginally reduces the overall revenues from innovation). However the likelihood of using a compulsory licence for crisis management is extremely low and its duration limited. Consequently, the potential revenue loss is expected to be negligible compared to the overall revenue from the patented product and the proposed initiative is not expected to impact long-term innovation investments of the patent holder. Furthermore,</w:t>
      </w:r>
      <w:r w:rsidR="00AA10B6" w:rsidRPr="003B11BD">
        <w:rPr>
          <w:noProof/>
          <w:lang w:val="en-IE"/>
        </w:rPr>
        <w:t xml:space="preserve"> </w:t>
      </w:r>
      <w:r w:rsidRPr="003B11BD">
        <w:rPr>
          <w:noProof/>
          <w:lang w:val="en-IE"/>
        </w:rPr>
        <w:t>o</w:t>
      </w:r>
      <w:r w:rsidR="00AA10B6" w:rsidRPr="003B11BD">
        <w:rPr>
          <w:noProof/>
          <w:lang w:val="en-IE"/>
        </w:rPr>
        <w:t xml:space="preserve">f import here is </w:t>
      </w:r>
      <w:r w:rsidR="00DE72D8" w:rsidRPr="003B11BD">
        <w:rPr>
          <w:noProof/>
          <w:lang w:val="en-IE"/>
        </w:rPr>
        <w:t>assessing</w:t>
      </w:r>
      <w:r w:rsidR="006D3F9D" w:rsidRPr="003B11BD">
        <w:rPr>
          <w:noProof/>
          <w:lang w:val="en-IE"/>
        </w:rPr>
        <w:t xml:space="preserve"> solely</w:t>
      </w:r>
      <w:r w:rsidR="00AA10B6" w:rsidRPr="003B11BD">
        <w:rPr>
          <w:noProof/>
          <w:lang w:val="en-IE"/>
        </w:rPr>
        <w:t xml:space="preserve"> the</w:t>
      </w:r>
      <w:r w:rsidR="006D3F9D" w:rsidRPr="003B11BD">
        <w:rPr>
          <w:noProof/>
          <w:lang w:val="en-IE"/>
        </w:rPr>
        <w:t xml:space="preserve"> incremental</w:t>
      </w:r>
      <w:r w:rsidR="00AA10B6" w:rsidRPr="003B11BD">
        <w:rPr>
          <w:noProof/>
          <w:lang w:val="en-IE"/>
        </w:rPr>
        <w:t xml:space="preserve"> impact of this initiative</w:t>
      </w:r>
      <w:r w:rsidR="006D3F9D" w:rsidRPr="003B11BD">
        <w:rPr>
          <w:noProof/>
          <w:lang w:val="en-IE"/>
        </w:rPr>
        <w:t>,</w:t>
      </w:r>
      <w:r w:rsidR="00DE72D8" w:rsidRPr="003B11BD">
        <w:rPr>
          <w:noProof/>
          <w:lang w:val="en-IE"/>
        </w:rPr>
        <w:t xml:space="preserve"> as compared to</w:t>
      </w:r>
      <w:r w:rsidR="00AA10B6" w:rsidRPr="003B11BD">
        <w:rPr>
          <w:noProof/>
          <w:lang w:val="en-IE"/>
        </w:rPr>
        <w:t xml:space="preserve"> the </w:t>
      </w:r>
      <w:r w:rsidR="00AA10B6" w:rsidRPr="003B11BD">
        <w:rPr>
          <w:i/>
          <w:iCs/>
          <w:noProof/>
          <w:lang w:val="en-IE"/>
        </w:rPr>
        <w:t>status quo</w:t>
      </w:r>
      <w:r w:rsidR="00AA10B6" w:rsidRPr="003B11BD">
        <w:rPr>
          <w:noProof/>
          <w:lang w:val="en-IE"/>
        </w:rPr>
        <w:t xml:space="preserve"> – namely the existence of national c</w:t>
      </w:r>
      <w:r w:rsidR="006D3F9D" w:rsidRPr="003B11BD">
        <w:rPr>
          <w:noProof/>
          <w:lang w:val="en-IE"/>
        </w:rPr>
        <w:t>ompulsory licences</w:t>
      </w:r>
      <w:r w:rsidR="00AA10B6" w:rsidRPr="003B11BD">
        <w:rPr>
          <w:noProof/>
          <w:lang w:val="en-IE"/>
        </w:rPr>
        <w:t>. This counterfactual boils down to the change in</w:t>
      </w:r>
      <w:r w:rsidR="006D3F9D" w:rsidRPr="003B11BD">
        <w:rPr>
          <w:noProof/>
          <w:lang w:val="en-IE"/>
        </w:rPr>
        <w:t xml:space="preserve"> the</w:t>
      </w:r>
      <w:r w:rsidR="00AA10B6" w:rsidRPr="003B11BD">
        <w:rPr>
          <w:noProof/>
          <w:lang w:val="en-IE"/>
        </w:rPr>
        <w:t xml:space="preserve"> frequency of compulsory licensing events and their size (volume of critical goods). On the one hand,</w:t>
      </w:r>
      <w:r w:rsidR="00C27C3C" w:rsidRPr="003B11BD">
        <w:rPr>
          <w:noProof/>
          <w:lang w:val="en-IE"/>
        </w:rPr>
        <w:t xml:space="preserve"> the</w:t>
      </w:r>
      <w:r w:rsidR="00DE72D8" w:rsidRPr="003B11BD">
        <w:rPr>
          <w:noProof/>
          <w:lang w:val="en-IE"/>
        </w:rPr>
        <w:t xml:space="preserve"> intended</w:t>
      </w:r>
      <w:r w:rsidR="00AA10B6" w:rsidRPr="003B11BD">
        <w:rPr>
          <w:noProof/>
          <w:lang w:val="en-IE"/>
        </w:rPr>
        <w:t xml:space="preserve"> streamlined and unitary</w:t>
      </w:r>
      <w:r w:rsidR="00DE72D8" w:rsidRPr="003B11BD">
        <w:rPr>
          <w:noProof/>
          <w:lang w:val="en-IE"/>
        </w:rPr>
        <w:t xml:space="preserve"> EU</w:t>
      </w:r>
      <w:r w:rsidR="00AA10B6" w:rsidRPr="003B11BD">
        <w:rPr>
          <w:noProof/>
          <w:lang w:val="en-IE"/>
        </w:rPr>
        <w:t xml:space="preserve"> compulsory licensing procedures lower the </w:t>
      </w:r>
      <w:r w:rsidR="009E5071" w:rsidRPr="003B11BD">
        <w:rPr>
          <w:noProof/>
          <w:lang w:val="en-IE"/>
        </w:rPr>
        <w:t>compliance and enforcement</w:t>
      </w:r>
      <w:r w:rsidR="00AA10B6" w:rsidRPr="003B11BD">
        <w:rPr>
          <w:noProof/>
          <w:lang w:val="en-IE"/>
        </w:rPr>
        <w:t xml:space="preserve"> cost</w:t>
      </w:r>
      <w:r w:rsidR="00DE72D8" w:rsidRPr="003B11BD">
        <w:rPr>
          <w:noProof/>
          <w:lang w:val="en-IE"/>
        </w:rPr>
        <w:t xml:space="preserve"> of their launch</w:t>
      </w:r>
      <w:r w:rsidR="00AA10B6" w:rsidRPr="003B11BD">
        <w:rPr>
          <w:noProof/>
          <w:lang w:val="en-IE"/>
        </w:rPr>
        <w:t>. O</w:t>
      </w:r>
      <w:r w:rsidR="006D3F9D" w:rsidRPr="003B11BD">
        <w:rPr>
          <w:noProof/>
          <w:lang w:val="en-IE"/>
        </w:rPr>
        <w:t>n</w:t>
      </w:r>
      <w:r w:rsidR="00897B2E" w:rsidRPr="003B11BD">
        <w:rPr>
          <w:noProof/>
          <w:lang w:val="en-IE"/>
        </w:rPr>
        <w:t xml:space="preserve"> the other hand, this weakens the case for dis-coordinated national compulsory licences and increases the incentive</w:t>
      </w:r>
      <w:r w:rsidR="00AA10B6" w:rsidRPr="003B11BD">
        <w:rPr>
          <w:noProof/>
          <w:lang w:val="en-IE"/>
        </w:rPr>
        <w:t xml:space="preserve"> for voluntary solutions (deterrence</w:t>
      </w:r>
      <w:r w:rsidR="00897B2E" w:rsidRPr="003B11BD">
        <w:rPr>
          <w:noProof/>
          <w:lang w:val="en-IE"/>
        </w:rPr>
        <w:t xml:space="preserve"> effect</w:t>
      </w:r>
      <w:r w:rsidR="00AA10B6" w:rsidRPr="003B11BD">
        <w:rPr>
          <w:noProof/>
          <w:lang w:val="en-IE"/>
        </w:rPr>
        <w:t xml:space="preserve">). When it comes to the volume of goods produced under a compulsory licence, the demand for critical goods is </w:t>
      </w:r>
      <w:r w:rsidR="00CA6BD3" w:rsidRPr="003B11BD">
        <w:rPr>
          <w:noProof/>
          <w:lang w:val="en-IE"/>
        </w:rPr>
        <w:t>fairly fixed</w:t>
      </w:r>
      <w:r w:rsidR="00897B2E" w:rsidRPr="003B11BD">
        <w:rPr>
          <w:noProof/>
          <w:lang w:val="en-IE"/>
        </w:rPr>
        <w:t>,</w:t>
      </w:r>
      <w:r w:rsidR="00CA6BD3" w:rsidRPr="003B11BD">
        <w:rPr>
          <w:noProof/>
          <w:lang w:val="en-IE"/>
        </w:rPr>
        <w:t xml:space="preserve"> by the number of EU citizens in need in a crisis situation. </w:t>
      </w:r>
      <w:r w:rsidR="2CEEAD0F" w:rsidRPr="003B11BD">
        <w:rPr>
          <w:noProof/>
          <w:lang w:val="en-IE"/>
        </w:rPr>
        <w:t>Yet,</w:t>
      </w:r>
      <w:r w:rsidR="00AA10B6" w:rsidRPr="003B11BD" w:rsidDel="00E720EE">
        <w:rPr>
          <w:noProof/>
          <w:lang w:val="en-IE"/>
        </w:rPr>
        <w:t xml:space="preserve"> </w:t>
      </w:r>
      <w:r w:rsidR="00E720EE" w:rsidRPr="003B11BD">
        <w:rPr>
          <w:noProof/>
          <w:lang w:val="en-IE"/>
        </w:rPr>
        <w:t xml:space="preserve">given the scope of proposed alignment (depending on the option) </w:t>
      </w:r>
      <w:r w:rsidR="00AA10B6" w:rsidRPr="003B11BD">
        <w:rPr>
          <w:noProof/>
          <w:lang w:val="en-IE"/>
        </w:rPr>
        <w:t xml:space="preserve">compulsory licences </w:t>
      </w:r>
      <w:r w:rsidR="2CEEAD0F" w:rsidRPr="003B11BD">
        <w:rPr>
          <w:noProof/>
          <w:lang w:val="en-IE"/>
        </w:rPr>
        <w:t>c</w:t>
      </w:r>
      <w:r w:rsidR="54837D0B" w:rsidRPr="003B11BD">
        <w:rPr>
          <w:noProof/>
          <w:lang w:val="en-IE"/>
        </w:rPr>
        <w:t>ould</w:t>
      </w:r>
      <w:r w:rsidR="00085FFB" w:rsidRPr="003B11BD">
        <w:rPr>
          <w:noProof/>
          <w:lang w:val="en-IE"/>
        </w:rPr>
        <w:t xml:space="preserve"> cover</w:t>
      </w:r>
      <w:r w:rsidR="00E720EE" w:rsidRPr="003B11BD">
        <w:rPr>
          <w:noProof/>
          <w:lang w:val="en-IE"/>
        </w:rPr>
        <w:t xml:space="preserve"> wider geographic scope</w:t>
      </w:r>
      <w:r w:rsidR="00DE72D8" w:rsidRPr="003B11BD" w:rsidDel="001F2FCB">
        <w:rPr>
          <w:noProof/>
          <w:lang w:val="en-IE"/>
        </w:rPr>
        <w:t xml:space="preserve">, </w:t>
      </w:r>
      <w:r w:rsidR="00CA6BD3" w:rsidRPr="003B11BD">
        <w:rPr>
          <w:noProof/>
          <w:lang w:val="en-IE"/>
        </w:rPr>
        <w:t>as</w:t>
      </w:r>
      <w:r w:rsidR="00E720EE" w:rsidRPr="003B11BD">
        <w:rPr>
          <w:noProof/>
          <w:lang w:val="en-IE"/>
        </w:rPr>
        <w:t xml:space="preserve"> </w:t>
      </w:r>
      <w:r w:rsidR="00CA6BD3" w:rsidRPr="003B11BD">
        <w:rPr>
          <w:noProof/>
          <w:lang w:val="en-IE"/>
        </w:rPr>
        <w:t>compared to the baseline</w:t>
      </w:r>
      <w:r w:rsidR="005D5B84" w:rsidRPr="003B11BD">
        <w:rPr>
          <w:noProof/>
          <w:lang w:val="en-IE"/>
        </w:rPr>
        <w:t>,</w:t>
      </w:r>
      <w:r w:rsidR="00CA6BD3" w:rsidRPr="003B11BD" w:rsidDel="00E720EE">
        <w:rPr>
          <w:noProof/>
          <w:lang w:val="en-IE"/>
        </w:rPr>
        <w:t xml:space="preserve"> </w:t>
      </w:r>
      <w:r w:rsidR="00E720EE" w:rsidRPr="003B11BD">
        <w:rPr>
          <w:noProof/>
          <w:lang w:val="en-IE"/>
        </w:rPr>
        <w:t>because some previously existing differences in national rules would be removed (e.g. embargos, exemptions in</w:t>
      </w:r>
      <w:r w:rsidR="001F2FCB" w:rsidRPr="003B11BD">
        <w:rPr>
          <w:noProof/>
          <w:lang w:val="en-IE"/>
        </w:rPr>
        <w:t xml:space="preserve"> material scope or sectorial coverage, </w:t>
      </w:r>
      <w:r w:rsidR="00E720EE" w:rsidRPr="003B11BD">
        <w:rPr>
          <w:noProof/>
          <w:lang w:val="en-IE"/>
        </w:rPr>
        <w:t>etc.)</w:t>
      </w:r>
      <w:r w:rsidR="00AA10B6" w:rsidRPr="003B11BD">
        <w:rPr>
          <w:noProof/>
          <w:lang w:val="en-IE"/>
        </w:rPr>
        <w:t xml:space="preserve">. </w:t>
      </w:r>
      <w:r w:rsidR="001F2FCB" w:rsidRPr="003B11BD">
        <w:rPr>
          <w:noProof/>
          <w:lang w:val="en-IE"/>
        </w:rPr>
        <w:t xml:space="preserve">This may imply that </w:t>
      </w:r>
      <w:r w:rsidR="005D5B84" w:rsidRPr="003B11BD">
        <w:rPr>
          <w:noProof/>
          <w:lang w:val="en-IE"/>
        </w:rPr>
        <w:t xml:space="preserve">a </w:t>
      </w:r>
      <w:r w:rsidR="001F2FCB" w:rsidRPr="003B11BD">
        <w:rPr>
          <w:noProof/>
          <w:lang w:val="en-IE"/>
        </w:rPr>
        <w:t xml:space="preserve">greater volume of goods may be ultimately affected. </w:t>
      </w:r>
      <w:r w:rsidR="00E720EE" w:rsidRPr="003B11BD">
        <w:rPr>
          <w:noProof/>
          <w:lang w:val="en-IE"/>
        </w:rPr>
        <w:t xml:space="preserve">Still, the new </w:t>
      </w:r>
      <w:r w:rsidR="00E6068C" w:rsidRPr="003B11BD">
        <w:rPr>
          <w:noProof/>
          <w:lang w:val="en-IE"/>
        </w:rPr>
        <w:t xml:space="preserve">compulsory licensing </w:t>
      </w:r>
      <w:r w:rsidR="000F74AF" w:rsidRPr="003B11BD">
        <w:rPr>
          <w:noProof/>
          <w:lang w:val="en-IE"/>
        </w:rPr>
        <w:t>rules</w:t>
      </w:r>
      <w:r w:rsidR="00E720EE" w:rsidRPr="003B11BD">
        <w:rPr>
          <w:noProof/>
          <w:lang w:val="en-IE"/>
        </w:rPr>
        <w:t xml:space="preserve"> would become </w:t>
      </w:r>
      <w:r w:rsidR="00AA10B6" w:rsidRPr="003B11BD">
        <w:rPr>
          <w:noProof/>
          <w:lang w:val="en-IE"/>
        </w:rPr>
        <w:t xml:space="preserve">more orderly and predictable, </w:t>
      </w:r>
      <w:r w:rsidR="00AA10B6" w:rsidRPr="003B11BD" w:rsidDel="000F74AF">
        <w:rPr>
          <w:noProof/>
          <w:lang w:val="en-IE"/>
        </w:rPr>
        <w:t xml:space="preserve">which </w:t>
      </w:r>
      <w:r w:rsidR="00AA10B6" w:rsidRPr="003B11BD">
        <w:rPr>
          <w:noProof/>
          <w:lang w:val="en-IE"/>
        </w:rPr>
        <w:t xml:space="preserve">– if anything – should </w:t>
      </w:r>
      <w:r w:rsidR="00897B2E" w:rsidRPr="003B11BD">
        <w:rPr>
          <w:noProof/>
          <w:lang w:val="en-IE"/>
        </w:rPr>
        <w:t>make the</w:t>
      </w:r>
      <w:r w:rsidR="00AA10B6" w:rsidRPr="003B11BD">
        <w:rPr>
          <w:noProof/>
          <w:lang w:val="en-IE"/>
        </w:rPr>
        <w:t xml:space="preserve"> business climate more amendable to innovation and investment. </w:t>
      </w:r>
    </w:p>
    <w:p w14:paraId="063440FA" w14:textId="627769BE" w:rsidR="00520E06" w:rsidRPr="003B11BD" w:rsidRDefault="00476D0E" w:rsidP="00F766C7">
      <w:pPr>
        <w:rPr>
          <w:noProof/>
          <w:lang w:val="en-IE"/>
        </w:rPr>
      </w:pPr>
      <w:r w:rsidRPr="003B11BD">
        <w:rPr>
          <w:noProof/>
          <w:lang w:val="en-IE"/>
        </w:rPr>
        <w:t xml:space="preserve">Last but not least, </w:t>
      </w:r>
      <w:r w:rsidR="005E2F84" w:rsidRPr="003B11BD">
        <w:rPr>
          <w:noProof/>
          <w:lang w:val="en-IE"/>
        </w:rPr>
        <w:t>a</w:t>
      </w:r>
      <w:r w:rsidRPr="003B11BD">
        <w:rPr>
          <w:noProof/>
          <w:lang w:val="en-IE"/>
        </w:rPr>
        <w:t>n orderly and modern regime for an EU compulsory licence should provide comfort to the civil society that in case of need critical goods will be effectively</w:t>
      </w:r>
      <w:r w:rsidR="00897B2E" w:rsidRPr="003B11BD">
        <w:rPr>
          <w:noProof/>
          <w:lang w:val="en-IE"/>
        </w:rPr>
        <w:t xml:space="preserve"> and swiftly</w:t>
      </w:r>
      <w:r w:rsidRPr="003B11BD">
        <w:rPr>
          <w:noProof/>
          <w:lang w:val="en-IE"/>
        </w:rPr>
        <w:t xml:space="preserve"> supplied. </w:t>
      </w:r>
      <w:r w:rsidR="005E2F84" w:rsidRPr="003B11BD">
        <w:rPr>
          <w:noProof/>
          <w:lang w:val="en-IE"/>
        </w:rPr>
        <w:t xml:space="preserve">This also </w:t>
      </w:r>
      <w:r w:rsidR="00DD5364" w:rsidRPr="003B11BD">
        <w:rPr>
          <w:noProof/>
          <w:lang w:val="en-IE"/>
        </w:rPr>
        <w:t>allows</w:t>
      </w:r>
      <w:r w:rsidR="005E2F84" w:rsidRPr="003B11BD">
        <w:rPr>
          <w:noProof/>
          <w:lang w:val="en-IE"/>
        </w:rPr>
        <w:t xml:space="preserve"> </w:t>
      </w:r>
      <w:r w:rsidR="00407414" w:rsidRPr="003B11BD">
        <w:rPr>
          <w:noProof/>
          <w:lang w:val="en-IE"/>
        </w:rPr>
        <w:t>a predictable and TRIPS compliant compulsory licensing scheme</w:t>
      </w:r>
      <w:r w:rsidR="00424C8B" w:rsidRPr="003B11BD">
        <w:rPr>
          <w:noProof/>
          <w:lang w:val="en-IE"/>
        </w:rPr>
        <w:t xml:space="preserve"> in the EU</w:t>
      </w:r>
      <w:r w:rsidRPr="003B11BD">
        <w:rPr>
          <w:noProof/>
          <w:lang w:val="en-IE"/>
        </w:rPr>
        <w:t>, which should</w:t>
      </w:r>
      <w:r w:rsidR="00DE72D8" w:rsidRPr="003B11BD">
        <w:rPr>
          <w:noProof/>
          <w:lang w:val="en-IE"/>
        </w:rPr>
        <w:t xml:space="preserve"> prove</w:t>
      </w:r>
      <w:r w:rsidRPr="003B11BD">
        <w:rPr>
          <w:noProof/>
          <w:lang w:val="en-IE"/>
        </w:rPr>
        <w:t xml:space="preserve"> beneficial to EU competitiveness and licensors alike. </w:t>
      </w:r>
    </w:p>
    <w:p w14:paraId="46B38D23" w14:textId="3395A081" w:rsidR="000707F5" w:rsidRPr="003B11BD" w:rsidRDefault="008D0097" w:rsidP="00ED49E6">
      <w:pPr>
        <w:pStyle w:val="Heading3"/>
        <w:rPr>
          <w:noProof/>
        </w:rPr>
      </w:pPr>
      <w:bookmarkStart w:id="961" w:name="_Toc133435393"/>
      <w:r w:rsidRPr="003B11BD">
        <w:rPr>
          <w:noProof/>
        </w:rPr>
        <w:t xml:space="preserve">Summary of </w:t>
      </w:r>
      <w:r w:rsidR="000707F5" w:rsidRPr="003B11BD">
        <w:rPr>
          <w:noProof/>
        </w:rPr>
        <w:t>cost and benefits</w:t>
      </w:r>
      <w:r w:rsidR="004D6435" w:rsidRPr="003B11BD">
        <w:rPr>
          <w:noProof/>
        </w:rPr>
        <w:t xml:space="preserve"> specific to</w:t>
      </w:r>
      <w:r w:rsidRPr="003B11BD">
        <w:rPr>
          <w:noProof/>
        </w:rPr>
        <w:t xml:space="preserve"> the </w:t>
      </w:r>
      <w:r w:rsidR="00B75416" w:rsidRPr="003B11BD">
        <w:rPr>
          <w:noProof/>
        </w:rPr>
        <w:t xml:space="preserve">compulsory licensing </w:t>
      </w:r>
      <w:r w:rsidRPr="003B11BD">
        <w:rPr>
          <w:noProof/>
        </w:rPr>
        <w:t>procedures</w:t>
      </w:r>
      <w:bookmarkEnd w:id="957"/>
      <w:bookmarkEnd w:id="958"/>
      <w:bookmarkEnd w:id="959"/>
      <w:bookmarkEnd w:id="960"/>
      <w:bookmarkEnd w:id="961"/>
    </w:p>
    <w:p w14:paraId="402E8764" w14:textId="260577E2" w:rsidR="00EA04F7" w:rsidRPr="003B11BD" w:rsidRDefault="00722587" w:rsidP="00A50CC8">
      <w:pPr>
        <w:rPr>
          <w:noProof/>
          <w:lang w:val="en-IE"/>
        </w:rPr>
      </w:pPr>
      <w:r w:rsidRPr="003B11BD">
        <w:rPr>
          <w:noProof/>
          <w:lang w:val="en-IE"/>
        </w:rPr>
        <w:t>The</w:t>
      </w:r>
      <w:r w:rsidR="000707F5" w:rsidRPr="003B11BD">
        <w:rPr>
          <w:noProof/>
          <w:lang w:val="en-IE"/>
        </w:rPr>
        <w:t xml:space="preserve"> costs and benefits </w:t>
      </w:r>
      <w:r w:rsidRPr="003B11BD">
        <w:rPr>
          <w:noProof/>
          <w:lang w:val="en-IE"/>
        </w:rPr>
        <w:t>specific to</w:t>
      </w:r>
      <w:r w:rsidR="000C498E" w:rsidRPr="003B11BD">
        <w:rPr>
          <w:noProof/>
          <w:lang w:val="en-IE"/>
        </w:rPr>
        <w:t xml:space="preserve"> compulsory licensing</w:t>
      </w:r>
      <w:r w:rsidRPr="003B11BD">
        <w:rPr>
          <w:noProof/>
          <w:lang w:val="en-IE"/>
        </w:rPr>
        <w:t xml:space="preserve"> procedures and </w:t>
      </w:r>
      <w:r w:rsidR="000707F5" w:rsidRPr="003B11BD">
        <w:rPr>
          <w:noProof/>
          <w:lang w:val="en-IE"/>
        </w:rPr>
        <w:t>identified across all four options, can be grouped into the followi</w:t>
      </w:r>
      <w:r w:rsidR="00605724" w:rsidRPr="003B11BD">
        <w:rPr>
          <w:noProof/>
          <w:lang w:val="en-IE"/>
        </w:rPr>
        <w:t>ng main categories</w:t>
      </w:r>
      <w:r w:rsidRPr="003B11BD">
        <w:rPr>
          <w:noProof/>
          <w:lang w:val="en-IE"/>
        </w:rPr>
        <w:t>:</w:t>
      </w:r>
      <w:r w:rsidR="00605724" w:rsidRPr="003B11BD">
        <w:rPr>
          <w:noProof/>
          <w:lang w:val="en-IE"/>
        </w:rPr>
        <w:t xml:space="preserve"> one-off and recurrent</w:t>
      </w:r>
      <w:r w:rsidR="002949BA" w:rsidRPr="003B11BD">
        <w:rPr>
          <w:noProof/>
          <w:lang w:val="en-IE"/>
        </w:rPr>
        <w:t xml:space="preserve"> costs/</w:t>
      </w:r>
      <w:r w:rsidR="00605724" w:rsidRPr="003B11BD">
        <w:rPr>
          <w:noProof/>
          <w:lang w:val="en-IE"/>
        </w:rPr>
        <w:t>benefits</w:t>
      </w:r>
      <w:r w:rsidR="00EC059D" w:rsidRPr="003B11BD">
        <w:rPr>
          <w:noProof/>
          <w:lang w:val="en-IE"/>
        </w:rPr>
        <w:t xml:space="preserve"> </w:t>
      </w:r>
      <w:r w:rsidR="00001C33" w:rsidRPr="00001C33">
        <w:rPr>
          <w:noProof/>
          <w:lang w:val="en-IE"/>
        </w:rPr>
        <w:t>(see Figure 24, Annex 6).</w:t>
      </w:r>
    </w:p>
    <w:p w14:paraId="28227F56" w14:textId="77777777" w:rsidR="00BD2D6D" w:rsidRPr="003B11BD" w:rsidRDefault="00605724" w:rsidP="000707F5">
      <w:pPr>
        <w:rPr>
          <w:noProof/>
          <w:lang w:val="en-IE"/>
        </w:rPr>
      </w:pPr>
      <w:r w:rsidRPr="003B11BD">
        <w:rPr>
          <w:noProof/>
          <w:lang w:val="en-IE"/>
        </w:rPr>
        <w:t xml:space="preserve">The </w:t>
      </w:r>
      <w:r w:rsidRPr="003B11BD">
        <w:rPr>
          <w:b/>
          <w:noProof/>
          <w:lang w:val="en-IE"/>
        </w:rPr>
        <w:t>one-off</w:t>
      </w:r>
      <w:r w:rsidRPr="003B11BD">
        <w:rPr>
          <w:noProof/>
          <w:lang w:val="en-IE"/>
        </w:rPr>
        <w:t xml:space="preserve"> </w:t>
      </w:r>
      <w:r w:rsidR="002949BA" w:rsidRPr="003B11BD">
        <w:rPr>
          <w:noProof/>
          <w:lang w:val="en-IE"/>
        </w:rPr>
        <w:t xml:space="preserve">implications consist of </w:t>
      </w:r>
      <w:r w:rsidRPr="003B11BD">
        <w:rPr>
          <w:noProof/>
          <w:lang w:val="en-IE"/>
        </w:rPr>
        <w:t xml:space="preserve">cost </w:t>
      </w:r>
      <w:r w:rsidR="002949BA" w:rsidRPr="003B11BD">
        <w:rPr>
          <w:noProof/>
          <w:lang w:val="en-IE"/>
        </w:rPr>
        <w:t xml:space="preserve">that </w:t>
      </w:r>
      <w:r w:rsidRPr="003B11BD">
        <w:rPr>
          <w:noProof/>
          <w:lang w:val="en-IE"/>
        </w:rPr>
        <w:t>w</w:t>
      </w:r>
      <w:r w:rsidR="00AF1AE1" w:rsidRPr="003B11BD">
        <w:rPr>
          <w:noProof/>
          <w:lang w:val="en-IE"/>
        </w:rPr>
        <w:t>ould</w:t>
      </w:r>
      <w:r w:rsidRPr="003B11BD">
        <w:rPr>
          <w:noProof/>
          <w:lang w:val="en-IE"/>
        </w:rPr>
        <w:t xml:space="preserve"> be born</w:t>
      </w:r>
      <w:r w:rsidR="00AF1AE1" w:rsidRPr="003B11BD">
        <w:rPr>
          <w:noProof/>
          <w:lang w:val="en-IE"/>
        </w:rPr>
        <w:t>e</w:t>
      </w:r>
      <w:r w:rsidRPr="003B11BD">
        <w:rPr>
          <w:noProof/>
          <w:lang w:val="en-IE"/>
        </w:rPr>
        <w:t xml:space="preserve"> shortly after the </w:t>
      </w:r>
      <w:r w:rsidR="00AF1AE1" w:rsidRPr="003B11BD">
        <w:rPr>
          <w:noProof/>
          <w:lang w:val="en-IE"/>
        </w:rPr>
        <w:t>proposed instrument</w:t>
      </w:r>
      <w:r w:rsidR="00792E3B" w:rsidRPr="003B11BD">
        <w:rPr>
          <w:noProof/>
          <w:lang w:val="en-IE"/>
        </w:rPr>
        <w:t xml:space="preserve"> enter</w:t>
      </w:r>
      <w:r w:rsidR="00AF1AE1" w:rsidRPr="003B11BD">
        <w:rPr>
          <w:noProof/>
          <w:lang w:val="en-IE"/>
        </w:rPr>
        <w:t>s</w:t>
      </w:r>
      <w:r w:rsidR="00792E3B" w:rsidRPr="003B11BD">
        <w:rPr>
          <w:noProof/>
          <w:lang w:val="en-IE"/>
        </w:rPr>
        <w:t xml:space="preserve"> into force (e.g. the </w:t>
      </w:r>
      <w:r w:rsidRPr="003B11BD">
        <w:rPr>
          <w:noProof/>
          <w:lang w:val="en-IE"/>
        </w:rPr>
        <w:t xml:space="preserve">legislation </w:t>
      </w:r>
      <w:r w:rsidR="002949BA" w:rsidRPr="003B11BD">
        <w:rPr>
          <w:noProof/>
          <w:lang w:val="en-IE"/>
        </w:rPr>
        <w:t>is enacted</w:t>
      </w:r>
      <w:r w:rsidR="00792E3B" w:rsidRPr="003B11BD">
        <w:rPr>
          <w:noProof/>
          <w:lang w:val="en-IE"/>
        </w:rPr>
        <w:t>)</w:t>
      </w:r>
      <w:r w:rsidR="002949BA" w:rsidRPr="003B11BD">
        <w:rPr>
          <w:noProof/>
          <w:lang w:val="en-IE"/>
        </w:rPr>
        <w:t>. They would</w:t>
      </w:r>
      <w:r w:rsidRPr="003B11BD">
        <w:rPr>
          <w:noProof/>
          <w:lang w:val="en-IE"/>
        </w:rPr>
        <w:t xml:space="preserve"> mainly focus on direct compliance costs for the authorities</w:t>
      </w:r>
      <w:r w:rsidR="00EA04F7" w:rsidRPr="003B11BD">
        <w:rPr>
          <w:noProof/>
          <w:lang w:val="en-IE"/>
        </w:rPr>
        <w:t xml:space="preserve"> (Member States and the </w:t>
      </w:r>
      <w:r w:rsidR="00926FD8" w:rsidRPr="003B11BD">
        <w:rPr>
          <w:noProof/>
          <w:lang w:val="en-IE"/>
        </w:rPr>
        <w:t>EU institutions</w:t>
      </w:r>
      <w:r w:rsidR="00EA04F7" w:rsidRPr="003B11BD">
        <w:rPr>
          <w:noProof/>
          <w:lang w:val="en-IE"/>
        </w:rPr>
        <w:t>)</w:t>
      </w:r>
      <w:r w:rsidRPr="003B11BD">
        <w:rPr>
          <w:noProof/>
          <w:lang w:val="en-IE"/>
        </w:rPr>
        <w:t xml:space="preserve">, linked with the </w:t>
      </w:r>
      <w:r w:rsidR="00792E3B" w:rsidRPr="003B11BD">
        <w:rPr>
          <w:noProof/>
          <w:lang w:val="en-IE"/>
        </w:rPr>
        <w:t>need to adjust</w:t>
      </w:r>
      <w:r w:rsidRPr="003B11BD">
        <w:rPr>
          <w:noProof/>
          <w:lang w:val="en-IE"/>
        </w:rPr>
        <w:t xml:space="preserve"> the existing legal provisions on C</w:t>
      </w:r>
      <w:r w:rsidR="00926FD8" w:rsidRPr="003B11BD">
        <w:rPr>
          <w:noProof/>
          <w:lang w:val="en-IE"/>
        </w:rPr>
        <w:t xml:space="preserve">L. It </w:t>
      </w:r>
      <w:r w:rsidRPr="003B11BD">
        <w:rPr>
          <w:noProof/>
          <w:lang w:val="en-IE"/>
        </w:rPr>
        <w:t>mainly</w:t>
      </w:r>
      <w:r w:rsidR="00926FD8" w:rsidRPr="003B11BD">
        <w:rPr>
          <w:noProof/>
          <w:lang w:val="en-IE"/>
        </w:rPr>
        <w:t xml:space="preserve"> affects </w:t>
      </w:r>
      <w:r w:rsidRPr="003B11BD">
        <w:rPr>
          <w:noProof/>
          <w:lang w:val="en-IE"/>
        </w:rPr>
        <w:t>PO2 to PO4, as PO1 is voluntary so the extent of such acti</w:t>
      </w:r>
      <w:r w:rsidR="00926FD8" w:rsidRPr="003B11BD">
        <w:rPr>
          <w:noProof/>
          <w:lang w:val="en-IE"/>
        </w:rPr>
        <w:t>ons is unknown</w:t>
      </w:r>
      <w:r w:rsidRPr="003B11BD">
        <w:rPr>
          <w:noProof/>
          <w:lang w:val="en-IE"/>
        </w:rPr>
        <w:t xml:space="preserve">. </w:t>
      </w:r>
      <w:r w:rsidR="006D6A17" w:rsidRPr="003B11BD">
        <w:rPr>
          <w:noProof/>
          <w:lang w:val="en-IE"/>
        </w:rPr>
        <w:t xml:space="preserve">As far as the Commission is concerned, we assume that the activity of developing new recommendations or legislation forms part of its normal activities. </w:t>
      </w:r>
      <w:r w:rsidRPr="003B11BD">
        <w:rPr>
          <w:noProof/>
          <w:lang w:val="en-IE"/>
        </w:rPr>
        <w:t xml:space="preserve">There will be no one-off </w:t>
      </w:r>
      <w:r w:rsidR="002949BA" w:rsidRPr="003B11BD">
        <w:rPr>
          <w:noProof/>
          <w:lang w:val="en-IE"/>
        </w:rPr>
        <w:t>direct</w:t>
      </w:r>
      <w:r w:rsidRPr="003B11BD">
        <w:rPr>
          <w:noProof/>
          <w:lang w:val="en-IE"/>
        </w:rPr>
        <w:t xml:space="preserve"> adjustment cost for firms.</w:t>
      </w:r>
      <w:r w:rsidR="002949BA" w:rsidRPr="003B11BD">
        <w:rPr>
          <w:noProof/>
          <w:lang w:val="en-IE"/>
        </w:rPr>
        <w:t xml:space="preserve"> There will be no one-off</w:t>
      </w:r>
      <w:r w:rsidR="00EA0BBB" w:rsidRPr="003B11BD">
        <w:rPr>
          <w:noProof/>
          <w:lang w:val="en-IE"/>
        </w:rPr>
        <w:t xml:space="preserve"> direct</w:t>
      </w:r>
      <w:r w:rsidR="002949BA" w:rsidRPr="003B11BD">
        <w:rPr>
          <w:noProof/>
          <w:lang w:val="en-IE"/>
        </w:rPr>
        <w:t xml:space="preserve"> benefits of the proposal</w:t>
      </w:r>
      <w:r w:rsidR="00827C9F" w:rsidRPr="003B11BD">
        <w:rPr>
          <w:noProof/>
          <w:lang w:val="en-IE"/>
        </w:rPr>
        <w:t xml:space="preserve"> either</w:t>
      </w:r>
      <w:r w:rsidR="002949BA" w:rsidRPr="003B11BD">
        <w:rPr>
          <w:noProof/>
          <w:lang w:val="en-IE"/>
        </w:rPr>
        <w:t>.</w:t>
      </w:r>
      <w:r w:rsidR="00926FD8" w:rsidRPr="003B11BD">
        <w:rPr>
          <w:noProof/>
          <w:lang w:val="en-IE"/>
        </w:rPr>
        <w:t xml:space="preserve"> </w:t>
      </w:r>
    </w:p>
    <w:p w14:paraId="3CDF0604" w14:textId="73694254" w:rsidR="00605724" w:rsidRPr="003B11BD" w:rsidRDefault="002949BA" w:rsidP="000707F5">
      <w:pPr>
        <w:rPr>
          <w:noProof/>
          <w:lang w:val="en-IE"/>
        </w:rPr>
      </w:pPr>
      <w:r w:rsidRPr="003B11BD">
        <w:rPr>
          <w:noProof/>
          <w:lang w:val="en-IE"/>
        </w:rPr>
        <w:t>As for the s</w:t>
      </w:r>
      <w:r w:rsidR="000C498E" w:rsidRPr="003B11BD">
        <w:rPr>
          <w:noProof/>
          <w:lang w:val="en-IE"/>
        </w:rPr>
        <w:t>econd</w:t>
      </w:r>
      <w:r w:rsidR="00605724" w:rsidRPr="003B11BD">
        <w:rPr>
          <w:noProof/>
          <w:lang w:val="en-IE"/>
        </w:rPr>
        <w:t xml:space="preserve"> category of co</w:t>
      </w:r>
      <w:r w:rsidR="00EA04F7" w:rsidRPr="003B11BD">
        <w:rPr>
          <w:noProof/>
          <w:lang w:val="en-IE"/>
        </w:rPr>
        <w:t>st/</w:t>
      </w:r>
      <w:r w:rsidRPr="003B11BD">
        <w:rPr>
          <w:noProof/>
          <w:lang w:val="en-IE"/>
        </w:rPr>
        <w:t>benefits</w:t>
      </w:r>
      <w:r w:rsidR="00EA04F7" w:rsidRPr="003B11BD">
        <w:rPr>
          <w:noProof/>
          <w:lang w:val="en-IE"/>
        </w:rPr>
        <w:t xml:space="preserve">, namely the </w:t>
      </w:r>
      <w:r w:rsidR="00EA04F7" w:rsidRPr="003B11BD">
        <w:rPr>
          <w:b/>
          <w:noProof/>
          <w:lang w:val="en-IE"/>
        </w:rPr>
        <w:t>recurrent</w:t>
      </w:r>
      <w:r w:rsidR="00F03FB4" w:rsidRPr="003B11BD">
        <w:rPr>
          <w:noProof/>
          <w:lang w:val="en-IE"/>
        </w:rPr>
        <w:t xml:space="preserve"> ones</w:t>
      </w:r>
      <w:r w:rsidR="00573EEF" w:rsidRPr="003B11BD">
        <w:rPr>
          <w:noProof/>
          <w:lang w:val="en-IE"/>
        </w:rPr>
        <w:t>,</w:t>
      </w:r>
      <w:r w:rsidR="00EA04F7" w:rsidRPr="003B11BD">
        <w:rPr>
          <w:noProof/>
          <w:lang w:val="en-IE"/>
        </w:rPr>
        <w:t xml:space="preserve"> th</w:t>
      </w:r>
      <w:r w:rsidR="00573EEF" w:rsidRPr="003B11BD">
        <w:rPr>
          <w:noProof/>
          <w:lang w:val="en-IE"/>
        </w:rPr>
        <w:t>ey</w:t>
      </w:r>
      <w:r w:rsidR="00EA04F7" w:rsidRPr="003B11BD">
        <w:rPr>
          <w:noProof/>
          <w:lang w:val="en-IE"/>
        </w:rPr>
        <w:t xml:space="preserve"> would occur only if </w:t>
      </w:r>
      <w:r w:rsidR="000C498E" w:rsidRPr="003B11BD">
        <w:rPr>
          <w:noProof/>
          <w:lang w:val="en-IE"/>
        </w:rPr>
        <w:t>a cross-border crisis hits</w:t>
      </w:r>
      <w:r w:rsidR="00EA04F7" w:rsidRPr="003B11BD">
        <w:rPr>
          <w:noProof/>
          <w:lang w:val="en-IE"/>
        </w:rPr>
        <w:t xml:space="preserve"> the EU and they would con</w:t>
      </w:r>
      <w:r w:rsidR="000C498E" w:rsidRPr="003B11BD">
        <w:rPr>
          <w:noProof/>
          <w:lang w:val="en-IE"/>
        </w:rPr>
        <w:t>sist of the following</w:t>
      </w:r>
      <w:r w:rsidR="00EA04F7" w:rsidRPr="003B11BD">
        <w:rPr>
          <w:noProof/>
          <w:lang w:val="en-IE"/>
        </w:rPr>
        <w:t xml:space="preserve">: </w:t>
      </w:r>
    </w:p>
    <w:p w14:paraId="7CB8544E" w14:textId="433FC859" w:rsidR="00AF1AE1" w:rsidRPr="003B11BD" w:rsidRDefault="000707F5" w:rsidP="004C618F">
      <w:pPr>
        <w:pStyle w:val="Bullets"/>
        <w:rPr>
          <w:noProof/>
        </w:rPr>
      </w:pPr>
      <w:r w:rsidRPr="003B11BD">
        <w:rPr>
          <w:noProof/>
          <w:u w:val="single"/>
        </w:rPr>
        <w:t xml:space="preserve">Direct </w:t>
      </w:r>
      <w:r w:rsidR="00BD2D6D" w:rsidRPr="003B11BD">
        <w:rPr>
          <w:noProof/>
          <w:u w:val="single"/>
        </w:rPr>
        <w:t>compliance</w:t>
      </w:r>
      <w:r w:rsidRPr="003B11BD">
        <w:rPr>
          <w:noProof/>
          <w:u w:val="single"/>
        </w:rPr>
        <w:t xml:space="preserve"> </w:t>
      </w:r>
      <w:r w:rsidR="00314B12">
        <w:rPr>
          <w:noProof/>
          <w:u w:val="single"/>
        </w:rPr>
        <w:t xml:space="preserve">and enforcement </w:t>
      </w:r>
      <w:r w:rsidRPr="003B11BD">
        <w:rPr>
          <w:noProof/>
          <w:u w:val="single"/>
        </w:rPr>
        <w:t>costs</w:t>
      </w:r>
      <w:r w:rsidR="00E42951">
        <w:rPr>
          <w:noProof/>
          <w:u w:val="single"/>
        </w:rPr>
        <w:t>/benefits</w:t>
      </w:r>
      <w:r w:rsidRPr="003B11BD">
        <w:rPr>
          <w:noProof/>
          <w:u w:val="single"/>
        </w:rPr>
        <w:t xml:space="preserve"> </w:t>
      </w:r>
      <w:r w:rsidR="00B10C6B" w:rsidRPr="003B11BD">
        <w:rPr>
          <w:noProof/>
          <w:u w:val="single"/>
        </w:rPr>
        <w:t>for</w:t>
      </w:r>
      <w:r w:rsidR="00B2413F" w:rsidRPr="003B11BD">
        <w:rPr>
          <w:noProof/>
          <w:u w:val="single"/>
        </w:rPr>
        <w:t xml:space="preserve"> </w:t>
      </w:r>
      <w:r w:rsidR="00B10C6B" w:rsidRPr="003B11BD">
        <w:rPr>
          <w:noProof/>
          <w:u w:val="single"/>
        </w:rPr>
        <w:t>authorities</w:t>
      </w:r>
      <w:r w:rsidR="00B10C6B" w:rsidRPr="003B11BD">
        <w:rPr>
          <w:noProof/>
        </w:rPr>
        <w:t xml:space="preserve"> in charge of the </w:t>
      </w:r>
      <w:r w:rsidR="00605724" w:rsidRPr="003B11BD">
        <w:rPr>
          <w:noProof/>
        </w:rPr>
        <w:t>negotiations</w:t>
      </w:r>
      <w:r w:rsidR="003C1501">
        <w:rPr>
          <w:noProof/>
        </w:rPr>
        <w:t xml:space="preserve"> and</w:t>
      </w:r>
      <w:r w:rsidR="00AF1AE1" w:rsidRPr="003B11BD">
        <w:rPr>
          <w:noProof/>
        </w:rPr>
        <w:t xml:space="preserve"> implementation </w:t>
      </w:r>
      <w:r w:rsidR="009402EE" w:rsidRPr="003B11BD">
        <w:rPr>
          <w:noProof/>
        </w:rPr>
        <w:t>of</w:t>
      </w:r>
      <w:r w:rsidR="00926FD8" w:rsidRPr="003B11BD">
        <w:rPr>
          <w:noProof/>
        </w:rPr>
        <w:t xml:space="preserve"> the terms of the </w:t>
      </w:r>
      <w:r w:rsidR="009402EE" w:rsidRPr="003B11BD">
        <w:rPr>
          <w:noProof/>
        </w:rPr>
        <w:t>compulsory lice</w:t>
      </w:r>
      <w:r w:rsidR="001707C4" w:rsidRPr="003B11BD">
        <w:rPr>
          <w:noProof/>
        </w:rPr>
        <w:t>n</w:t>
      </w:r>
      <w:r w:rsidR="009402EE" w:rsidRPr="003B11BD">
        <w:rPr>
          <w:noProof/>
        </w:rPr>
        <w:t>ce</w:t>
      </w:r>
      <w:r w:rsidR="00926FD8" w:rsidRPr="003B11BD">
        <w:rPr>
          <w:noProof/>
        </w:rPr>
        <w:t xml:space="preserve">, </w:t>
      </w:r>
      <w:r w:rsidR="00605724" w:rsidRPr="003B11BD">
        <w:rPr>
          <w:noProof/>
        </w:rPr>
        <w:t xml:space="preserve">as well as the provision of information </w:t>
      </w:r>
      <w:r w:rsidR="00F03FB4" w:rsidRPr="003B11BD">
        <w:rPr>
          <w:noProof/>
        </w:rPr>
        <w:t>(i.e. the monitoring costs due to the reporting obligation)</w:t>
      </w:r>
      <w:r w:rsidR="00D20524" w:rsidRPr="003B11BD">
        <w:rPr>
          <w:noProof/>
        </w:rPr>
        <w:t xml:space="preserve">, see </w:t>
      </w:r>
      <w:r w:rsidR="00AF1AE1" w:rsidRPr="003B11BD">
        <w:rPr>
          <w:noProof/>
        </w:rPr>
        <w:fldChar w:fldCharType="begin"/>
      </w:r>
      <w:r w:rsidR="00AF1AE1" w:rsidRPr="003B11BD">
        <w:rPr>
          <w:noProof/>
        </w:rPr>
        <w:instrText xml:space="preserve"> REF _Ref122515465 \h </w:instrText>
      </w:r>
      <w:r w:rsidR="0010202B" w:rsidRPr="003B11BD">
        <w:rPr>
          <w:noProof/>
        </w:rPr>
        <w:instrText xml:space="preserve"> \* MERGEFORMAT </w:instrText>
      </w:r>
      <w:r w:rsidR="00AF1AE1" w:rsidRPr="003B11BD">
        <w:rPr>
          <w:noProof/>
        </w:rPr>
      </w:r>
      <w:r w:rsidR="00AF1AE1" w:rsidRPr="003B11BD">
        <w:rPr>
          <w:noProof/>
        </w:rPr>
        <w:fldChar w:fldCharType="separate"/>
      </w:r>
      <w:r w:rsidR="00C6592A" w:rsidRPr="003B11BD">
        <w:rPr>
          <w:noProof/>
        </w:rPr>
        <w:t xml:space="preserve">Figure </w:t>
      </w:r>
      <w:r w:rsidR="00C6592A">
        <w:rPr>
          <w:noProof/>
        </w:rPr>
        <w:t>10</w:t>
      </w:r>
      <w:r w:rsidR="00AF1AE1" w:rsidRPr="003B11BD">
        <w:rPr>
          <w:noProof/>
        </w:rPr>
        <w:fldChar w:fldCharType="end"/>
      </w:r>
      <w:r w:rsidR="00AF1AE1" w:rsidRPr="003B11BD">
        <w:rPr>
          <w:noProof/>
        </w:rPr>
        <w:t xml:space="preserve"> </w:t>
      </w:r>
      <w:r w:rsidR="00D20524" w:rsidRPr="003B11BD">
        <w:rPr>
          <w:noProof/>
        </w:rPr>
        <w:t>below</w:t>
      </w:r>
      <w:r w:rsidR="00605724" w:rsidRPr="003B11BD">
        <w:rPr>
          <w:noProof/>
        </w:rPr>
        <w:t xml:space="preserve">. </w:t>
      </w:r>
    </w:p>
    <w:p w14:paraId="7ECA8377" w14:textId="3AAD2873" w:rsidR="0025734D" w:rsidRPr="003B11BD" w:rsidRDefault="0025734D" w:rsidP="00BD2D6D">
      <w:pPr>
        <w:pStyle w:val="Caption"/>
        <w:keepNext/>
        <w:rPr>
          <w:noProof/>
          <w:lang w:val="en-IE"/>
        </w:rPr>
      </w:pPr>
      <w:bookmarkStart w:id="962" w:name="_Ref122515465"/>
      <w:r w:rsidRPr="003B11BD">
        <w:rPr>
          <w:noProof/>
          <w:lang w:val="en-IE"/>
        </w:rPr>
        <w:t xml:space="preserve">Figure </w:t>
      </w:r>
      <w:r w:rsidR="00C6592A">
        <w:rPr>
          <w:noProof/>
          <w:lang w:val="en-IE"/>
        </w:rPr>
        <w:t>10</w:t>
      </w:r>
      <w:bookmarkEnd w:id="962"/>
      <w:r w:rsidRPr="003B11BD">
        <w:rPr>
          <w:noProof/>
          <w:lang w:val="en-IE"/>
        </w:rPr>
        <w:t>: Task division between the Options, as compared to the baseline</w:t>
      </w:r>
      <w:r w:rsidR="00082543" w:rsidRPr="003B11BD">
        <w:rPr>
          <w:noProof/>
          <w:lang w:val="en-IE"/>
        </w:rPr>
        <w:t xml:space="preserve"> (PO0)</w:t>
      </w:r>
    </w:p>
    <w:p w14:paraId="11052D50" w14:textId="1F758168" w:rsidR="0025734D" w:rsidRPr="003B11BD" w:rsidRDefault="004810FB" w:rsidP="00082543">
      <w:pPr>
        <w:jc w:val="center"/>
        <w:rPr>
          <w:noProof/>
          <w:lang w:val="en-IE"/>
        </w:rPr>
      </w:pPr>
      <w:r w:rsidRPr="003B11BD">
        <w:rPr>
          <w:noProof/>
          <w:lang w:eastAsia="en-GB"/>
        </w:rPr>
        <w:drawing>
          <wp:inline distT="0" distB="0" distL="0" distR="0" wp14:anchorId="0B2AD01F" wp14:editId="6D2BED44">
            <wp:extent cx="5421286" cy="81450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b="5872"/>
                    <a:stretch/>
                  </pic:blipFill>
                  <pic:spPr bwMode="auto">
                    <a:xfrm>
                      <a:off x="0" y="0"/>
                      <a:ext cx="5547230" cy="833430"/>
                    </a:xfrm>
                    <a:prstGeom prst="rect">
                      <a:avLst/>
                    </a:prstGeom>
                    <a:noFill/>
                    <a:ln>
                      <a:noFill/>
                    </a:ln>
                    <a:extLst>
                      <a:ext uri="{53640926-AAD7-44D8-BBD7-CCE9431645EC}">
                        <a14:shadowObscured xmlns:a14="http://schemas.microsoft.com/office/drawing/2010/main"/>
                      </a:ext>
                    </a:extLst>
                  </pic:spPr>
                </pic:pic>
              </a:graphicData>
            </a:graphic>
          </wp:inline>
        </w:drawing>
      </w:r>
    </w:p>
    <w:p w14:paraId="2B0C6636" w14:textId="0D88AA41" w:rsidR="00480DF1" w:rsidRPr="003B11BD" w:rsidRDefault="00D20524" w:rsidP="000122B1">
      <w:pPr>
        <w:pStyle w:val="BodyText1"/>
      </w:pPr>
      <w:r w:rsidRPr="003B11BD">
        <w:t xml:space="preserve">Most of these costs would materialise anyway, if </w:t>
      </w:r>
      <w:r w:rsidR="00C25C57" w:rsidRPr="003B11BD">
        <w:t xml:space="preserve">- </w:t>
      </w:r>
      <w:r w:rsidRPr="003B11BD">
        <w:t>in the absence of the proposed changes</w:t>
      </w:r>
      <w:r w:rsidR="00C25C57" w:rsidRPr="003B11BD">
        <w:t xml:space="preserve"> -</w:t>
      </w:r>
      <w:r w:rsidRPr="003B11BD">
        <w:t xml:space="preserve"> the same </w:t>
      </w:r>
      <w:r w:rsidR="00E6068C" w:rsidRPr="003B11BD">
        <w:t xml:space="preserve">compulsory licensing </w:t>
      </w:r>
      <w:r w:rsidRPr="003B11BD">
        <w:t xml:space="preserve">negotiations </w:t>
      </w:r>
      <w:r w:rsidR="00120AE3" w:rsidRPr="003B11BD">
        <w:t xml:space="preserve">and implementation </w:t>
      </w:r>
      <w:r w:rsidRPr="003B11BD">
        <w:t>were to be co</w:t>
      </w:r>
      <w:r w:rsidR="00C25C57" w:rsidRPr="003B11BD">
        <w:t xml:space="preserve">nducted at </w:t>
      </w:r>
      <w:r w:rsidRPr="003B11BD">
        <w:t xml:space="preserve">national level. </w:t>
      </w:r>
      <w:r w:rsidR="00C25C57" w:rsidRPr="003B11BD">
        <w:t>In</w:t>
      </w:r>
      <w:r w:rsidRPr="003B11BD">
        <w:t xml:space="preserve"> other words, t</w:t>
      </w:r>
      <w:r w:rsidR="0085341B" w:rsidRPr="003B11BD">
        <w:t xml:space="preserve">he cost of </w:t>
      </w:r>
      <w:r w:rsidR="00E6068C" w:rsidRPr="003B11BD">
        <w:t xml:space="preserve">compulsory licensing </w:t>
      </w:r>
      <w:r w:rsidR="0085341B" w:rsidRPr="003B11BD">
        <w:t>negotiations</w:t>
      </w:r>
      <w:r w:rsidR="00B67AD8" w:rsidRPr="003B11BD">
        <w:t xml:space="preserve"> and implementation</w:t>
      </w:r>
      <w:r w:rsidR="0085341B" w:rsidRPr="003B11BD">
        <w:t xml:space="preserve"> at</w:t>
      </w:r>
      <w:r w:rsidR="000A250F" w:rsidRPr="003B11BD">
        <w:t xml:space="preserve"> national level would stay unchanged</w:t>
      </w:r>
      <w:r w:rsidR="00082543" w:rsidRPr="003B11BD">
        <w:t>,</w:t>
      </w:r>
      <w:r w:rsidR="000A250F" w:rsidRPr="003B11BD">
        <w:t xml:space="preserve"> when compared to the </w:t>
      </w:r>
      <w:r w:rsidR="000A250F" w:rsidRPr="003B11BD">
        <w:rPr>
          <w:i/>
        </w:rPr>
        <w:t>status quo</w:t>
      </w:r>
      <w:r w:rsidR="00C25C57" w:rsidRPr="003B11BD">
        <w:t>.</w:t>
      </w:r>
      <w:r w:rsidR="000A250F" w:rsidRPr="003B11BD">
        <w:t xml:space="preserve"> </w:t>
      </w:r>
      <w:r w:rsidR="00EB0406" w:rsidRPr="003B11BD">
        <w:t xml:space="preserve">If national negotiations were </w:t>
      </w:r>
      <w:r w:rsidR="00C25C57" w:rsidRPr="003B11BD">
        <w:t xml:space="preserve">to be </w:t>
      </w:r>
      <w:r w:rsidR="00EB0406" w:rsidRPr="003B11BD">
        <w:t>replaced by t</w:t>
      </w:r>
      <w:r w:rsidR="000A250F" w:rsidRPr="003B11BD">
        <w:t>he EU-</w:t>
      </w:r>
      <w:r w:rsidR="0085341B" w:rsidRPr="003B11BD">
        <w:t xml:space="preserve">level </w:t>
      </w:r>
      <w:r w:rsidR="000A250F" w:rsidRPr="003B11BD">
        <w:t>negotiations</w:t>
      </w:r>
      <w:r w:rsidR="00EB0406" w:rsidRPr="003B11BD">
        <w:t>,</w:t>
      </w:r>
      <w:r w:rsidR="000A250F" w:rsidRPr="003B11BD">
        <w:t xml:space="preserve"> </w:t>
      </w:r>
      <w:r w:rsidR="00B10C6B" w:rsidRPr="003B11BD">
        <w:t xml:space="preserve">the </w:t>
      </w:r>
      <w:r w:rsidR="00EB0406" w:rsidRPr="003B11BD">
        <w:t>cost</w:t>
      </w:r>
      <w:r w:rsidR="00120AE3" w:rsidRPr="003B11BD">
        <w:t xml:space="preserve"> for Member States</w:t>
      </w:r>
      <w:r w:rsidR="00EB0406" w:rsidRPr="003B11BD">
        <w:t xml:space="preserve"> might</w:t>
      </w:r>
      <w:r w:rsidR="00120AE3" w:rsidRPr="003B11BD">
        <w:t xml:space="preserve"> stay </w:t>
      </w:r>
      <w:r w:rsidR="00AF1AE1" w:rsidRPr="003B11BD">
        <w:t>unchanged</w:t>
      </w:r>
      <w:r w:rsidR="00120AE3" w:rsidRPr="003B11BD">
        <w:t xml:space="preserve"> or</w:t>
      </w:r>
      <w:r w:rsidR="00B10C6B" w:rsidRPr="003B11BD">
        <w:t xml:space="preserve"> </w:t>
      </w:r>
      <w:r w:rsidR="00120AE3" w:rsidRPr="003B11BD">
        <w:t xml:space="preserve">actually </w:t>
      </w:r>
      <w:r w:rsidR="00B639C7" w:rsidRPr="003B11BD">
        <w:t>decrease</w:t>
      </w:r>
      <w:r w:rsidR="00B10C6B" w:rsidRPr="003B11BD">
        <w:t xml:space="preserve"> as the same effort would be shared among several countries</w:t>
      </w:r>
      <w:r w:rsidR="00484C6D" w:rsidRPr="003B11BD">
        <w:t>.</w:t>
      </w:r>
      <w:r w:rsidR="00EB0406" w:rsidRPr="003B11BD">
        <w:t xml:space="preserve"> </w:t>
      </w:r>
    </w:p>
    <w:p w14:paraId="7C733562" w14:textId="76E03855" w:rsidR="005B6A16" w:rsidRPr="003B11BD" w:rsidRDefault="001E5C1F" w:rsidP="005E35C7">
      <w:pPr>
        <w:pStyle w:val="BodyText1"/>
      </w:pPr>
      <w:r w:rsidRPr="003B11BD">
        <w:t>T</w:t>
      </w:r>
      <w:r w:rsidR="00417D48" w:rsidRPr="003B11BD">
        <w:t xml:space="preserve">he </w:t>
      </w:r>
      <w:r w:rsidR="00EB0406" w:rsidRPr="003B11BD">
        <w:t xml:space="preserve">collection of basic information on </w:t>
      </w:r>
      <w:r w:rsidR="00E6068C" w:rsidRPr="003B11BD">
        <w:t xml:space="preserve">compulsory licensing </w:t>
      </w:r>
      <w:r w:rsidR="00EB0406" w:rsidRPr="003B11BD">
        <w:t xml:space="preserve">for the </w:t>
      </w:r>
      <w:r w:rsidR="00417D48" w:rsidRPr="003B11BD">
        <w:t xml:space="preserve">reporting </w:t>
      </w:r>
      <w:r w:rsidR="002A0F68" w:rsidRPr="003B11BD">
        <w:t xml:space="preserve">obligations </w:t>
      </w:r>
      <w:r w:rsidR="00AA29E9" w:rsidRPr="003B11BD">
        <w:t>would</w:t>
      </w:r>
      <w:r w:rsidR="00F0740A" w:rsidRPr="003B11BD">
        <w:t xml:space="preserve"> be carried out by </w:t>
      </w:r>
      <w:r w:rsidR="00AA29E9" w:rsidRPr="003B11BD">
        <w:t>Member States</w:t>
      </w:r>
      <w:r w:rsidR="00EB0406" w:rsidRPr="003B11BD">
        <w:rPr>
          <w:rStyle w:val="FootnoteReference"/>
        </w:rPr>
        <w:footnoteReference w:id="134"/>
      </w:r>
      <w:r w:rsidR="00EB0406" w:rsidRPr="003B11BD">
        <w:t xml:space="preserve"> </w:t>
      </w:r>
      <w:r w:rsidR="00550C1C" w:rsidRPr="003B11BD">
        <w:t>as</w:t>
      </w:r>
      <w:r w:rsidR="006E054D" w:rsidRPr="003B11BD">
        <w:t xml:space="preserve"> part of the normal </w:t>
      </w:r>
      <w:r w:rsidR="00F0740A" w:rsidRPr="003B11BD">
        <w:t>documentation</w:t>
      </w:r>
      <w:r w:rsidR="006E054D" w:rsidRPr="003B11BD">
        <w:t xml:space="preserve"> of any </w:t>
      </w:r>
      <w:r w:rsidR="00E6068C" w:rsidRPr="003B11BD">
        <w:t xml:space="preserve">compulsory licensing </w:t>
      </w:r>
      <w:r w:rsidR="00113D86" w:rsidRPr="003B11BD">
        <w:t>procedure</w:t>
      </w:r>
      <w:r w:rsidR="00EB0406" w:rsidRPr="003B11BD">
        <w:t xml:space="preserve"> - </w:t>
      </w:r>
      <w:r w:rsidR="006E054D" w:rsidRPr="003B11BD">
        <w:t>t</w:t>
      </w:r>
      <w:r w:rsidR="002D232C" w:rsidRPr="003B11BD">
        <w:t xml:space="preserve">he </w:t>
      </w:r>
      <w:r w:rsidR="00F0740A" w:rsidRPr="003B11BD">
        <w:t xml:space="preserve">additional cost of such task </w:t>
      </w:r>
      <w:r w:rsidR="006E054D" w:rsidRPr="003B11BD">
        <w:t xml:space="preserve">is therefore judged to be </w:t>
      </w:r>
      <w:r w:rsidR="002A0F68" w:rsidRPr="003B11BD">
        <w:t>very low</w:t>
      </w:r>
      <w:r w:rsidR="006E054D" w:rsidRPr="003B11BD">
        <w:t xml:space="preserve">. </w:t>
      </w:r>
      <w:r w:rsidR="00550C1C" w:rsidRPr="003B11BD">
        <w:t>Concretely, i</w:t>
      </w:r>
      <w:r w:rsidR="00C25C57" w:rsidRPr="003B11BD">
        <w:t>n PO2 t</w:t>
      </w:r>
      <w:r w:rsidR="006E054D" w:rsidRPr="003B11BD">
        <w:t>he</w:t>
      </w:r>
      <w:r w:rsidR="00F0740A" w:rsidRPr="003B11BD">
        <w:t xml:space="preserve"> reporting obligation </w:t>
      </w:r>
      <w:r w:rsidR="002D232C" w:rsidRPr="003B11BD">
        <w:t>would</w:t>
      </w:r>
      <w:r w:rsidR="002A0F68" w:rsidRPr="003B11BD">
        <w:t xml:space="preserve"> generate some additional small </w:t>
      </w:r>
      <w:r w:rsidR="00BD2D6D" w:rsidRPr="003B11BD">
        <w:t xml:space="preserve">cost </w:t>
      </w:r>
      <w:r w:rsidR="002A0F68" w:rsidRPr="003B11BD">
        <w:t>of</w:t>
      </w:r>
      <w:r w:rsidR="00F0740A" w:rsidRPr="003B11BD">
        <w:t xml:space="preserve"> sharing </w:t>
      </w:r>
      <w:r w:rsidR="006E054D" w:rsidRPr="003B11BD">
        <w:t xml:space="preserve">information </w:t>
      </w:r>
      <w:r w:rsidR="00F0740A" w:rsidRPr="003B11BD">
        <w:t xml:space="preserve">with </w:t>
      </w:r>
      <w:r w:rsidR="002D232C" w:rsidRPr="003B11BD">
        <w:t>the EC</w:t>
      </w:r>
      <w:r w:rsidR="002A0F68" w:rsidRPr="003B11BD">
        <w:t>, but it would affect only the</w:t>
      </w:r>
      <w:r w:rsidR="00AF1AE1" w:rsidRPr="003B11BD">
        <w:t xml:space="preserve"> </w:t>
      </w:r>
      <w:r w:rsidR="00B4494C" w:rsidRPr="003B11BD">
        <w:t>Member State</w:t>
      </w:r>
      <w:r w:rsidR="002A0F68" w:rsidRPr="003B11BD">
        <w:t xml:space="preserve"> where</w:t>
      </w:r>
      <w:r w:rsidR="0075375C" w:rsidRPr="003B11BD">
        <w:t xml:space="preserve"> a </w:t>
      </w:r>
      <w:r w:rsidR="00E6068C" w:rsidRPr="003B11BD">
        <w:t>compulsory licens</w:t>
      </w:r>
      <w:r w:rsidR="0075375C" w:rsidRPr="003B11BD">
        <w:t>e</w:t>
      </w:r>
      <w:r w:rsidR="00E6068C" w:rsidRPr="003B11BD">
        <w:t xml:space="preserve"> </w:t>
      </w:r>
      <w:r w:rsidR="002A0F68" w:rsidRPr="003B11BD">
        <w:t>is to be granted</w:t>
      </w:r>
      <w:r w:rsidR="00550C1C" w:rsidRPr="003B11BD">
        <w:t xml:space="preserve"> </w:t>
      </w:r>
      <w:r w:rsidR="007976EA" w:rsidRPr="003B11BD">
        <w:t>in the event of a</w:t>
      </w:r>
      <w:r w:rsidR="00550C1C" w:rsidRPr="003B11BD">
        <w:t xml:space="preserve"> cross-border crisis</w:t>
      </w:r>
      <w:r w:rsidR="00AF1AE1" w:rsidRPr="003B11BD">
        <w:t>. I</w:t>
      </w:r>
      <w:r w:rsidR="006E054D" w:rsidRPr="003B11BD">
        <w:t xml:space="preserve">n PO3 and PO4 the EC would be directly involved in </w:t>
      </w:r>
      <w:r w:rsidR="00945EF6" w:rsidRPr="003B11BD">
        <w:t xml:space="preserve">the </w:t>
      </w:r>
      <w:r w:rsidR="00E6068C" w:rsidRPr="003B11BD">
        <w:t xml:space="preserve">compulsory licensing </w:t>
      </w:r>
      <w:r w:rsidR="00113D86" w:rsidRPr="003B11BD">
        <w:t>negotiations</w:t>
      </w:r>
      <w:r w:rsidR="00F0740A" w:rsidRPr="003B11BD">
        <w:t xml:space="preserve">, so no additional information sharing </w:t>
      </w:r>
      <w:r w:rsidR="002A0F68" w:rsidRPr="003B11BD">
        <w:t xml:space="preserve">by </w:t>
      </w:r>
      <w:r w:rsidR="00B4494C" w:rsidRPr="003B11BD">
        <w:t>Member States</w:t>
      </w:r>
      <w:r w:rsidR="002A0F68" w:rsidRPr="003B11BD">
        <w:t xml:space="preserve"> </w:t>
      </w:r>
      <w:r w:rsidR="00F0740A" w:rsidRPr="003B11BD">
        <w:t>would be needed</w:t>
      </w:r>
      <w:r w:rsidR="00550C1C" w:rsidRPr="003B11BD">
        <w:t xml:space="preserve"> in this respect</w:t>
      </w:r>
      <w:r w:rsidR="002D232C" w:rsidRPr="003B11BD">
        <w:t>.</w:t>
      </w:r>
      <w:r w:rsidR="00113D86" w:rsidRPr="003B11BD">
        <w:t xml:space="preserve"> </w:t>
      </w:r>
      <w:r w:rsidR="00550C1C" w:rsidRPr="003B11BD">
        <w:t>Yet, u</w:t>
      </w:r>
      <w:r w:rsidR="00113D86" w:rsidRPr="003B11BD">
        <w:t xml:space="preserve">nder </w:t>
      </w:r>
      <w:r w:rsidR="00120AE3" w:rsidRPr="003B11BD">
        <w:t xml:space="preserve">PO2, </w:t>
      </w:r>
      <w:r w:rsidR="00113D86" w:rsidRPr="003B11BD">
        <w:t>PO3</w:t>
      </w:r>
      <w:r w:rsidR="00120AE3" w:rsidRPr="003B11BD">
        <w:t xml:space="preserve"> and to a lesser extent under PO4</w:t>
      </w:r>
      <w:r w:rsidR="00113D86" w:rsidRPr="003B11BD">
        <w:t xml:space="preserve">, Member States would still need to report on the implementation </w:t>
      </w:r>
      <w:r w:rsidR="00D077EA" w:rsidRPr="003B11BD">
        <w:t>of the CL</w:t>
      </w:r>
      <w:r w:rsidR="00C25C57" w:rsidRPr="003B11BD">
        <w:t>, for which the existing administrative procedures should be used</w:t>
      </w:r>
      <w:r w:rsidR="00113D86" w:rsidRPr="003B11BD">
        <w:t xml:space="preserve">. </w:t>
      </w:r>
      <w:r w:rsidR="0033566D" w:rsidRPr="003B11BD">
        <w:t>As t</w:t>
      </w:r>
      <w:r w:rsidR="00550C1C" w:rsidRPr="003B11BD">
        <w:t xml:space="preserve">he reporting requirements would apply </w:t>
      </w:r>
      <w:r w:rsidR="008370E3" w:rsidRPr="003B11BD">
        <w:t xml:space="preserve">only </w:t>
      </w:r>
      <w:r w:rsidR="007976EA" w:rsidRPr="003B11BD">
        <w:t>in the event of a</w:t>
      </w:r>
      <w:r w:rsidR="008370E3" w:rsidRPr="003B11BD">
        <w:t xml:space="preserve"> cross-border crisis,</w:t>
      </w:r>
      <w:r w:rsidR="00550C1C" w:rsidRPr="003B11BD">
        <w:t xml:space="preserve"> hence</w:t>
      </w:r>
      <w:r w:rsidR="00120AE3" w:rsidRPr="003B11BD">
        <w:t xml:space="preserve"> </w:t>
      </w:r>
      <w:r w:rsidR="00550C1C" w:rsidRPr="003B11BD">
        <w:t xml:space="preserve">such </w:t>
      </w:r>
      <w:r w:rsidR="00120AE3" w:rsidRPr="003B11BD">
        <w:t xml:space="preserve">costs </w:t>
      </w:r>
      <w:r w:rsidR="00550C1C" w:rsidRPr="003B11BD">
        <w:t xml:space="preserve">would be </w:t>
      </w:r>
      <w:r w:rsidR="008370E3" w:rsidRPr="003B11BD">
        <w:t>rare</w:t>
      </w:r>
      <w:r w:rsidR="00113D86" w:rsidRPr="003B11BD">
        <w:t>.</w:t>
      </w:r>
      <w:r w:rsidR="00AA29E9" w:rsidRPr="003B11BD">
        <w:t xml:space="preserve"> </w:t>
      </w:r>
      <w:r w:rsidR="00170E0F" w:rsidRPr="003B11BD">
        <w:t xml:space="preserve">Finally, </w:t>
      </w:r>
      <w:r w:rsidR="0033566D" w:rsidRPr="003B11BD">
        <w:t>t</w:t>
      </w:r>
      <w:r w:rsidR="00D05396" w:rsidRPr="003B11BD">
        <w:t>he reportin</w:t>
      </w:r>
      <w:r w:rsidR="00550C1C" w:rsidRPr="003B11BD">
        <w:t>g sh</w:t>
      </w:r>
      <w:r w:rsidR="00D05396" w:rsidRPr="003B11BD">
        <w:t xml:space="preserve">ould not </w:t>
      </w:r>
      <w:r w:rsidR="00550C1C" w:rsidRPr="003B11BD">
        <w:t>require</w:t>
      </w:r>
      <w:r w:rsidR="00D05396" w:rsidRPr="003B11BD">
        <w:t xml:space="preserve"> any additional infrastructure</w:t>
      </w:r>
      <w:r w:rsidR="00170E0F" w:rsidRPr="003B11BD">
        <w:t xml:space="preserve"> nor data collection</w:t>
      </w:r>
      <w:r w:rsidR="00D05396" w:rsidRPr="003B11BD">
        <w:t xml:space="preserve">, </w:t>
      </w:r>
      <w:r w:rsidR="0033566D" w:rsidRPr="003B11BD">
        <w:t xml:space="preserve">therefore </w:t>
      </w:r>
      <w:r w:rsidR="00D05396" w:rsidRPr="003B11BD">
        <w:t xml:space="preserve">the digital impacts are judged </w:t>
      </w:r>
      <w:r w:rsidR="0033566D" w:rsidRPr="003B11BD">
        <w:t xml:space="preserve">to be </w:t>
      </w:r>
      <w:r w:rsidR="00D05396" w:rsidRPr="003B11BD">
        <w:t>not relevant in the context of this initiative</w:t>
      </w:r>
      <w:r w:rsidR="00D05396" w:rsidRPr="003B11BD">
        <w:rPr>
          <w:rStyle w:val="FootnoteReference"/>
        </w:rPr>
        <w:footnoteReference w:id="135"/>
      </w:r>
      <w:r w:rsidR="00D05396" w:rsidRPr="003B11BD">
        <w:t>.</w:t>
      </w:r>
    </w:p>
    <w:p w14:paraId="6698BBFF" w14:textId="62B01BCC" w:rsidR="00C10D18" w:rsidRPr="003B11BD" w:rsidRDefault="00C10D18" w:rsidP="004C618F">
      <w:pPr>
        <w:pStyle w:val="Bullets"/>
        <w:rPr>
          <w:noProof/>
        </w:rPr>
      </w:pPr>
      <w:r w:rsidRPr="003B11BD">
        <w:rPr>
          <w:noProof/>
          <w:u w:val="single"/>
        </w:rPr>
        <w:t xml:space="preserve">Direct </w:t>
      </w:r>
      <w:r w:rsidR="00E42951">
        <w:rPr>
          <w:noProof/>
          <w:u w:val="single"/>
        </w:rPr>
        <w:t xml:space="preserve">compliance </w:t>
      </w:r>
      <w:r w:rsidR="00BD2D6D" w:rsidRPr="003B11BD">
        <w:rPr>
          <w:noProof/>
          <w:u w:val="single"/>
        </w:rPr>
        <w:t>costs/benefits for</w:t>
      </w:r>
      <w:r w:rsidR="00B10C6B" w:rsidRPr="003B11BD">
        <w:rPr>
          <w:noProof/>
          <w:u w:val="single"/>
        </w:rPr>
        <w:t xml:space="preserve"> </w:t>
      </w:r>
      <w:r w:rsidRPr="003B11BD">
        <w:rPr>
          <w:noProof/>
          <w:u w:val="single"/>
        </w:rPr>
        <w:t>firms</w:t>
      </w:r>
      <w:r w:rsidRPr="003B11BD">
        <w:rPr>
          <w:noProof/>
        </w:rPr>
        <w:t xml:space="preserve"> (i.e. patent holders, as well as the manufacturers or potential </w:t>
      </w:r>
      <w:r w:rsidR="008D0097" w:rsidRPr="003B11BD">
        <w:rPr>
          <w:noProof/>
        </w:rPr>
        <w:t>licensees</w:t>
      </w:r>
      <w:r w:rsidRPr="003B11BD">
        <w:rPr>
          <w:noProof/>
        </w:rPr>
        <w:t>)</w:t>
      </w:r>
      <w:r w:rsidR="0033566D" w:rsidRPr="003B11BD">
        <w:rPr>
          <w:noProof/>
        </w:rPr>
        <w:t xml:space="preserve">: </w:t>
      </w:r>
      <w:r w:rsidR="00B2413F" w:rsidRPr="003B11BD">
        <w:rPr>
          <w:noProof/>
        </w:rPr>
        <w:t>the costs of</w:t>
      </w:r>
      <w:r w:rsidR="00B10C6B" w:rsidRPr="003B11BD">
        <w:rPr>
          <w:noProof/>
        </w:rPr>
        <w:t xml:space="preserve"> participating in </w:t>
      </w:r>
      <w:r w:rsidR="00E6068C" w:rsidRPr="003B11BD">
        <w:rPr>
          <w:noProof/>
        </w:rPr>
        <w:t xml:space="preserve">compulsory licensing </w:t>
      </w:r>
      <w:r w:rsidR="00B10C6B" w:rsidRPr="003B11BD">
        <w:rPr>
          <w:noProof/>
        </w:rPr>
        <w:t xml:space="preserve">procedures would stay broadly the same as long as </w:t>
      </w:r>
      <w:r w:rsidR="00B2413F" w:rsidRPr="003B11BD">
        <w:rPr>
          <w:noProof/>
        </w:rPr>
        <w:t>they</w:t>
      </w:r>
      <w:r w:rsidR="00B10C6B" w:rsidRPr="003B11BD">
        <w:rPr>
          <w:noProof/>
        </w:rPr>
        <w:t xml:space="preserve"> remain at the national level</w:t>
      </w:r>
      <w:r w:rsidR="00550C1C" w:rsidRPr="003B11BD">
        <w:rPr>
          <w:noProof/>
        </w:rPr>
        <w:t xml:space="preserve"> (</w:t>
      </w:r>
      <w:r w:rsidR="00B2413F" w:rsidRPr="003B11BD">
        <w:rPr>
          <w:noProof/>
        </w:rPr>
        <w:t xml:space="preserve">i.e. </w:t>
      </w:r>
      <w:r w:rsidR="00550C1C" w:rsidRPr="003B11BD">
        <w:rPr>
          <w:noProof/>
        </w:rPr>
        <w:t>PO2 or partially PO3)</w:t>
      </w:r>
      <w:r w:rsidR="00B10C6B" w:rsidRPr="003B11BD">
        <w:rPr>
          <w:noProof/>
        </w:rPr>
        <w:t>, with some potential ma</w:t>
      </w:r>
      <w:r w:rsidR="000146A6" w:rsidRPr="003B11BD">
        <w:rPr>
          <w:noProof/>
        </w:rPr>
        <w:t>rginal benefits due to increased co</w:t>
      </w:r>
      <w:r w:rsidR="00B10C6B" w:rsidRPr="003B11BD">
        <w:rPr>
          <w:noProof/>
        </w:rPr>
        <w:t>herence (</w:t>
      </w:r>
      <w:r w:rsidR="000146A6" w:rsidRPr="003B11BD">
        <w:rPr>
          <w:noProof/>
        </w:rPr>
        <w:t xml:space="preserve">lower </w:t>
      </w:r>
      <w:r w:rsidR="00B10C6B" w:rsidRPr="003B11BD">
        <w:rPr>
          <w:noProof/>
        </w:rPr>
        <w:t xml:space="preserve">legal </w:t>
      </w:r>
      <w:r w:rsidR="000146A6" w:rsidRPr="003B11BD">
        <w:rPr>
          <w:noProof/>
        </w:rPr>
        <w:t>un</w:t>
      </w:r>
      <w:r w:rsidR="00B10C6B" w:rsidRPr="003B11BD">
        <w:rPr>
          <w:noProof/>
        </w:rPr>
        <w:t>certainty)</w:t>
      </w:r>
      <w:r w:rsidR="008370E3" w:rsidRPr="003B11BD">
        <w:rPr>
          <w:noProof/>
        </w:rPr>
        <w:t>.</w:t>
      </w:r>
      <w:r w:rsidRPr="003B11BD">
        <w:rPr>
          <w:noProof/>
        </w:rPr>
        <w:t xml:space="preserve"> </w:t>
      </w:r>
      <w:r w:rsidR="00C518BB" w:rsidRPr="003B11BD">
        <w:rPr>
          <w:noProof/>
        </w:rPr>
        <w:t xml:space="preserve">However, </w:t>
      </w:r>
      <w:r w:rsidR="0033566D" w:rsidRPr="003B11BD">
        <w:rPr>
          <w:noProof/>
        </w:rPr>
        <w:t xml:space="preserve">whenever the </w:t>
      </w:r>
      <w:r w:rsidR="00E6068C" w:rsidRPr="003B11BD">
        <w:rPr>
          <w:noProof/>
        </w:rPr>
        <w:t xml:space="preserve">compulsory licensing </w:t>
      </w:r>
      <w:r w:rsidR="0033566D" w:rsidRPr="003B11BD">
        <w:rPr>
          <w:noProof/>
        </w:rPr>
        <w:t>negotiations take place at EU-level instead of fragmented and overlapping processes carried out in several Member States they would</w:t>
      </w:r>
      <w:r w:rsidR="00B2413F" w:rsidRPr="003B11BD">
        <w:rPr>
          <w:noProof/>
        </w:rPr>
        <w:t xml:space="preserve"> be the source of </w:t>
      </w:r>
      <w:r w:rsidR="00BD2D6D" w:rsidRPr="003B11BD">
        <w:rPr>
          <w:noProof/>
        </w:rPr>
        <w:t xml:space="preserve">cost </w:t>
      </w:r>
      <w:r w:rsidR="00B2413F" w:rsidRPr="003B11BD">
        <w:rPr>
          <w:noProof/>
        </w:rPr>
        <w:t xml:space="preserve">savings for firms. The central procedure is estimated to </w:t>
      </w:r>
      <w:r w:rsidR="0033566D" w:rsidRPr="003B11BD">
        <w:rPr>
          <w:noProof/>
        </w:rPr>
        <w:t>replace</w:t>
      </w:r>
      <w:r w:rsidR="00550C1C" w:rsidRPr="003B11BD">
        <w:rPr>
          <w:noProof/>
        </w:rPr>
        <w:t xml:space="preserve"> </w:t>
      </w:r>
      <w:r w:rsidR="00F0740A" w:rsidRPr="003B11BD">
        <w:rPr>
          <w:noProof/>
        </w:rPr>
        <w:t xml:space="preserve">roughly 4-5 procedures </w:t>
      </w:r>
      <w:r w:rsidR="008370E3" w:rsidRPr="003B11BD">
        <w:rPr>
          <w:noProof/>
        </w:rPr>
        <w:t>in each jurisdiction</w:t>
      </w:r>
      <w:r w:rsidR="00F0740A" w:rsidRPr="003B11BD">
        <w:rPr>
          <w:rStyle w:val="FootnoteReference"/>
          <w:noProof/>
        </w:rPr>
        <w:footnoteReference w:id="136"/>
      </w:r>
      <w:r w:rsidRPr="003B11BD">
        <w:rPr>
          <w:noProof/>
        </w:rPr>
        <w:t xml:space="preserve">. </w:t>
      </w:r>
      <w:r w:rsidR="00C518BB" w:rsidRPr="003B11BD">
        <w:rPr>
          <w:noProof/>
        </w:rPr>
        <w:t>In such case, t</w:t>
      </w:r>
      <w:r w:rsidR="00F0740A" w:rsidRPr="003B11BD">
        <w:rPr>
          <w:noProof/>
        </w:rPr>
        <w:t xml:space="preserve">he savings for companies </w:t>
      </w:r>
      <w:r w:rsidR="00C518BB" w:rsidRPr="003B11BD">
        <w:rPr>
          <w:noProof/>
        </w:rPr>
        <w:t xml:space="preserve">would be </w:t>
      </w:r>
      <w:r w:rsidR="00F0740A" w:rsidRPr="003B11BD">
        <w:rPr>
          <w:noProof/>
        </w:rPr>
        <w:t xml:space="preserve">estimated at 75% to 80% of resources </w:t>
      </w:r>
      <w:r w:rsidR="00B2413F" w:rsidRPr="003B11BD">
        <w:rPr>
          <w:noProof/>
        </w:rPr>
        <w:t xml:space="preserve">that would be needed otherwise, such as </w:t>
      </w:r>
      <w:r w:rsidR="00F0740A" w:rsidRPr="003B11BD">
        <w:rPr>
          <w:noProof/>
        </w:rPr>
        <w:t xml:space="preserve">in-house staff or </w:t>
      </w:r>
      <w:r w:rsidR="00113D86" w:rsidRPr="003B11BD">
        <w:rPr>
          <w:noProof/>
        </w:rPr>
        <w:t xml:space="preserve">costs of </w:t>
      </w:r>
      <w:r w:rsidR="00F0740A" w:rsidRPr="003B11BD">
        <w:rPr>
          <w:noProof/>
        </w:rPr>
        <w:t xml:space="preserve">external services, legal assistance, etc. </w:t>
      </w:r>
    </w:p>
    <w:p w14:paraId="1CB909F1" w14:textId="65B411AD" w:rsidR="00EA04F7" w:rsidRPr="003B11BD" w:rsidRDefault="00EA04F7" w:rsidP="004C618F">
      <w:pPr>
        <w:pStyle w:val="Bullets"/>
        <w:rPr>
          <w:noProof/>
        </w:rPr>
      </w:pPr>
      <w:r w:rsidRPr="003B11BD">
        <w:rPr>
          <w:noProof/>
          <w:u w:val="single"/>
        </w:rPr>
        <w:t>Indirect wider soci</w:t>
      </w:r>
      <w:r w:rsidR="008D74E2" w:rsidRPr="003B11BD">
        <w:rPr>
          <w:noProof/>
          <w:u w:val="single"/>
        </w:rPr>
        <w:t xml:space="preserve">o-economic </w:t>
      </w:r>
      <w:r w:rsidRPr="003B11BD">
        <w:rPr>
          <w:noProof/>
          <w:u w:val="single"/>
        </w:rPr>
        <w:t>benefits</w:t>
      </w:r>
      <w:r w:rsidRPr="003B11BD">
        <w:rPr>
          <w:noProof/>
        </w:rPr>
        <w:t xml:space="preserve"> </w:t>
      </w:r>
      <w:r w:rsidR="00926FD8" w:rsidRPr="003B11BD">
        <w:rPr>
          <w:noProof/>
        </w:rPr>
        <w:t xml:space="preserve">for the </w:t>
      </w:r>
      <w:r w:rsidR="0075375C" w:rsidRPr="003B11BD">
        <w:rPr>
          <w:noProof/>
        </w:rPr>
        <w:t xml:space="preserve">EU </w:t>
      </w:r>
      <w:r w:rsidR="00926FD8" w:rsidRPr="003B11BD">
        <w:rPr>
          <w:noProof/>
        </w:rPr>
        <w:t>citizens</w:t>
      </w:r>
      <w:r w:rsidR="0075375C" w:rsidRPr="003B11BD">
        <w:rPr>
          <w:noProof/>
        </w:rPr>
        <w:t xml:space="preserve"> (</w:t>
      </w:r>
      <w:r w:rsidR="00926FD8" w:rsidRPr="003B11BD">
        <w:rPr>
          <w:noProof/>
        </w:rPr>
        <w:t>general public</w:t>
      </w:r>
      <w:r w:rsidR="0075375C" w:rsidRPr="003B11BD">
        <w:rPr>
          <w:noProof/>
        </w:rPr>
        <w:t>)</w:t>
      </w:r>
      <w:r w:rsidR="00926FD8" w:rsidRPr="003B11BD">
        <w:rPr>
          <w:noProof/>
        </w:rPr>
        <w:t xml:space="preserve"> </w:t>
      </w:r>
      <w:r w:rsidR="00AE4B86" w:rsidRPr="003B11BD">
        <w:rPr>
          <w:noProof/>
        </w:rPr>
        <w:t xml:space="preserve">stemming from the timely availability of products needed in crisis and </w:t>
      </w:r>
      <w:r w:rsidR="00B2413F" w:rsidRPr="003B11BD">
        <w:rPr>
          <w:noProof/>
        </w:rPr>
        <w:t xml:space="preserve">the fact that the crisis could be </w:t>
      </w:r>
      <w:r w:rsidRPr="003B11BD">
        <w:rPr>
          <w:noProof/>
        </w:rPr>
        <w:t>marginally shorter and/or constricted (e.g. affects less sectors than otherwise would be the case</w:t>
      </w:r>
      <w:r w:rsidR="00E327BE" w:rsidRPr="003B11BD">
        <w:rPr>
          <w:noProof/>
        </w:rPr>
        <w:t xml:space="preserve">) and </w:t>
      </w:r>
      <w:r w:rsidR="00B2413F" w:rsidRPr="003B11BD">
        <w:rPr>
          <w:noProof/>
        </w:rPr>
        <w:t xml:space="preserve">that </w:t>
      </w:r>
      <w:r w:rsidR="00E327BE" w:rsidRPr="003B11BD">
        <w:rPr>
          <w:noProof/>
        </w:rPr>
        <w:t>severe economic repercussions are avoided.</w:t>
      </w:r>
    </w:p>
    <w:p w14:paraId="3CF9B67F" w14:textId="694FBF48" w:rsidR="009D1F7D" w:rsidRPr="003B11BD" w:rsidRDefault="001369AD" w:rsidP="006D6A17">
      <w:pPr>
        <w:rPr>
          <w:noProof/>
          <w:lang w:val="en-IE"/>
        </w:rPr>
      </w:pPr>
      <w:r w:rsidRPr="003B11BD">
        <w:rPr>
          <w:noProof/>
          <w:lang w:val="en-IE"/>
        </w:rPr>
        <w:t xml:space="preserve">Additionally, </w:t>
      </w:r>
      <w:r w:rsidR="00D76742" w:rsidRPr="003B11BD">
        <w:rPr>
          <w:noProof/>
          <w:lang w:val="en-IE"/>
        </w:rPr>
        <w:t xml:space="preserve">the European institutions can also bear </w:t>
      </w:r>
      <w:r w:rsidR="00DA51FB" w:rsidRPr="003B11BD">
        <w:rPr>
          <w:noProof/>
          <w:lang w:val="en-IE"/>
        </w:rPr>
        <w:t>certain</w:t>
      </w:r>
      <w:r w:rsidR="00E35A7C" w:rsidRPr="003B11BD">
        <w:rPr>
          <w:noProof/>
          <w:lang w:val="en-IE"/>
        </w:rPr>
        <w:t xml:space="preserve"> direct </w:t>
      </w:r>
      <w:r w:rsidR="00DA51FB" w:rsidRPr="003B11BD">
        <w:rPr>
          <w:noProof/>
          <w:lang w:val="en-IE"/>
        </w:rPr>
        <w:t>costs</w:t>
      </w:r>
      <w:r w:rsidR="00E35A7C" w:rsidRPr="003B11BD">
        <w:rPr>
          <w:noProof/>
          <w:lang w:val="en-IE"/>
        </w:rPr>
        <w:t xml:space="preserve"> </w:t>
      </w:r>
      <w:r w:rsidR="00D76742" w:rsidRPr="003B11BD">
        <w:rPr>
          <w:noProof/>
          <w:lang w:val="en-IE"/>
        </w:rPr>
        <w:t>linked with this initiative</w:t>
      </w:r>
      <w:r w:rsidR="00E35A7C" w:rsidRPr="003B11BD">
        <w:rPr>
          <w:noProof/>
          <w:lang w:val="en-IE"/>
        </w:rPr>
        <w:t>.</w:t>
      </w:r>
      <w:r w:rsidR="006D6A17" w:rsidRPr="003B11BD">
        <w:rPr>
          <w:noProof/>
          <w:lang w:val="en-IE"/>
        </w:rPr>
        <w:t xml:space="preserve"> </w:t>
      </w:r>
      <w:r w:rsidR="00D76742" w:rsidRPr="003B11BD">
        <w:rPr>
          <w:noProof/>
          <w:lang w:val="en-IE"/>
        </w:rPr>
        <w:t xml:space="preserve">In case of a </w:t>
      </w:r>
      <w:r w:rsidR="00B2413F" w:rsidRPr="003B11BD">
        <w:rPr>
          <w:noProof/>
          <w:lang w:val="en-IE"/>
        </w:rPr>
        <w:t>cross-border crisis</w:t>
      </w:r>
      <w:r w:rsidR="00D76742" w:rsidRPr="003B11BD">
        <w:rPr>
          <w:noProof/>
          <w:lang w:val="en-IE"/>
        </w:rPr>
        <w:t xml:space="preserve"> t</w:t>
      </w:r>
      <w:r w:rsidR="00E35A7C" w:rsidRPr="003B11BD">
        <w:rPr>
          <w:noProof/>
          <w:lang w:val="en-IE"/>
        </w:rPr>
        <w:t xml:space="preserve">he Commission services would need to ensure good governance of the overall </w:t>
      </w:r>
      <w:r w:rsidR="002C0D49" w:rsidRPr="003B11BD">
        <w:rPr>
          <w:noProof/>
          <w:lang w:val="en-IE"/>
        </w:rPr>
        <w:t xml:space="preserve">process and run the central </w:t>
      </w:r>
      <w:r w:rsidR="00E6068C" w:rsidRPr="003B11BD">
        <w:rPr>
          <w:noProof/>
          <w:lang w:val="en-IE"/>
        </w:rPr>
        <w:t xml:space="preserve">compulsory licensing </w:t>
      </w:r>
      <w:r w:rsidR="00E35A7C" w:rsidRPr="003B11BD">
        <w:rPr>
          <w:noProof/>
          <w:lang w:val="en-IE"/>
        </w:rPr>
        <w:t xml:space="preserve">negotiations (PO3 and </w:t>
      </w:r>
      <w:r w:rsidR="00B2413F" w:rsidRPr="003B11BD">
        <w:rPr>
          <w:noProof/>
          <w:lang w:val="en-IE"/>
        </w:rPr>
        <w:t>PO</w:t>
      </w:r>
      <w:r w:rsidR="00E35A7C" w:rsidRPr="003B11BD">
        <w:rPr>
          <w:noProof/>
          <w:lang w:val="en-IE"/>
        </w:rPr>
        <w:t>4),</w:t>
      </w:r>
      <w:r w:rsidR="00DA51FB" w:rsidRPr="003B11BD">
        <w:rPr>
          <w:noProof/>
          <w:lang w:val="en-IE"/>
        </w:rPr>
        <w:t xml:space="preserve"> or</w:t>
      </w:r>
      <w:r w:rsidR="00E35A7C" w:rsidRPr="003B11BD">
        <w:rPr>
          <w:noProof/>
          <w:lang w:val="en-IE"/>
        </w:rPr>
        <w:t xml:space="preserve"> grant</w:t>
      </w:r>
      <w:r w:rsidR="00D76742" w:rsidRPr="003B11BD">
        <w:rPr>
          <w:noProof/>
          <w:lang w:val="en-IE"/>
        </w:rPr>
        <w:t xml:space="preserve"> and implement</w:t>
      </w:r>
      <w:r w:rsidR="00B2413F" w:rsidRPr="003B11BD">
        <w:rPr>
          <w:noProof/>
          <w:lang w:val="en-IE"/>
        </w:rPr>
        <w:t xml:space="preserve"> the CL</w:t>
      </w:r>
      <w:r w:rsidR="00E35A7C" w:rsidRPr="003B11BD">
        <w:rPr>
          <w:noProof/>
          <w:lang w:val="en-IE"/>
        </w:rPr>
        <w:t xml:space="preserve">. As for the EU-level CL, </w:t>
      </w:r>
      <w:r w:rsidR="004F6B8E">
        <w:rPr>
          <w:noProof/>
          <w:lang w:val="en-IE"/>
        </w:rPr>
        <w:t xml:space="preserve">such </w:t>
      </w:r>
      <w:r w:rsidR="00B2413F" w:rsidRPr="003B11BD">
        <w:rPr>
          <w:noProof/>
          <w:lang w:val="en-IE"/>
        </w:rPr>
        <w:t xml:space="preserve">additional </w:t>
      </w:r>
      <w:r w:rsidR="00E35A7C" w:rsidRPr="003B11BD">
        <w:rPr>
          <w:noProof/>
          <w:lang w:val="en-IE"/>
        </w:rPr>
        <w:t xml:space="preserve">costs would appear </w:t>
      </w:r>
      <w:r w:rsidR="00B2413F" w:rsidRPr="003B11BD">
        <w:rPr>
          <w:noProof/>
          <w:lang w:val="en-IE"/>
        </w:rPr>
        <w:t>mainly</w:t>
      </w:r>
      <w:r w:rsidR="00E35A7C" w:rsidRPr="003B11BD">
        <w:rPr>
          <w:noProof/>
          <w:lang w:val="en-IE"/>
        </w:rPr>
        <w:t xml:space="preserve"> if none of the existing emergency bodies or instruments (e.g. SMEI or HERA coordination committees) can be re-used to take up this role. If a new sector-specific body needs to be set up</w:t>
      </w:r>
      <w:r w:rsidR="00B2413F" w:rsidRPr="003B11BD">
        <w:rPr>
          <w:rStyle w:val="FootnoteReference"/>
          <w:noProof/>
          <w:lang w:val="en-IE"/>
        </w:rPr>
        <w:footnoteReference w:id="137"/>
      </w:r>
      <w:r w:rsidR="00E35A7C" w:rsidRPr="003B11BD">
        <w:rPr>
          <w:noProof/>
          <w:lang w:val="en-IE"/>
        </w:rPr>
        <w:t xml:space="preserve">, then the Commission would bear </w:t>
      </w:r>
      <w:r w:rsidR="00D76742" w:rsidRPr="003B11BD">
        <w:rPr>
          <w:noProof/>
          <w:lang w:val="en-IE"/>
        </w:rPr>
        <w:t xml:space="preserve">the relevant </w:t>
      </w:r>
      <w:r w:rsidR="00E35A7C" w:rsidRPr="003B11BD">
        <w:rPr>
          <w:noProof/>
          <w:lang w:val="en-IE"/>
        </w:rPr>
        <w:t>costs</w:t>
      </w:r>
      <w:r w:rsidR="00D76742" w:rsidRPr="003B11BD">
        <w:rPr>
          <w:noProof/>
          <w:lang w:val="en-IE"/>
        </w:rPr>
        <w:t>,</w:t>
      </w:r>
      <w:r w:rsidR="0083400B" w:rsidRPr="003B11BD">
        <w:rPr>
          <w:noProof/>
          <w:lang w:val="en-IE"/>
        </w:rPr>
        <w:t xml:space="preserve"> </w:t>
      </w:r>
      <w:r w:rsidR="00DA51FB" w:rsidRPr="003B11BD">
        <w:rPr>
          <w:noProof/>
          <w:lang w:val="en-IE"/>
        </w:rPr>
        <w:t>but given their</w:t>
      </w:r>
      <w:r w:rsidR="00D76742" w:rsidRPr="003B11BD">
        <w:rPr>
          <w:noProof/>
          <w:lang w:val="en-IE"/>
        </w:rPr>
        <w:t xml:space="preserve"> </w:t>
      </w:r>
      <w:r w:rsidR="00D76742" w:rsidRPr="003B11BD">
        <w:rPr>
          <w:i/>
          <w:iCs/>
          <w:noProof/>
          <w:lang w:val="en-IE"/>
        </w:rPr>
        <w:t>ad hoc</w:t>
      </w:r>
      <w:r w:rsidR="00D76742" w:rsidRPr="003B11BD">
        <w:rPr>
          <w:noProof/>
          <w:lang w:val="en-IE"/>
        </w:rPr>
        <w:t xml:space="preserve"> character - predominantly by </w:t>
      </w:r>
      <w:r w:rsidR="0083400B" w:rsidRPr="003B11BD">
        <w:rPr>
          <w:noProof/>
          <w:lang w:val="en-IE"/>
        </w:rPr>
        <w:t xml:space="preserve">drawing on </w:t>
      </w:r>
      <w:r w:rsidR="00DA51FB" w:rsidRPr="003B11BD">
        <w:rPr>
          <w:noProof/>
          <w:lang w:val="en-IE"/>
        </w:rPr>
        <w:t xml:space="preserve">resources and </w:t>
      </w:r>
      <w:r w:rsidR="0083400B" w:rsidRPr="003B11BD">
        <w:rPr>
          <w:noProof/>
          <w:lang w:val="en-IE"/>
        </w:rPr>
        <w:t xml:space="preserve">expertise </w:t>
      </w:r>
      <w:r w:rsidR="00DA51FB" w:rsidRPr="003B11BD">
        <w:rPr>
          <w:noProof/>
          <w:lang w:val="en-IE"/>
        </w:rPr>
        <w:t xml:space="preserve">already </w:t>
      </w:r>
      <w:r w:rsidR="0083400B" w:rsidRPr="003B11BD">
        <w:rPr>
          <w:noProof/>
          <w:lang w:val="en-IE"/>
        </w:rPr>
        <w:t>available in the Commission services</w:t>
      </w:r>
      <w:r w:rsidR="00DA51FB" w:rsidRPr="003B11BD">
        <w:rPr>
          <w:rStyle w:val="FootnoteReference"/>
          <w:noProof/>
          <w:lang w:val="en-IE"/>
        </w:rPr>
        <w:footnoteReference w:id="138"/>
      </w:r>
      <w:r w:rsidR="0083400B" w:rsidRPr="003B11BD">
        <w:rPr>
          <w:noProof/>
          <w:lang w:val="en-IE"/>
        </w:rPr>
        <w:t xml:space="preserve">. </w:t>
      </w:r>
      <w:r w:rsidR="00193110" w:rsidRPr="003B11BD">
        <w:rPr>
          <w:noProof/>
          <w:lang w:val="en-IE"/>
        </w:rPr>
        <w:t xml:space="preserve">As </w:t>
      </w:r>
      <w:r w:rsidRPr="003B11BD">
        <w:rPr>
          <w:noProof/>
          <w:lang w:val="en-IE"/>
        </w:rPr>
        <w:t xml:space="preserve">a </w:t>
      </w:r>
      <w:r w:rsidR="00ED2E15" w:rsidRPr="003B11BD">
        <w:rPr>
          <w:noProof/>
          <w:lang w:val="en-IE"/>
        </w:rPr>
        <w:t xml:space="preserve">cross-border </w:t>
      </w:r>
      <w:r w:rsidR="00193110" w:rsidRPr="003B11BD">
        <w:rPr>
          <w:noProof/>
          <w:lang w:val="en-IE"/>
        </w:rPr>
        <w:t>crisis</w:t>
      </w:r>
      <w:r w:rsidR="00ED2E15" w:rsidRPr="003B11BD">
        <w:rPr>
          <w:noProof/>
          <w:lang w:val="en-IE"/>
        </w:rPr>
        <w:t xml:space="preserve"> requiring the granting of a compulsory licence</w:t>
      </w:r>
      <w:r w:rsidR="00193110" w:rsidRPr="003B11BD">
        <w:rPr>
          <w:noProof/>
          <w:lang w:val="en-IE"/>
        </w:rPr>
        <w:t xml:space="preserve"> is assumed to be rare, these </w:t>
      </w:r>
      <w:r w:rsidRPr="003B11BD">
        <w:rPr>
          <w:noProof/>
          <w:lang w:val="en-IE"/>
        </w:rPr>
        <w:t xml:space="preserve">tasks should be undertaken by </w:t>
      </w:r>
      <w:r w:rsidR="00D76742" w:rsidRPr="003B11BD">
        <w:rPr>
          <w:noProof/>
          <w:lang w:val="en-IE"/>
        </w:rPr>
        <w:t xml:space="preserve">the available commission staff, also assuming certain flexibility and cooperation between </w:t>
      </w:r>
      <w:r w:rsidR="002C0D49" w:rsidRPr="003B11BD">
        <w:rPr>
          <w:noProof/>
          <w:lang w:val="en-IE"/>
        </w:rPr>
        <w:t>Directorates General</w:t>
      </w:r>
      <w:r w:rsidRPr="003B11BD">
        <w:rPr>
          <w:noProof/>
          <w:lang w:val="en-IE"/>
        </w:rPr>
        <w:t>, especially when</w:t>
      </w:r>
      <w:r w:rsidR="00D76742" w:rsidRPr="003B11BD">
        <w:rPr>
          <w:noProof/>
          <w:lang w:val="en-IE"/>
        </w:rPr>
        <w:t xml:space="preserve"> the crisis concerns their policy area. </w:t>
      </w:r>
    </w:p>
    <w:p w14:paraId="25E20DA5" w14:textId="1CF242BF" w:rsidR="000707F5" w:rsidRPr="003B11BD" w:rsidRDefault="00C10D18" w:rsidP="00C10D18">
      <w:pPr>
        <w:rPr>
          <w:noProof/>
          <w:lang w:val="en-IE"/>
        </w:rPr>
      </w:pPr>
      <w:r w:rsidRPr="003B11BD">
        <w:rPr>
          <w:noProof/>
          <w:lang w:val="en-IE"/>
        </w:rPr>
        <w:t xml:space="preserve">The </w:t>
      </w:r>
      <w:r w:rsidRPr="003B11BD">
        <w:rPr>
          <w:b/>
          <w:noProof/>
          <w:lang w:val="en-IE"/>
        </w:rPr>
        <w:t xml:space="preserve">direct and indirect benefits </w:t>
      </w:r>
      <w:r w:rsidR="00B2413F" w:rsidRPr="003B11BD">
        <w:rPr>
          <w:b/>
          <w:noProof/>
          <w:lang w:val="en-IE"/>
        </w:rPr>
        <w:t xml:space="preserve">of a well-functioning </w:t>
      </w:r>
      <w:r w:rsidR="00E6068C" w:rsidRPr="003B11BD">
        <w:rPr>
          <w:b/>
          <w:noProof/>
          <w:lang w:val="en-IE"/>
        </w:rPr>
        <w:t xml:space="preserve">compulsory licensing </w:t>
      </w:r>
      <w:r w:rsidR="00B2413F" w:rsidRPr="003B11BD">
        <w:rPr>
          <w:b/>
          <w:noProof/>
          <w:lang w:val="en-IE"/>
        </w:rPr>
        <w:t xml:space="preserve">system for crisis management </w:t>
      </w:r>
      <w:r w:rsidRPr="003B11BD">
        <w:rPr>
          <w:b/>
          <w:noProof/>
          <w:lang w:val="en-IE"/>
        </w:rPr>
        <w:t>are assumed to greatly outweigh the</w:t>
      </w:r>
      <w:r w:rsidR="00A861CD" w:rsidRPr="003B11BD">
        <w:rPr>
          <w:noProof/>
          <w:lang w:val="en-IE"/>
        </w:rPr>
        <w:t xml:space="preserve"> </w:t>
      </w:r>
      <w:r w:rsidRPr="003B11BD">
        <w:rPr>
          <w:noProof/>
          <w:lang w:val="en-IE"/>
        </w:rPr>
        <w:t xml:space="preserve">above mentioned </w:t>
      </w:r>
      <w:r w:rsidR="0021241A">
        <w:rPr>
          <w:noProof/>
          <w:lang w:val="en-IE"/>
        </w:rPr>
        <w:t xml:space="preserve">minor </w:t>
      </w:r>
      <w:r w:rsidR="00AE4B86" w:rsidRPr="003B11BD">
        <w:rPr>
          <w:b/>
          <w:noProof/>
          <w:lang w:val="en-IE"/>
        </w:rPr>
        <w:t>direct</w:t>
      </w:r>
      <w:r w:rsidR="00AE4B86" w:rsidRPr="003B11BD">
        <w:rPr>
          <w:noProof/>
          <w:lang w:val="en-IE"/>
        </w:rPr>
        <w:t xml:space="preserve"> </w:t>
      </w:r>
      <w:r w:rsidR="00FE0320" w:rsidRPr="003B11BD">
        <w:rPr>
          <w:b/>
          <w:noProof/>
          <w:lang w:val="en-IE"/>
        </w:rPr>
        <w:t xml:space="preserve">compliance and enforcement </w:t>
      </w:r>
      <w:r w:rsidRPr="003B11BD">
        <w:rPr>
          <w:b/>
          <w:noProof/>
          <w:lang w:val="en-IE"/>
        </w:rPr>
        <w:t>costs</w:t>
      </w:r>
      <w:r w:rsidRPr="003B11BD">
        <w:rPr>
          <w:noProof/>
          <w:lang w:val="en-IE"/>
        </w:rPr>
        <w:t xml:space="preserve">, especially when compared with the indirect wider socio-economic </w:t>
      </w:r>
      <w:r w:rsidR="009C3C17" w:rsidRPr="003B11BD">
        <w:rPr>
          <w:noProof/>
          <w:lang w:val="en-IE"/>
        </w:rPr>
        <w:t>impacts of</w:t>
      </w:r>
      <w:r w:rsidRPr="003B11BD">
        <w:rPr>
          <w:noProof/>
          <w:lang w:val="en-IE"/>
        </w:rPr>
        <w:t xml:space="preserve"> a timely access to essential products needed to combat</w:t>
      </w:r>
      <w:r w:rsidR="00AE4B86" w:rsidRPr="003B11BD">
        <w:rPr>
          <w:noProof/>
          <w:lang w:val="en-IE"/>
        </w:rPr>
        <w:t xml:space="preserve"> a</w:t>
      </w:r>
      <w:r w:rsidRPr="003B11BD">
        <w:rPr>
          <w:noProof/>
          <w:lang w:val="en-IE"/>
        </w:rPr>
        <w:t xml:space="preserve"> crisis.</w:t>
      </w:r>
      <w:r w:rsidR="00FE0320" w:rsidRPr="003B11BD">
        <w:rPr>
          <w:noProof/>
          <w:lang w:val="en-IE"/>
        </w:rPr>
        <w:t xml:space="preserve"> </w:t>
      </w:r>
      <w:r w:rsidR="004F6B8E">
        <w:rPr>
          <w:noProof/>
          <w:lang w:val="en-IE"/>
        </w:rPr>
        <w:t>Given the exceptional character of compulsory licencing, n</w:t>
      </w:r>
      <w:r w:rsidR="00FE0320" w:rsidRPr="003B11BD">
        <w:rPr>
          <w:noProof/>
          <w:lang w:val="en-IE"/>
        </w:rPr>
        <w:t xml:space="preserve">o significant administrative costs are expected as a result of the proposed initiative. </w:t>
      </w:r>
    </w:p>
    <w:p w14:paraId="76B037D5" w14:textId="2E45CD92" w:rsidR="006B087E" w:rsidRPr="003B11BD" w:rsidRDefault="006B087E" w:rsidP="000E3086">
      <w:pPr>
        <w:pStyle w:val="Heading1"/>
        <w:rPr>
          <w:noProof/>
          <w:lang w:val="en-IE"/>
        </w:rPr>
      </w:pPr>
      <w:bookmarkStart w:id="963" w:name="_Toc122516443"/>
      <w:bookmarkStart w:id="964" w:name="_Toc122516613"/>
      <w:bookmarkStart w:id="965" w:name="_Toc122517243"/>
      <w:bookmarkStart w:id="966" w:name="_Toc120731246"/>
      <w:bookmarkStart w:id="967" w:name="_Toc121386408"/>
      <w:bookmarkStart w:id="968" w:name="_Toc121489627"/>
      <w:bookmarkStart w:id="969" w:name="_Toc121496387"/>
      <w:bookmarkStart w:id="970" w:name="_Toc121748040"/>
      <w:bookmarkStart w:id="971" w:name="_Toc133435394"/>
      <w:bookmarkEnd w:id="963"/>
      <w:bookmarkEnd w:id="964"/>
      <w:bookmarkEnd w:id="965"/>
      <w:r w:rsidRPr="003B11BD">
        <w:rPr>
          <w:noProof/>
          <w:lang w:val="en-IE"/>
        </w:rPr>
        <w:t>How do the options compare?</w:t>
      </w:r>
      <w:bookmarkEnd w:id="966"/>
      <w:bookmarkEnd w:id="967"/>
      <w:bookmarkEnd w:id="968"/>
      <w:bookmarkEnd w:id="969"/>
      <w:bookmarkEnd w:id="970"/>
      <w:bookmarkEnd w:id="971"/>
    </w:p>
    <w:p w14:paraId="51C66262" w14:textId="3A066B8E" w:rsidR="00075C8F" w:rsidRPr="003B11BD" w:rsidRDefault="1EEC352D" w:rsidP="00075C8F">
      <w:pPr>
        <w:rPr>
          <w:noProof/>
          <w:lang w:val="en-IE"/>
        </w:rPr>
      </w:pPr>
      <w:r w:rsidRPr="003B11BD">
        <w:rPr>
          <w:noProof/>
          <w:lang w:val="en-IE"/>
        </w:rPr>
        <w:t xml:space="preserve">As </w:t>
      </w:r>
      <w:r w:rsidR="02636D87" w:rsidRPr="003B11BD">
        <w:rPr>
          <w:noProof/>
          <w:lang w:val="en-IE"/>
        </w:rPr>
        <w:t>discussed</w:t>
      </w:r>
      <w:r w:rsidR="00B23936" w:rsidRPr="003B11BD">
        <w:rPr>
          <w:noProof/>
          <w:lang w:val="en-IE"/>
        </w:rPr>
        <w:t xml:space="preserve"> in the objectives, a</w:t>
      </w:r>
      <w:r w:rsidRPr="003B11BD">
        <w:rPr>
          <w:noProof/>
          <w:lang w:val="en-IE"/>
        </w:rPr>
        <w:t xml:space="preserve"> compulsory licensing system should be able to efficiently tackle EU cross-border crisis</w:t>
      </w:r>
      <w:r w:rsidR="00B55A4B" w:rsidRPr="003B11BD">
        <w:rPr>
          <w:noProof/>
          <w:lang w:val="en-IE"/>
        </w:rPr>
        <w:t xml:space="preserve"> in a timely manner</w:t>
      </w:r>
      <w:r w:rsidR="00F9094C" w:rsidRPr="003B11BD">
        <w:rPr>
          <w:noProof/>
          <w:lang w:val="en-IE"/>
        </w:rPr>
        <w:t xml:space="preserve"> and </w:t>
      </w:r>
      <w:r w:rsidR="3BDF83DB" w:rsidRPr="003B11BD">
        <w:rPr>
          <w:noProof/>
          <w:lang w:val="en-IE"/>
        </w:rPr>
        <w:t>guarantee</w:t>
      </w:r>
      <w:r w:rsidRPr="003B11BD">
        <w:rPr>
          <w:noProof/>
          <w:lang w:val="en-IE"/>
        </w:rPr>
        <w:t xml:space="preserve"> the supply of critical goods and technologies across the </w:t>
      </w:r>
      <w:r w:rsidR="00D43F3F" w:rsidRPr="003B11BD">
        <w:rPr>
          <w:noProof/>
          <w:lang w:val="en-IE"/>
        </w:rPr>
        <w:t>Single Market</w:t>
      </w:r>
      <w:r w:rsidRPr="003B11BD">
        <w:rPr>
          <w:noProof/>
          <w:lang w:val="en-IE"/>
        </w:rPr>
        <w:t xml:space="preserve">, even in the absence of voluntary agreements. It should also protect </w:t>
      </w:r>
      <w:r w:rsidR="00685590" w:rsidRPr="003B11BD">
        <w:rPr>
          <w:noProof/>
          <w:lang w:val="en-IE"/>
        </w:rPr>
        <w:t>investment in</w:t>
      </w:r>
      <w:r w:rsidRPr="003B11BD">
        <w:rPr>
          <w:noProof/>
          <w:lang w:val="en-IE"/>
        </w:rPr>
        <w:t xml:space="preserve"> innovation by adequately safeguarding the interests of IP owners. </w:t>
      </w:r>
      <w:r w:rsidR="00B23936" w:rsidRPr="003B11BD">
        <w:rPr>
          <w:noProof/>
          <w:lang w:val="en-IE"/>
        </w:rPr>
        <w:t>Lastly</w:t>
      </w:r>
      <w:r w:rsidRPr="003B11BD">
        <w:rPr>
          <w:noProof/>
          <w:lang w:val="en-IE"/>
        </w:rPr>
        <w:t>, it</w:t>
      </w:r>
      <w:r w:rsidR="00B86C94" w:rsidRPr="003B11BD">
        <w:rPr>
          <w:noProof/>
          <w:lang w:val="en-IE"/>
        </w:rPr>
        <w:t xml:space="preserve"> should offer</w:t>
      </w:r>
      <w:r w:rsidRPr="003B11BD">
        <w:rPr>
          <w:noProof/>
          <w:lang w:val="en-IE"/>
        </w:rPr>
        <w:t xml:space="preserve"> </w:t>
      </w:r>
      <w:r w:rsidR="00B86C94" w:rsidRPr="003B11BD">
        <w:rPr>
          <w:noProof/>
          <w:lang w:val="en-IE"/>
        </w:rPr>
        <w:t xml:space="preserve">a </w:t>
      </w:r>
      <w:r w:rsidRPr="003B11BD">
        <w:rPr>
          <w:noProof/>
          <w:lang w:val="en-IE"/>
        </w:rPr>
        <w:t xml:space="preserve">coherent and coordinated approach, in line with other EU crisis instruments in order to </w:t>
      </w:r>
      <w:r w:rsidR="00B23936" w:rsidRPr="003B11BD">
        <w:rPr>
          <w:noProof/>
          <w:lang w:val="en-IE"/>
        </w:rPr>
        <w:t>reinforce</w:t>
      </w:r>
      <w:r w:rsidRPr="003B11BD">
        <w:rPr>
          <w:noProof/>
          <w:lang w:val="en-IE"/>
        </w:rPr>
        <w:t xml:space="preserve"> </w:t>
      </w:r>
      <w:r w:rsidR="00B86C94" w:rsidRPr="003B11BD">
        <w:rPr>
          <w:noProof/>
          <w:lang w:val="en-IE"/>
        </w:rPr>
        <w:t>EU</w:t>
      </w:r>
      <w:r w:rsidRPr="003B11BD">
        <w:rPr>
          <w:noProof/>
          <w:lang w:val="en-IE"/>
        </w:rPr>
        <w:t xml:space="preserve"> resilience.</w:t>
      </w:r>
    </w:p>
    <w:p w14:paraId="241E6CDD" w14:textId="166D9EC1" w:rsidR="00006638" w:rsidRPr="003B11BD" w:rsidRDefault="00006638" w:rsidP="003B2844">
      <w:pPr>
        <w:pStyle w:val="Heading2"/>
        <w:rPr>
          <w:noProof/>
          <w:lang w:val="en-IE"/>
        </w:rPr>
      </w:pPr>
      <w:bookmarkStart w:id="972" w:name="_Toc118026531"/>
      <w:bookmarkStart w:id="973" w:name="_Toc113028878"/>
      <w:bookmarkStart w:id="974" w:name="_Toc112951461"/>
      <w:bookmarkStart w:id="975" w:name="_Toc112949721"/>
      <w:bookmarkStart w:id="976" w:name="_Toc112927388"/>
      <w:bookmarkStart w:id="977" w:name="_Toc112876742"/>
      <w:bookmarkStart w:id="978" w:name="_Toc112876499"/>
      <w:bookmarkStart w:id="979" w:name="_Toc112698923"/>
      <w:bookmarkStart w:id="980" w:name="_Toc111831919"/>
      <w:bookmarkStart w:id="981" w:name="_Toc111669817"/>
      <w:bookmarkStart w:id="982" w:name="_Toc108989409"/>
      <w:bookmarkStart w:id="983" w:name="_Toc108115263"/>
      <w:bookmarkStart w:id="984" w:name="_Toc108108971"/>
      <w:bookmarkStart w:id="985" w:name="_Toc98766903"/>
      <w:bookmarkStart w:id="986" w:name="_Toc98501762"/>
      <w:bookmarkStart w:id="987" w:name="_Toc88245847"/>
      <w:bookmarkStart w:id="988" w:name="_Toc121489628"/>
      <w:bookmarkStart w:id="989" w:name="_Toc121496388"/>
      <w:bookmarkStart w:id="990" w:name="_Toc121748041"/>
      <w:bookmarkStart w:id="991" w:name="_Toc133435395"/>
      <w:r w:rsidRPr="003B11BD">
        <w:rPr>
          <w:noProof/>
          <w:lang w:val="en-IE"/>
        </w:rPr>
        <w:t xml:space="preserve">Comparison of </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003B2844" w:rsidRPr="003B11BD">
        <w:rPr>
          <w:noProof/>
          <w:lang w:val="en-IE"/>
        </w:rPr>
        <w:t>options against the effectiveness and efficiency criteria</w:t>
      </w:r>
      <w:bookmarkEnd w:id="990"/>
      <w:bookmarkEnd w:id="991"/>
    </w:p>
    <w:p w14:paraId="6410C726" w14:textId="0CADC37E" w:rsidR="001A4086" w:rsidRPr="003B11BD" w:rsidRDefault="001A4086">
      <w:pPr>
        <w:spacing w:after="200"/>
        <w:rPr>
          <w:noProof/>
          <w:lang w:val="en-IE"/>
        </w:rPr>
      </w:pPr>
      <w:bookmarkStart w:id="992" w:name="_Hlk121500641"/>
      <w:r w:rsidRPr="003B11BD">
        <w:rPr>
          <w:noProof/>
          <w:lang w:val="en-IE"/>
        </w:rPr>
        <w:t>Compulsory licensing for crisis management requires specific features that would</w:t>
      </w:r>
      <w:r w:rsidR="00343420" w:rsidRPr="003B11BD">
        <w:rPr>
          <w:noProof/>
          <w:lang w:val="en-IE"/>
        </w:rPr>
        <w:t xml:space="preserve"> </w:t>
      </w:r>
      <w:r w:rsidRPr="003B11BD">
        <w:rPr>
          <w:noProof/>
          <w:lang w:val="en-IE"/>
        </w:rPr>
        <w:t xml:space="preserve">ensure compulsory licences to be effectively granted to tackle the crisis (i.e. </w:t>
      </w:r>
      <w:r w:rsidR="00DD2E6D" w:rsidRPr="003B11BD">
        <w:rPr>
          <w:noProof/>
          <w:lang w:val="en-IE"/>
        </w:rPr>
        <w:t>adequate ground and</w:t>
      </w:r>
      <w:r w:rsidRPr="003B11BD">
        <w:rPr>
          <w:noProof/>
          <w:lang w:val="en-IE"/>
        </w:rPr>
        <w:t xml:space="preserve"> scope)</w:t>
      </w:r>
      <w:r w:rsidR="00343420" w:rsidRPr="003B11BD">
        <w:rPr>
          <w:noProof/>
          <w:lang w:val="en-IE"/>
        </w:rPr>
        <w:t xml:space="preserve"> and </w:t>
      </w:r>
      <w:r w:rsidRPr="003B11BD">
        <w:rPr>
          <w:noProof/>
          <w:lang w:val="en-IE"/>
        </w:rPr>
        <w:t>allow the efficient granting of a compulsory licence, in a swift manner.</w:t>
      </w:r>
      <w:r w:rsidR="000A076C" w:rsidRPr="003B11BD">
        <w:rPr>
          <w:noProof/>
          <w:lang w:val="en-IE"/>
        </w:rPr>
        <w:t xml:space="preserve"> </w:t>
      </w:r>
      <w:r w:rsidRPr="003B11BD">
        <w:rPr>
          <w:b/>
          <w:noProof/>
          <w:lang w:val="en-IE"/>
        </w:rPr>
        <w:t>Clarification of these features</w:t>
      </w:r>
      <w:r w:rsidRPr="003B11BD">
        <w:rPr>
          <w:noProof/>
          <w:lang w:val="en-IE"/>
        </w:rPr>
        <w:t xml:space="preserve"> – and their actual implementation – is therefore necessary to fulfil effectively and efficiently the general objective of having a compulsory licensing scheme </w:t>
      </w:r>
      <w:r w:rsidR="00D8544C" w:rsidRPr="003B11BD">
        <w:rPr>
          <w:noProof/>
          <w:lang w:val="en-IE"/>
        </w:rPr>
        <w:t xml:space="preserve">that </w:t>
      </w:r>
      <w:r w:rsidRPr="003B11BD">
        <w:rPr>
          <w:noProof/>
          <w:lang w:val="en-IE"/>
        </w:rPr>
        <w:t>enabl</w:t>
      </w:r>
      <w:r w:rsidR="00D8544C" w:rsidRPr="003B11BD">
        <w:rPr>
          <w:noProof/>
          <w:lang w:val="en-IE"/>
        </w:rPr>
        <w:t>es</w:t>
      </w:r>
      <w:r w:rsidRPr="003B11BD">
        <w:rPr>
          <w:noProof/>
          <w:lang w:val="en-IE"/>
        </w:rPr>
        <w:t xml:space="preserve"> the EU to timely tackle crises. In that respect, </w:t>
      </w:r>
      <w:r w:rsidR="00E803F4" w:rsidRPr="003B11BD">
        <w:rPr>
          <w:noProof/>
          <w:lang w:val="en-IE"/>
        </w:rPr>
        <w:t>PO</w:t>
      </w:r>
      <w:r w:rsidRPr="003B11BD">
        <w:rPr>
          <w:noProof/>
          <w:lang w:val="en-IE"/>
        </w:rPr>
        <w:t xml:space="preserve">1 </w:t>
      </w:r>
      <w:r w:rsidR="00592FE1" w:rsidRPr="003B11BD">
        <w:rPr>
          <w:noProof/>
          <w:lang w:val="en-IE"/>
        </w:rPr>
        <w:t>is</w:t>
      </w:r>
      <w:r w:rsidRPr="003B11BD">
        <w:rPr>
          <w:noProof/>
          <w:lang w:val="en-IE"/>
        </w:rPr>
        <w:t xml:space="preserve"> the le</w:t>
      </w:r>
      <w:r w:rsidR="00685590" w:rsidRPr="003B11BD">
        <w:rPr>
          <w:noProof/>
          <w:lang w:val="en-IE"/>
        </w:rPr>
        <w:t>ast</w:t>
      </w:r>
      <w:r w:rsidRPr="003B11BD">
        <w:rPr>
          <w:noProof/>
          <w:lang w:val="en-IE"/>
        </w:rPr>
        <w:t xml:space="preserve"> efficient </w:t>
      </w:r>
      <w:r w:rsidR="00D8544C" w:rsidRPr="003B11BD">
        <w:rPr>
          <w:noProof/>
          <w:lang w:val="en-IE"/>
        </w:rPr>
        <w:t xml:space="preserve">option </w:t>
      </w:r>
      <w:r w:rsidRPr="003B11BD">
        <w:rPr>
          <w:noProof/>
          <w:lang w:val="en-IE"/>
        </w:rPr>
        <w:t xml:space="preserve">as it does not </w:t>
      </w:r>
      <w:r w:rsidR="006401D9" w:rsidRPr="003B11BD">
        <w:rPr>
          <w:noProof/>
          <w:lang w:val="en-IE"/>
        </w:rPr>
        <w:t xml:space="preserve">require </w:t>
      </w:r>
      <w:r w:rsidRPr="003B11BD">
        <w:rPr>
          <w:noProof/>
          <w:lang w:val="en-IE"/>
        </w:rPr>
        <w:t xml:space="preserve">Member States to implement these features in their national law. </w:t>
      </w:r>
      <w:r w:rsidR="00E803F4" w:rsidRPr="003B11BD">
        <w:rPr>
          <w:noProof/>
          <w:lang w:val="en-IE"/>
        </w:rPr>
        <w:t>PO</w:t>
      </w:r>
      <w:r w:rsidRPr="003B11BD">
        <w:rPr>
          <w:noProof/>
          <w:lang w:val="en-IE"/>
        </w:rPr>
        <w:t xml:space="preserve">2 and </w:t>
      </w:r>
      <w:r w:rsidR="00E96665" w:rsidRPr="003B11BD">
        <w:rPr>
          <w:noProof/>
          <w:lang w:val="en-IE"/>
        </w:rPr>
        <w:t>PO</w:t>
      </w:r>
      <w:r w:rsidRPr="003B11BD">
        <w:rPr>
          <w:noProof/>
          <w:lang w:val="en-IE"/>
        </w:rPr>
        <w:t xml:space="preserve">3 would increase the clarity </w:t>
      </w:r>
      <w:r w:rsidR="009960A7" w:rsidRPr="003B11BD">
        <w:rPr>
          <w:noProof/>
          <w:lang w:val="en-IE"/>
        </w:rPr>
        <w:t xml:space="preserve">and coherence </w:t>
      </w:r>
      <w:r w:rsidR="00227305" w:rsidRPr="003B11BD">
        <w:rPr>
          <w:noProof/>
          <w:lang w:val="en-IE"/>
        </w:rPr>
        <w:t>since they</w:t>
      </w:r>
      <w:r w:rsidRPr="003B11BD">
        <w:rPr>
          <w:noProof/>
          <w:lang w:val="en-IE"/>
        </w:rPr>
        <w:t xml:space="preserve"> require Member States to </w:t>
      </w:r>
      <w:r w:rsidR="00896B17" w:rsidRPr="003B11BD">
        <w:rPr>
          <w:noProof/>
          <w:lang w:val="en-IE"/>
        </w:rPr>
        <w:t>harmonise some</w:t>
      </w:r>
      <w:r w:rsidRPr="003B11BD">
        <w:rPr>
          <w:noProof/>
          <w:lang w:val="en-IE"/>
        </w:rPr>
        <w:t xml:space="preserve"> features. However, </w:t>
      </w:r>
      <w:r w:rsidR="002B4351" w:rsidRPr="003B11BD">
        <w:rPr>
          <w:noProof/>
          <w:lang w:val="en-IE"/>
        </w:rPr>
        <w:t>the harmonisation does not cover all features, such as the remuneration</w:t>
      </w:r>
      <w:r w:rsidR="001D0E5E" w:rsidRPr="003B11BD">
        <w:rPr>
          <w:noProof/>
          <w:lang w:val="en-IE"/>
        </w:rPr>
        <w:t xml:space="preserve"> (PO3) or the </w:t>
      </w:r>
      <w:r w:rsidR="00E803F4" w:rsidRPr="003B11BD">
        <w:rPr>
          <w:noProof/>
          <w:lang w:val="en-IE"/>
        </w:rPr>
        <w:t>trigger (PO2)</w:t>
      </w:r>
      <w:r w:rsidR="002B4351" w:rsidRPr="003B11BD">
        <w:rPr>
          <w:noProof/>
          <w:lang w:val="en-IE"/>
        </w:rPr>
        <w:t>.</w:t>
      </w:r>
      <w:r w:rsidRPr="003B11BD">
        <w:rPr>
          <w:noProof/>
          <w:lang w:val="en-IE"/>
        </w:rPr>
        <w:t xml:space="preserve"> In addition, </w:t>
      </w:r>
      <w:r w:rsidR="002B4351" w:rsidRPr="003B11BD">
        <w:rPr>
          <w:noProof/>
          <w:lang w:val="en-IE"/>
        </w:rPr>
        <w:t xml:space="preserve">divergences could still exist </w:t>
      </w:r>
      <w:r w:rsidR="006D799E" w:rsidRPr="003B11BD">
        <w:rPr>
          <w:noProof/>
          <w:lang w:val="en-IE"/>
        </w:rPr>
        <w:t>across</w:t>
      </w:r>
      <w:r w:rsidR="002B4351" w:rsidRPr="003B11BD">
        <w:rPr>
          <w:noProof/>
          <w:lang w:val="en-IE"/>
        </w:rPr>
        <w:t xml:space="preserve"> Member States</w:t>
      </w:r>
      <w:r w:rsidR="006D799E" w:rsidRPr="003B11BD">
        <w:rPr>
          <w:noProof/>
          <w:lang w:val="en-IE"/>
        </w:rPr>
        <w:t xml:space="preserve"> at the implementation phase</w:t>
      </w:r>
      <w:r w:rsidRPr="003B11BD">
        <w:rPr>
          <w:noProof/>
          <w:lang w:val="en-IE"/>
        </w:rPr>
        <w:t xml:space="preserve">. </w:t>
      </w:r>
      <w:r w:rsidR="00212287" w:rsidRPr="003B11BD">
        <w:rPr>
          <w:noProof/>
          <w:lang w:val="en-IE"/>
        </w:rPr>
        <w:t>G</w:t>
      </w:r>
      <w:r w:rsidRPr="003B11BD">
        <w:rPr>
          <w:noProof/>
          <w:lang w:val="en-IE"/>
        </w:rPr>
        <w:t xml:space="preserve">ranting would </w:t>
      </w:r>
      <w:r w:rsidR="00212287" w:rsidRPr="003B11BD">
        <w:rPr>
          <w:noProof/>
          <w:lang w:val="en-IE"/>
        </w:rPr>
        <w:t xml:space="preserve">also </w:t>
      </w:r>
      <w:r w:rsidRPr="003B11BD">
        <w:rPr>
          <w:noProof/>
          <w:lang w:val="en-IE"/>
        </w:rPr>
        <w:t>remain national, opening the door for divergent practices and timing</w:t>
      </w:r>
      <w:r w:rsidR="009960A7" w:rsidRPr="003B11BD">
        <w:rPr>
          <w:noProof/>
          <w:lang w:val="en-IE"/>
        </w:rPr>
        <w:t>,</w:t>
      </w:r>
      <w:r w:rsidRPr="003B11BD">
        <w:rPr>
          <w:noProof/>
          <w:lang w:val="en-IE"/>
        </w:rPr>
        <w:t xml:space="preserve"> when </w:t>
      </w:r>
      <w:r w:rsidR="00685590" w:rsidRPr="003B11BD">
        <w:rPr>
          <w:noProof/>
          <w:lang w:val="en-IE"/>
        </w:rPr>
        <w:t>executing</w:t>
      </w:r>
      <w:r w:rsidRPr="003B11BD">
        <w:rPr>
          <w:noProof/>
          <w:lang w:val="en-IE"/>
        </w:rPr>
        <w:t xml:space="preserve"> the national decisions</w:t>
      </w:r>
      <w:r w:rsidR="009960A7" w:rsidRPr="003B11BD">
        <w:rPr>
          <w:noProof/>
          <w:lang w:val="en-IE"/>
        </w:rPr>
        <w:t>. This would</w:t>
      </w:r>
      <w:r w:rsidR="00212287" w:rsidRPr="003B11BD">
        <w:rPr>
          <w:noProof/>
          <w:lang w:val="en-IE"/>
        </w:rPr>
        <w:t xml:space="preserve"> result in less</w:t>
      </w:r>
      <w:r w:rsidR="00A64E76" w:rsidRPr="003B11BD">
        <w:rPr>
          <w:noProof/>
          <w:lang w:val="en-IE"/>
        </w:rPr>
        <w:t xml:space="preserve"> coherence between national compulsory licences.</w:t>
      </w:r>
      <w:r w:rsidRPr="003B11BD">
        <w:rPr>
          <w:noProof/>
          <w:lang w:val="en-IE"/>
        </w:rPr>
        <w:t xml:space="preserve"> In contrast, </w:t>
      </w:r>
      <w:r w:rsidR="00847898" w:rsidRPr="003B11BD">
        <w:rPr>
          <w:noProof/>
          <w:lang w:val="en-IE"/>
        </w:rPr>
        <w:t>PO</w:t>
      </w:r>
      <w:r w:rsidR="00E96665" w:rsidRPr="003B11BD">
        <w:rPr>
          <w:noProof/>
          <w:lang w:val="en-IE"/>
        </w:rPr>
        <w:t>4 provides</w:t>
      </w:r>
      <w:r w:rsidRPr="003B11BD">
        <w:rPr>
          <w:noProof/>
          <w:lang w:val="en-IE"/>
        </w:rPr>
        <w:t xml:space="preserve"> clarity as regards the features of the compulsory licence, as w</w:t>
      </w:r>
      <w:r w:rsidR="00E96665" w:rsidRPr="003B11BD">
        <w:rPr>
          <w:noProof/>
          <w:lang w:val="en-IE"/>
        </w:rPr>
        <w:t xml:space="preserve">ell as </w:t>
      </w:r>
      <w:r w:rsidRPr="003B11BD">
        <w:rPr>
          <w:noProof/>
          <w:lang w:val="en-IE"/>
        </w:rPr>
        <w:t xml:space="preserve">coherence, since there would be one single </w:t>
      </w:r>
      <w:r w:rsidR="00212287" w:rsidRPr="003B11BD">
        <w:rPr>
          <w:noProof/>
          <w:lang w:val="en-IE"/>
        </w:rPr>
        <w:t>EU-level</w:t>
      </w:r>
      <w:r w:rsidRPr="003B11BD">
        <w:rPr>
          <w:noProof/>
          <w:lang w:val="en-IE"/>
        </w:rPr>
        <w:t xml:space="preserve"> compulsory licence. </w:t>
      </w:r>
    </w:p>
    <w:p w14:paraId="72B4DECF" w14:textId="1010DBE6" w:rsidR="001A4086" w:rsidRPr="003B11BD" w:rsidRDefault="001A4086" w:rsidP="00E96665">
      <w:pPr>
        <w:rPr>
          <w:noProof/>
          <w:lang w:val="en-IE"/>
        </w:rPr>
      </w:pPr>
      <w:r w:rsidRPr="003B11BD">
        <w:rPr>
          <w:noProof/>
          <w:lang w:val="en-IE"/>
        </w:rPr>
        <w:t xml:space="preserve">A compulsory licence to </w:t>
      </w:r>
      <w:r w:rsidRPr="003B11BD">
        <w:rPr>
          <w:bCs/>
          <w:noProof/>
          <w:lang w:val="en-IE"/>
        </w:rPr>
        <w:t>tackle cross-border crises</w:t>
      </w:r>
      <w:r w:rsidRPr="003B11BD">
        <w:rPr>
          <w:noProof/>
          <w:lang w:val="en-IE"/>
        </w:rPr>
        <w:t xml:space="preserve"> could only be effective if it applies to the countries manufacturing the critical goods</w:t>
      </w:r>
      <w:r w:rsidR="001A1B46" w:rsidRPr="003B11BD">
        <w:rPr>
          <w:noProof/>
          <w:lang w:val="en-IE"/>
        </w:rPr>
        <w:t xml:space="preserve">, as well as </w:t>
      </w:r>
      <w:r w:rsidR="00E96665" w:rsidRPr="003B11BD">
        <w:rPr>
          <w:noProof/>
          <w:lang w:val="en-IE"/>
        </w:rPr>
        <w:t xml:space="preserve">those </w:t>
      </w:r>
      <w:r w:rsidRPr="003B11BD">
        <w:rPr>
          <w:noProof/>
          <w:lang w:val="en-IE"/>
        </w:rPr>
        <w:t xml:space="preserve">facing the crises. The ability to export goods manufactured </w:t>
      </w:r>
      <w:r w:rsidR="001A5BD6" w:rsidRPr="003B11BD">
        <w:rPr>
          <w:noProof/>
          <w:lang w:val="en-IE"/>
        </w:rPr>
        <w:t xml:space="preserve">under a compulsory licence </w:t>
      </w:r>
      <w:r w:rsidRPr="003B11BD">
        <w:rPr>
          <w:noProof/>
          <w:lang w:val="en-IE"/>
        </w:rPr>
        <w:t xml:space="preserve">from one Member State to the other is therefore a key element. </w:t>
      </w:r>
      <w:r w:rsidR="00EA694D" w:rsidRPr="003B11BD">
        <w:rPr>
          <w:noProof/>
          <w:lang w:val="en-IE"/>
        </w:rPr>
        <w:t>PO</w:t>
      </w:r>
      <w:r w:rsidRPr="003B11BD">
        <w:rPr>
          <w:noProof/>
          <w:lang w:val="en-IE"/>
        </w:rPr>
        <w:t xml:space="preserve">1 and </w:t>
      </w:r>
      <w:r w:rsidR="00E96665" w:rsidRPr="003B11BD">
        <w:rPr>
          <w:noProof/>
          <w:lang w:val="en-IE"/>
        </w:rPr>
        <w:t>PO</w:t>
      </w:r>
      <w:r w:rsidRPr="003B11BD">
        <w:rPr>
          <w:noProof/>
          <w:lang w:val="en-IE"/>
        </w:rPr>
        <w:t>2 prove insufficient in that respect</w:t>
      </w:r>
      <w:r w:rsidR="00EA694D" w:rsidRPr="003B11BD">
        <w:rPr>
          <w:noProof/>
          <w:lang w:val="en-IE"/>
        </w:rPr>
        <w:t xml:space="preserve"> s</w:t>
      </w:r>
      <w:r w:rsidR="005816C9" w:rsidRPr="003B11BD">
        <w:rPr>
          <w:noProof/>
          <w:lang w:val="en-IE"/>
        </w:rPr>
        <w:t>in</w:t>
      </w:r>
      <w:r w:rsidR="00706A6E" w:rsidRPr="003B11BD">
        <w:rPr>
          <w:noProof/>
          <w:lang w:val="en-IE"/>
        </w:rPr>
        <w:t>c</w:t>
      </w:r>
      <w:r w:rsidR="005816C9" w:rsidRPr="003B11BD">
        <w:rPr>
          <w:noProof/>
          <w:lang w:val="en-IE"/>
        </w:rPr>
        <w:t xml:space="preserve">e they </w:t>
      </w:r>
      <w:r w:rsidRPr="003B11BD">
        <w:rPr>
          <w:noProof/>
          <w:lang w:val="en-IE"/>
        </w:rPr>
        <w:t xml:space="preserve">allow </w:t>
      </w:r>
      <w:r w:rsidR="00706A6E" w:rsidRPr="003B11BD">
        <w:rPr>
          <w:noProof/>
          <w:lang w:val="en-IE"/>
        </w:rPr>
        <w:t>a</w:t>
      </w:r>
      <w:r w:rsidRPr="003B11BD">
        <w:rPr>
          <w:noProof/>
          <w:lang w:val="en-IE"/>
        </w:rPr>
        <w:t>t best</w:t>
      </w:r>
      <w:r w:rsidR="00706A6E" w:rsidRPr="003B11BD">
        <w:rPr>
          <w:noProof/>
          <w:lang w:val="en-IE"/>
        </w:rPr>
        <w:t xml:space="preserve"> the export of</w:t>
      </w:r>
      <w:r w:rsidRPr="003B11BD">
        <w:rPr>
          <w:noProof/>
          <w:lang w:val="en-IE"/>
        </w:rPr>
        <w:t xml:space="preserve"> goods. Such solution is impracticable in case of cross-border supply chain. In addition, the lack of exhaustion would still require importing Member States to issue a licence. </w:t>
      </w:r>
      <w:r w:rsidR="00945EDF" w:rsidRPr="003B11BD">
        <w:rPr>
          <w:noProof/>
          <w:lang w:val="en-IE"/>
        </w:rPr>
        <w:t>PO</w:t>
      </w:r>
      <w:r w:rsidRPr="003B11BD">
        <w:rPr>
          <w:noProof/>
          <w:lang w:val="en-IE"/>
        </w:rPr>
        <w:t xml:space="preserve">3 and </w:t>
      </w:r>
      <w:r w:rsidR="00E96665" w:rsidRPr="003B11BD">
        <w:rPr>
          <w:noProof/>
          <w:lang w:val="en-IE"/>
        </w:rPr>
        <w:t>PO</w:t>
      </w:r>
      <w:r w:rsidRPr="003B11BD">
        <w:rPr>
          <w:noProof/>
          <w:lang w:val="en-IE"/>
        </w:rPr>
        <w:t xml:space="preserve">4 </w:t>
      </w:r>
      <w:r w:rsidR="00945EDF" w:rsidRPr="003B11BD">
        <w:rPr>
          <w:noProof/>
          <w:lang w:val="en-IE"/>
        </w:rPr>
        <w:t>provide a</w:t>
      </w:r>
      <w:r w:rsidRPr="003B11BD">
        <w:rPr>
          <w:noProof/>
          <w:lang w:val="en-IE"/>
        </w:rPr>
        <w:t xml:space="preserve"> better </w:t>
      </w:r>
      <w:r w:rsidR="00945EDF" w:rsidRPr="003B11BD">
        <w:rPr>
          <w:noProof/>
          <w:lang w:val="en-IE"/>
        </w:rPr>
        <w:t xml:space="preserve">solution </w:t>
      </w:r>
      <w:r w:rsidRPr="003B11BD">
        <w:rPr>
          <w:noProof/>
          <w:lang w:val="en-IE"/>
        </w:rPr>
        <w:t xml:space="preserve">as they both provide for an </w:t>
      </w:r>
      <w:r w:rsidRPr="003B11BD">
        <w:rPr>
          <w:b/>
          <w:noProof/>
          <w:lang w:val="en-IE"/>
        </w:rPr>
        <w:t>EU-wide effect to the compulsory licences</w:t>
      </w:r>
      <w:r w:rsidRPr="003B11BD">
        <w:rPr>
          <w:noProof/>
          <w:lang w:val="en-IE"/>
        </w:rPr>
        <w:t xml:space="preserve"> </w:t>
      </w:r>
      <w:r w:rsidR="00E96665" w:rsidRPr="003B11BD">
        <w:rPr>
          <w:noProof/>
          <w:lang w:val="en-IE"/>
        </w:rPr>
        <w:t xml:space="preserve">(i.e. </w:t>
      </w:r>
      <w:r w:rsidRPr="003B11BD">
        <w:rPr>
          <w:noProof/>
          <w:lang w:val="en-IE"/>
        </w:rPr>
        <w:t xml:space="preserve">both are effective in guaranteeing a territorial scope </w:t>
      </w:r>
      <w:r w:rsidR="00212287" w:rsidRPr="003B11BD">
        <w:rPr>
          <w:noProof/>
          <w:lang w:val="en-IE"/>
        </w:rPr>
        <w:t xml:space="preserve">that </w:t>
      </w:r>
      <w:r w:rsidRPr="003B11BD">
        <w:rPr>
          <w:noProof/>
          <w:lang w:val="en-IE"/>
        </w:rPr>
        <w:t>fit</w:t>
      </w:r>
      <w:r w:rsidR="00212287" w:rsidRPr="003B11BD">
        <w:rPr>
          <w:noProof/>
          <w:lang w:val="en-IE"/>
        </w:rPr>
        <w:t>s</w:t>
      </w:r>
      <w:r w:rsidRPr="003B11BD">
        <w:rPr>
          <w:noProof/>
          <w:lang w:val="en-IE"/>
        </w:rPr>
        <w:t xml:space="preserve"> cross-border crises</w:t>
      </w:r>
      <w:r w:rsidR="00E96665" w:rsidRPr="003B11BD">
        <w:rPr>
          <w:noProof/>
          <w:lang w:val="en-IE"/>
        </w:rPr>
        <w:t>)</w:t>
      </w:r>
      <w:r w:rsidR="00212287" w:rsidRPr="003B11BD">
        <w:rPr>
          <w:noProof/>
          <w:lang w:val="en-IE"/>
        </w:rPr>
        <w:t>, whereas</w:t>
      </w:r>
      <w:r w:rsidRPr="003B11BD">
        <w:rPr>
          <w:noProof/>
          <w:lang w:val="en-IE"/>
        </w:rPr>
        <w:t xml:space="preserve"> </w:t>
      </w:r>
      <w:r w:rsidR="00520158" w:rsidRPr="003B11BD">
        <w:rPr>
          <w:noProof/>
          <w:lang w:val="en-IE"/>
        </w:rPr>
        <w:t>PO</w:t>
      </w:r>
      <w:r w:rsidRPr="003B11BD">
        <w:rPr>
          <w:noProof/>
          <w:lang w:val="en-IE"/>
        </w:rPr>
        <w:t xml:space="preserve">4 </w:t>
      </w:r>
      <w:r w:rsidR="00AC1414" w:rsidRPr="003B11BD">
        <w:rPr>
          <w:noProof/>
          <w:lang w:val="en-IE"/>
        </w:rPr>
        <w:t>is</w:t>
      </w:r>
      <w:r w:rsidR="00993031" w:rsidRPr="003B11BD">
        <w:rPr>
          <w:noProof/>
          <w:lang w:val="en-IE"/>
        </w:rPr>
        <w:t xml:space="preserve"> the most efficient as regards compulsory licensing for export</w:t>
      </w:r>
      <w:r w:rsidR="00E96665" w:rsidRPr="003B11BD">
        <w:rPr>
          <w:noProof/>
          <w:lang w:val="en-IE"/>
        </w:rPr>
        <w:t>,</w:t>
      </w:r>
      <w:r w:rsidR="00993031" w:rsidRPr="003B11BD">
        <w:rPr>
          <w:noProof/>
          <w:lang w:val="en-IE"/>
        </w:rPr>
        <w:t xml:space="preserve"> as it</w:t>
      </w:r>
      <w:r w:rsidRPr="003B11BD">
        <w:rPr>
          <w:noProof/>
          <w:lang w:val="en-IE"/>
        </w:rPr>
        <w:t xml:space="preserve"> </w:t>
      </w:r>
      <w:r w:rsidR="00E468B0" w:rsidRPr="003B11BD">
        <w:rPr>
          <w:noProof/>
          <w:lang w:val="en-IE"/>
        </w:rPr>
        <w:t xml:space="preserve">also </w:t>
      </w:r>
      <w:r w:rsidRPr="003B11BD">
        <w:rPr>
          <w:noProof/>
          <w:lang w:val="en-IE"/>
        </w:rPr>
        <w:t>allows a cross-border effect</w:t>
      </w:r>
      <w:r w:rsidR="00476236" w:rsidRPr="003B11BD">
        <w:rPr>
          <w:noProof/>
          <w:lang w:val="en-IE"/>
        </w:rPr>
        <w:t xml:space="preserve"> in this case</w:t>
      </w:r>
      <w:r w:rsidRPr="003B11BD">
        <w:rPr>
          <w:noProof/>
          <w:lang w:val="en-IE"/>
        </w:rPr>
        <w:t>.</w:t>
      </w:r>
    </w:p>
    <w:bookmarkEnd w:id="992"/>
    <w:p w14:paraId="1FD49B85" w14:textId="56C4E4F1" w:rsidR="001A4086" w:rsidRPr="003B11BD" w:rsidRDefault="00C00B16" w:rsidP="00E96665">
      <w:pPr>
        <w:rPr>
          <w:noProof/>
          <w:lang w:val="en-IE"/>
        </w:rPr>
      </w:pPr>
      <w:r w:rsidRPr="003B11BD">
        <w:rPr>
          <w:noProof/>
          <w:lang w:val="en-IE"/>
        </w:rPr>
        <w:t>All options</w:t>
      </w:r>
      <w:r w:rsidR="735BF6D2" w:rsidRPr="003B11BD">
        <w:rPr>
          <w:noProof/>
          <w:lang w:val="en-IE"/>
        </w:rPr>
        <w:t xml:space="preserve"> can </w:t>
      </w:r>
      <w:r w:rsidR="735BF6D2" w:rsidRPr="003B11BD">
        <w:rPr>
          <w:b/>
          <w:noProof/>
          <w:lang w:val="en-IE"/>
        </w:rPr>
        <w:t>support other EU crisis instruments</w:t>
      </w:r>
      <w:r w:rsidR="008E17B7" w:rsidRPr="003B11BD">
        <w:rPr>
          <w:noProof/>
          <w:lang w:val="en-IE"/>
        </w:rPr>
        <w:t xml:space="preserve"> by </w:t>
      </w:r>
      <w:r w:rsidR="735BF6D2" w:rsidRPr="003B11BD">
        <w:rPr>
          <w:noProof/>
          <w:lang w:val="en-IE"/>
        </w:rPr>
        <w:t>ensur</w:t>
      </w:r>
      <w:r w:rsidR="00E25A92" w:rsidRPr="003B11BD">
        <w:rPr>
          <w:noProof/>
          <w:lang w:val="en-IE"/>
        </w:rPr>
        <w:t>ing</w:t>
      </w:r>
      <w:r w:rsidR="735BF6D2" w:rsidRPr="003B11BD">
        <w:rPr>
          <w:noProof/>
          <w:lang w:val="en-IE"/>
        </w:rPr>
        <w:t xml:space="preserve"> that compulsory licences can be used in that context</w:t>
      </w:r>
      <w:r w:rsidRPr="003B11BD">
        <w:rPr>
          <w:noProof/>
          <w:lang w:val="en-IE"/>
        </w:rPr>
        <w:t>, albeit with different degree of effectiveness and efficacy</w:t>
      </w:r>
      <w:r w:rsidR="735BF6D2" w:rsidRPr="003B11BD">
        <w:rPr>
          <w:noProof/>
          <w:lang w:val="en-IE"/>
        </w:rPr>
        <w:t xml:space="preserve">. </w:t>
      </w:r>
      <w:r w:rsidR="00E25A92" w:rsidRPr="003B11BD">
        <w:rPr>
          <w:noProof/>
          <w:lang w:val="en-IE"/>
        </w:rPr>
        <w:t>PO</w:t>
      </w:r>
      <w:r w:rsidR="735BF6D2" w:rsidRPr="003B11BD">
        <w:rPr>
          <w:noProof/>
          <w:lang w:val="en-IE"/>
        </w:rPr>
        <w:t xml:space="preserve">1 </w:t>
      </w:r>
      <w:r w:rsidRPr="003B11BD">
        <w:rPr>
          <w:noProof/>
          <w:lang w:val="en-IE"/>
        </w:rPr>
        <w:t xml:space="preserve">scores low on this objective as </w:t>
      </w:r>
      <w:r w:rsidR="735BF6D2" w:rsidRPr="003B11BD">
        <w:rPr>
          <w:noProof/>
          <w:lang w:val="en-IE"/>
        </w:rPr>
        <w:t xml:space="preserve">it </w:t>
      </w:r>
      <w:r w:rsidR="00A64C3E" w:rsidRPr="003B11BD">
        <w:rPr>
          <w:noProof/>
          <w:lang w:val="en-IE"/>
        </w:rPr>
        <w:t>solely</w:t>
      </w:r>
      <w:r w:rsidR="735BF6D2" w:rsidRPr="003B11BD">
        <w:rPr>
          <w:noProof/>
          <w:lang w:val="en-IE"/>
        </w:rPr>
        <w:t xml:space="preserve"> </w:t>
      </w:r>
      <w:r w:rsidR="00DE276F" w:rsidRPr="003B11BD">
        <w:rPr>
          <w:noProof/>
          <w:lang w:val="en-IE"/>
        </w:rPr>
        <w:t>provides for</w:t>
      </w:r>
      <w:r w:rsidR="735BF6D2" w:rsidRPr="003B11BD">
        <w:rPr>
          <w:noProof/>
          <w:lang w:val="en-IE"/>
        </w:rPr>
        <w:t xml:space="preserve"> the possibility for national compulsory licence to be granted in the context of EU crisis instruments. </w:t>
      </w:r>
      <w:r w:rsidR="002E3FD1" w:rsidRPr="003B11BD">
        <w:rPr>
          <w:noProof/>
          <w:lang w:val="en-IE"/>
        </w:rPr>
        <w:t>PO</w:t>
      </w:r>
      <w:r w:rsidR="735BF6D2" w:rsidRPr="003B11BD">
        <w:rPr>
          <w:noProof/>
          <w:lang w:val="en-IE"/>
        </w:rPr>
        <w:t xml:space="preserve">2 </w:t>
      </w:r>
      <w:r w:rsidR="00F55C42" w:rsidRPr="003B11BD">
        <w:rPr>
          <w:noProof/>
          <w:lang w:val="en-IE"/>
        </w:rPr>
        <w:t xml:space="preserve">provides a better solution </w:t>
      </w:r>
      <w:r w:rsidR="735BF6D2" w:rsidRPr="003B11BD">
        <w:rPr>
          <w:noProof/>
          <w:lang w:val="en-IE"/>
        </w:rPr>
        <w:t xml:space="preserve">as this option would explicitly make the link </w:t>
      </w:r>
      <w:r w:rsidR="007E1317" w:rsidRPr="003B11BD">
        <w:rPr>
          <w:noProof/>
          <w:lang w:val="en-IE"/>
        </w:rPr>
        <w:t>between national compulsory licences and EU crisis</w:t>
      </w:r>
      <w:r w:rsidR="735BF6D2" w:rsidRPr="003B11BD">
        <w:rPr>
          <w:noProof/>
          <w:lang w:val="en-IE"/>
        </w:rPr>
        <w:t xml:space="preserve"> instruments, mitigating the risk that a Member State denies the granting of a compulsory licence in the context of an E</w:t>
      </w:r>
      <w:r w:rsidR="00B4600E" w:rsidRPr="003B11BD">
        <w:rPr>
          <w:noProof/>
          <w:lang w:val="en-IE"/>
        </w:rPr>
        <w:t>U</w:t>
      </w:r>
      <w:r w:rsidR="735BF6D2" w:rsidRPr="003B11BD">
        <w:rPr>
          <w:noProof/>
          <w:lang w:val="en-IE"/>
        </w:rPr>
        <w:t xml:space="preserve"> decision activating a crisis mode. </w:t>
      </w:r>
      <w:r w:rsidR="00B4600E" w:rsidRPr="003B11BD">
        <w:rPr>
          <w:noProof/>
          <w:lang w:val="en-IE"/>
        </w:rPr>
        <w:t>PO</w:t>
      </w:r>
      <w:r w:rsidR="735BF6D2" w:rsidRPr="003B11BD">
        <w:rPr>
          <w:noProof/>
          <w:lang w:val="en-IE"/>
        </w:rPr>
        <w:t xml:space="preserve">3 and </w:t>
      </w:r>
      <w:r w:rsidR="00E96665" w:rsidRPr="003B11BD">
        <w:rPr>
          <w:noProof/>
          <w:lang w:val="en-IE"/>
        </w:rPr>
        <w:t>PO</w:t>
      </w:r>
      <w:r w:rsidR="735BF6D2" w:rsidRPr="003B11BD">
        <w:rPr>
          <w:noProof/>
          <w:lang w:val="en-IE"/>
        </w:rPr>
        <w:t xml:space="preserve">4 </w:t>
      </w:r>
      <w:r w:rsidR="0011664A" w:rsidRPr="003B11BD">
        <w:rPr>
          <w:noProof/>
          <w:lang w:val="en-IE"/>
        </w:rPr>
        <w:t xml:space="preserve">go a step further by </w:t>
      </w:r>
      <w:r w:rsidR="00AD64AE" w:rsidRPr="003B11BD">
        <w:rPr>
          <w:noProof/>
          <w:lang w:val="en-IE"/>
        </w:rPr>
        <w:t>embedding compulsory licences in the</w:t>
      </w:r>
      <w:r w:rsidR="735BF6D2" w:rsidRPr="003B11BD">
        <w:rPr>
          <w:noProof/>
          <w:lang w:val="en-IE"/>
        </w:rPr>
        <w:t xml:space="preserve"> EU crisis instruments</w:t>
      </w:r>
      <w:r w:rsidR="00F645A8" w:rsidRPr="003B11BD">
        <w:rPr>
          <w:noProof/>
          <w:lang w:val="en-IE"/>
        </w:rPr>
        <w:t xml:space="preserve"> (i.e. by using them as a</w:t>
      </w:r>
      <w:r w:rsidR="735BF6D2" w:rsidRPr="003B11BD">
        <w:rPr>
          <w:noProof/>
          <w:lang w:val="en-IE"/>
        </w:rPr>
        <w:t xml:space="preserve"> trigger to grant a compulsory licence</w:t>
      </w:r>
      <w:r w:rsidR="00F645A8" w:rsidRPr="003B11BD">
        <w:rPr>
          <w:noProof/>
          <w:lang w:val="en-IE"/>
        </w:rPr>
        <w:t xml:space="preserve"> and by relying on the </w:t>
      </w:r>
      <w:r w:rsidR="0000169B" w:rsidRPr="003B11BD">
        <w:rPr>
          <w:noProof/>
          <w:lang w:val="en-IE"/>
        </w:rPr>
        <w:t>existing crisis bodies</w:t>
      </w:r>
      <w:r w:rsidR="00F645A8" w:rsidRPr="003B11BD">
        <w:rPr>
          <w:noProof/>
          <w:lang w:val="en-IE"/>
        </w:rPr>
        <w:t>)</w:t>
      </w:r>
      <w:r w:rsidR="735BF6D2" w:rsidRPr="003B11BD">
        <w:rPr>
          <w:noProof/>
          <w:lang w:val="en-IE"/>
        </w:rPr>
        <w:t xml:space="preserve">. </w:t>
      </w:r>
      <w:r w:rsidRPr="003B11BD">
        <w:rPr>
          <w:noProof/>
          <w:lang w:val="en-IE"/>
        </w:rPr>
        <w:t xml:space="preserve">The last two options would also strengthen EU bargaining position as 27 countries would run negotiations together and at once. </w:t>
      </w:r>
      <w:r w:rsidR="00AC011B" w:rsidRPr="003B11BD">
        <w:rPr>
          <w:noProof/>
          <w:lang w:val="en-IE"/>
        </w:rPr>
        <w:t xml:space="preserve">As far as the information exchange and transparency is concerned, </w:t>
      </w:r>
      <w:r w:rsidR="00423181" w:rsidRPr="003B11BD">
        <w:rPr>
          <w:noProof/>
          <w:lang w:val="en-IE"/>
        </w:rPr>
        <w:t>PO</w:t>
      </w:r>
      <w:r w:rsidR="735BF6D2" w:rsidRPr="003B11BD">
        <w:rPr>
          <w:noProof/>
          <w:lang w:val="en-IE"/>
        </w:rPr>
        <w:t xml:space="preserve">1 provides no obligation and has therefore limited added-value compared to the baseline. </w:t>
      </w:r>
      <w:r w:rsidR="0025681B" w:rsidRPr="003B11BD">
        <w:rPr>
          <w:noProof/>
          <w:lang w:val="en-IE"/>
        </w:rPr>
        <w:t>All the other options score better</w:t>
      </w:r>
      <w:r w:rsidR="00CC7ACC" w:rsidRPr="003B11BD">
        <w:rPr>
          <w:noProof/>
          <w:lang w:val="en-IE"/>
        </w:rPr>
        <w:t xml:space="preserve"> in this respect,</w:t>
      </w:r>
      <w:r w:rsidR="0025681B" w:rsidRPr="003B11BD">
        <w:rPr>
          <w:noProof/>
          <w:lang w:val="en-IE"/>
        </w:rPr>
        <w:t xml:space="preserve"> </w:t>
      </w:r>
      <w:r w:rsidR="00CD1193" w:rsidRPr="003B11BD">
        <w:rPr>
          <w:noProof/>
          <w:lang w:val="en-IE"/>
        </w:rPr>
        <w:t>although</w:t>
      </w:r>
      <w:r w:rsidR="0025681B" w:rsidRPr="003B11BD">
        <w:rPr>
          <w:noProof/>
          <w:lang w:val="en-IE"/>
        </w:rPr>
        <w:t xml:space="preserve"> the exchange of information and </w:t>
      </w:r>
      <w:r w:rsidR="00A96DF8" w:rsidRPr="003B11BD">
        <w:rPr>
          <w:noProof/>
          <w:lang w:val="en-IE"/>
        </w:rPr>
        <w:t>coordination between</w:t>
      </w:r>
      <w:r w:rsidR="735BF6D2" w:rsidRPr="003B11BD">
        <w:rPr>
          <w:noProof/>
          <w:lang w:val="en-IE"/>
        </w:rPr>
        <w:t xml:space="preserve"> </w:t>
      </w:r>
      <w:r w:rsidR="00CD1193" w:rsidRPr="003B11BD">
        <w:rPr>
          <w:noProof/>
          <w:lang w:val="en-IE"/>
        </w:rPr>
        <w:t>Member States and the Commission</w:t>
      </w:r>
      <w:r w:rsidR="0025681B" w:rsidRPr="003B11BD">
        <w:rPr>
          <w:noProof/>
          <w:lang w:val="en-IE"/>
        </w:rPr>
        <w:t xml:space="preserve"> </w:t>
      </w:r>
      <w:r w:rsidR="00A96DF8" w:rsidRPr="003B11BD">
        <w:rPr>
          <w:noProof/>
          <w:lang w:val="en-IE"/>
        </w:rPr>
        <w:t xml:space="preserve">may </w:t>
      </w:r>
      <w:r w:rsidR="0025681B" w:rsidRPr="003B11BD">
        <w:rPr>
          <w:noProof/>
          <w:lang w:val="en-IE"/>
        </w:rPr>
        <w:t xml:space="preserve">generate some </w:t>
      </w:r>
      <w:r w:rsidR="00CD1193" w:rsidRPr="003B11BD">
        <w:rPr>
          <w:noProof/>
          <w:lang w:val="en-IE"/>
        </w:rPr>
        <w:t xml:space="preserve">minor administrative </w:t>
      </w:r>
      <w:r w:rsidR="0025681B" w:rsidRPr="003B11BD">
        <w:rPr>
          <w:noProof/>
          <w:lang w:val="en-IE"/>
        </w:rPr>
        <w:t>costs</w:t>
      </w:r>
      <w:r w:rsidR="00CD1193" w:rsidRPr="003B11BD">
        <w:rPr>
          <w:noProof/>
          <w:lang w:val="en-IE"/>
        </w:rPr>
        <w:t xml:space="preserve"> (</w:t>
      </w:r>
      <w:r w:rsidR="00A96DF8" w:rsidRPr="003B11BD">
        <w:rPr>
          <w:noProof/>
          <w:lang w:val="en-IE"/>
        </w:rPr>
        <w:t>yet,</w:t>
      </w:r>
      <w:r w:rsidR="0025681B" w:rsidRPr="003B11BD">
        <w:rPr>
          <w:noProof/>
          <w:lang w:val="en-IE"/>
        </w:rPr>
        <w:t xml:space="preserve"> under PO</w:t>
      </w:r>
      <w:r w:rsidR="00FF062D" w:rsidRPr="003B11BD">
        <w:rPr>
          <w:noProof/>
          <w:lang w:val="en-IE"/>
        </w:rPr>
        <w:t>4</w:t>
      </w:r>
      <w:r w:rsidR="0025681B" w:rsidRPr="003B11BD">
        <w:rPr>
          <w:noProof/>
          <w:lang w:val="en-IE"/>
        </w:rPr>
        <w:t xml:space="preserve"> such costs are </w:t>
      </w:r>
      <w:r w:rsidR="00CD1193" w:rsidRPr="003B11BD">
        <w:rPr>
          <w:noProof/>
          <w:lang w:val="en-IE"/>
        </w:rPr>
        <w:t>the lowest</w:t>
      </w:r>
      <w:r w:rsidR="00AC1414" w:rsidRPr="003B11BD">
        <w:rPr>
          <w:noProof/>
          <w:lang w:val="en-IE"/>
        </w:rPr>
        <w:t>, as where there would only be one compulsory licence granted centrally</w:t>
      </w:r>
      <w:r w:rsidR="00CD1193" w:rsidRPr="003B11BD">
        <w:rPr>
          <w:noProof/>
          <w:lang w:val="en-IE"/>
        </w:rPr>
        <w:t>)</w:t>
      </w:r>
      <w:r w:rsidR="735BF6D2" w:rsidRPr="003B11BD">
        <w:rPr>
          <w:noProof/>
          <w:lang w:val="en-IE"/>
        </w:rPr>
        <w:t xml:space="preserve">. </w:t>
      </w:r>
      <w:r w:rsidR="0025681B" w:rsidRPr="003B11BD">
        <w:rPr>
          <w:noProof/>
          <w:lang w:val="en-IE"/>
        </w:rPr>
        <w:t>Finally</w:t>
      </w:r>
      <w:r w:rsidR="735BF6D2" w:rsidRPr="003B11BD">
        <w:rPr>
          <w:noProof/>
          <w:lang w:val="en-IE"/>
        </w:rPr>
        <w:t xml:space="preserve">, </w:t>
      </w:r>
      <w:r w:rsidR="00E96C84" w:rsidRPr="003B11BD">
        <w:rPr>
          <w:noProof/>
          <w:lang w:val="en-IE"/>
        </w:rPr>
        <w:t>PO</w:t>
      </w:r>
      <w:r w:rsidR="735BF6D2" w:rsidRPr="003B11BD">
        <w:rPr>
          <w:noProof/>
          <w:lang w:val="en-IE"/>
        </w:rPr>
        <w:t xml:space="preserve">3 and </w:t>
      </w:r>
      <w:r w:rsidR="0025681B" w:rsidRPr="003B11BD">
        <w:rPr>
          <w:noProof/>
          <w:lang w:val="en-IE"/>
        </w:rPr>
        <w:t>PO</w:t>
      </w:r>
      <w:r w:rsidR="735BF6D2" w:rsidRPr="003B11BD">
        <w:rPr>
          <w:noProof/>
          <w:lang w:val="en-IE"/>
        </w:rPr>
        <w:t xml:space="preserve">4 </w:t>
      </w:r>
      <w:r w:rsidR="00CD1193" w:rsidRPr="003B11BD">
        <w:rPr>
          <w:noProof/>
          <w:lang w:val="en-IE"/>
        </w:rPr>
        <w:t xml:space="preserve">also </w:t>
      </w:r>
      <w:r w:rsidR="0025681B" w:rsidRPr="003B11BD">
        <w:rPr>
          <w:noProof/>
          <w:lang w:val="en-IE"/>
        </w:rPr>
        <w:t>score high in terms of transparency</w:t>
      </w:r>
      <w:r w:rsidR="735BF6D2" w:rsidRPr="003B11BD">
        <w:rPr>
          <w:noProof/>
          <w:lang w:val="en-IE"/>
        </w:rPr>
        <w:t xml:space="preserve"> </w:t>
      </w:r>
      <w:r w:rsidR="0025681B" w:rsidRPr="003B11BD">
        <w:rPr>
          <w:noProof/>
          <w:lang w:val="en-IE"/>
        </w:rPr>
        <w:t>in decision making</w:t>
      </w:r>
      <w:r w:rsidR="00202DC9" w:rsidRPr="003B11BD">
        <w:rPr>
          <w:noProof/>
          <w:lang w:val="en-IE"/>
        </w:rPr>
        <w:t xml:space="preserve"> concerning export</w:t>
      </w:r>
      <w:r w:rsidR="0025681B" w:rsidRPr="003B11BD">
        <w:rPr>
          <w:noProof/>
          <w:lang w:val="en-IE"/>
        </w:rPr>
        <w:t xml:space="preserve"> </w:t>
      </w:r>
      <w:r w:rsidR="735BF6D2" w:rsidRPr="003B11BD">
        <w:rPr>
          <w:noProof/>
          <w:lang w:val="en-IE"/>
        </w:rPr>
        <w:t xml:space="preserve">as they both </w:t>
      </w:r>
      <w:r w:rsidR="008C6711" w:rsidRPr="003B11BD">
        <w:rPr>
          <w:noProof/>
          <w:lang w:val="en-IE"/>
        </w:rPr>
        <w:t xml:space="preserve">allow the </w:t>
      </w:r>
      <w:r w:rsidR="00A9046E" w:rsidRPr="003B11BD">
        <w:rPr>
          <w:noProof/>
          <w:lang w:val="en-IE"/>
        </w:rPr>
        <w:t>Commission</w:t>
      </w:r>
      <w:r w:rsidR="00AC1414" w:rsidRPr="003B11BD">
        <w:rPr>
          <w:noProof/>
          <w:lang w:val="en-IE"/>
        </w:rPr>
        <w:t>,</w:t>
      </w:r>
      <w:r w:rsidR="008763B4" w:rsidRPr="003B11BD">
        <w:rPr>
          <w:noProof/>
          <w:lang w:val="en-IE"/>
        </w:rPr>
        <w:t xml:space="preserve"> assisted by an advisory body,</w:t>
      </w:r>
      <w:r w:rsidR="008C6711" w:rsidRPr="003B11BD">
        <w:rPr>
          <w:noProof/>
          <w:lang w:val="en-IE"/>
        </w:rPr>
        <w:t xml:space="preserve"> to </w:t>
      </w:r>
      <w:r w:rsidR="00D271B2" w:rsidRPr="003B11BD">
        <w:rPr>
          <w:noProof/>
          <w:lang w:val="en-IE"/>
        </w:rPr>
        <w:t xml:space="preserve">provide </w:t>
      </w:r>
      <w:r w:rsidR="008C6711" w:rsidRPr="003B11BD">
        <w:rPr>
          <w:noProof/>
          <w:lang w:val="en-IE"/>
        </w:rPr>
        <w:t>support</w:t>
      </w:r>
      <w:r w:rsidR="00D271B2" w:rsidRPr="003B11BD">
        <w:rPr>
          <w:noProof/>
          <w:lang w:val="en-IE"/>
        </w:rPr>
        <w:t xml:space="preserve"> </w:t>
      </w:r>
      <w:r w:rsidR="00983A66" w:rsidRPr="003B11BD">
        <w:rPr>
          <w:noProof/>
          <w:lang w:val="en-IE"/>
        </w:rPr>
        <w:t>– through increased coordination –</w:t>
      </w:r>
      <w:r w:rsidR="00D271B2" w:rsidRPr="003B11BD">
        <w:rPr>
          <w:noProof/>
          <w:lang w:val="en-IE"/>
        </w:rPr>
        <w:t xml:space="preserve"> to</w:t>
      </w:r>
      <w:r w:rsidR="735BF6D2" w:rsidRPr="003B11BD">
        <w:rPr>
          <w:noProof/>
          <w:lang w:val="en-IE"/>
        </w:rPr>
        <w:t xml:space="preserve"> </w:t>
      </w:r>
      <w:r w:rsidR="002D606C" w:rsidRPr="003B11BD">
        <w:rPr>
          <w:noProof/>
          <w:lang w:val="en-IE"/>
        </w:rPr>
        <w:t xml:space="preserve">non-EU </w:t>
      </w:r>
      <w:r w:rsidR="735BF6D2" w:rsidRPr="003B11BD">
        <w:rPr>
          <w:noProof/>
          <w:lang w:val="en-IE"/>
        </w:rPr>
        <w:t xml:space="preserve">countries. </w:t>
      </w:r>
    </w:p>
    <w:p w14:paraId="3D9E3CE8" w14:textId="28F512E1" w:rsidR="00006638" w:rsidRPr="003B11BD" w:rsidRDefault="00006638" w:rsidP="00006638">
      <w:pPr>
        <w:pStyle w:val="Caption"/>
        <w:keepNext/>
        <w:rPr>
          <w:noProof/>
          <w:lang w:val="en-IE"/>
        </w:rPr>
      </w:pPr>
      <w:bookmarkStart w:id="993" w:name="_Ref111746071"/>
      <w:r w:rsidRPr="003B11BD">
        <w:rPr>
          <w:noProof/>
          <w:lang w:val="en-IE"/>
        </w:rPr>
        <w:t xml:space="preserve">Table </w:t>
      </w:r>
      <w:r w:rsidR="00C6592A">
        <w:rPr>
          <w:noProof/>
          <w:lang w:val="en-IE"/>
        </w:rPr>
        <w:t>6</w:t>
      </w:r>
      <w:bookmarkEnd w:id="993"/>
      <w:r w:rsidRPr="003B11BD">
        <w:rPr>
          <w:noProof/>
          <w:lang w:val="en-IE"/>
        </w:rPr>
        <w:t>: Comparison of policy options against the effectiveness and efficiency criteria</w:t>
      </w:r>
    </w:p>
    <w:tbl>
      <w:tblPr>
        <w:tblStyle w:val="TableGrid"/>
        <w:tblW w:w="8931" w:type="dxa"/>
        <w:tblLayout w:type="fixed"/>
        <w:tblCellMar>
          <w:left w:w="142" w:type="dxa"/>
          <w:right w:w="85" w:type="dxa"/>
        </w:tblCellMar>
        <w:tblLook w:val="04A0" w:firstRow="1" w:lastRow="0" w:firstColumn="1" w:lastColumn="0" w:noHBand="0" w:noVBand="1"/>
      </w:tblPr>
      <w:tblGrid>
        <w:gridCol w:w="454"/>
        <w:gridCol w:w="2126"/>
        <w:gridCol w:w="2098"/>
        <w:gridCol w:w="2013"/>
        <w:gridCol w:w="2240"/>
      </w:tblGrid>
      <w:tr w:rsidR="001F5676" w:rsidRPr="003B11BD" w14:paraId="2EA6D08C" w14:textId="77777777" w:rsidTr="0069758E">
        <w:trPr>
          <w:trHeight w:val="294"/>
        </w:trPr>
        <w:tc>
          <w:tcPr>
            <w:tcW w:w="454" w:type="dxa"/>
            <w:vMerge w:val="restart"/>
            <w:tcBorders>
              <w:top w:val="nil"/>
              <w:left w:val="nil"/>
              <w:right w:val="single" w:sz="4" w:space="0" w:color="auto"/>
            </w:tcBorders>
            <w:vAlign w:val="center"/>
            <w:hideMark/>
          </w:tcPr>
          <w:p w14:paraId="52020C58" w14:textId="77BBAB21" w:rsidR="001F5676" w:rsidRPr="003B11BD" w:rsidRDefault="001F5676" w:rsidP="00B23936">
            <w:pPr>
              <w:spacing w:after="0"/>
              <w:ind w:left="-142" w:right="-112"/>
              <w:rPr>
                <w:b/>
                <w:noProof/>
                <w:sz w:val="16"/>
                <w:szCs w:val="16"/>
                <w:lang w:val="en-IE"/>
              </w:rPr>
            </w:pPr>
          </w:p>
        </w:tc>
        <w:tc>
          <w:tcPr>
            <w:tcW w:w="6237" w:type="dxa"/>
            <w:gridSpan w:val="3"/>
            <w:tcBorders>
              <w:top w:val="single" w:sz="4" w:space="0" w:color="auto"/>
              <w:left w:val="single" w:sz="4" w:space="0" w:color="auto"/>
              <w:right w:val="single" w:sz="4" w:space="0" w:color="auto"/>
            </w:tcBorders>
            <w:vAlign w:val="center"/>
          </w:tcPr>
          <w:p w14:paraId="33A06BE1" w14:textId="77777777" w:rsidR="001F5676" w:rsidRPr="003B11BD" w:rsidRDefault="001F5676">
            <w:pPr>
              <w:tabs>
                <w:tab w:val="num" w:pos="425"/>
              </w:tabs>
              <w:spacing w:after="0"/>
              <w:jc w:val="center"/>
              <w:rPr>
                <w:b/>
                <w:noProof/>
                <w:sz w:val="16"/>
                <w:szCs w:val="16"/>
                <w:lang w:val="en-IE"/>
              </w:rPr>
            </w:pPr>
            <w:r w:rsidRPr="003B11BD">
              <w:rPr>
                <w:b/>
                <w:noProof/>
                <w:sz w:val="16"/>
                <w:szCs w:val="16"/>
                <w:lang w:val="en-IE"/>
              </w:rPr>
              <w:t>Effectiveness in meeting policy objectives</w:t>
            </w:r>
          </w:p>
        </w:tc>
        <w:tc>
          <w:tcPr>
            <w:tcW w:w="2240" w:type="dxa"/>
            <w:vMerge w:val="restart"/>
            <w:tcBorders>
              <w:top w:val="single" w:sz="4" w:space="0" w:color="auto"/>
              <w:left w:val="single" w:sz="4" w:space="0" w:color="auto"/>
              <w:right w:val="single" w:sz="4" w:space="0" w:color="auto"/>
            </w:tcBorders>
            <w:vAlign w:val="center"/>
            <w:hideMark/>
          </w:tcPr>
          <w:p w14:paraId="2C575D66" w14:textId="77777777" w:rsidR="001F5676" w:rsidRPr="003B11BD" w:rsidRDefault="001F5676" w:rsidP="005D7E2C">
            <w:pPr>
              <w:keepNext/>
              <w:tabs>
                <w:tab w:val="num" w:pos="425"/>
              </w:tabs>
              <w:spacing w:after="0"/>
              <w:jc w:val="center"/>
              <w:rPr>
                <w:b/>
                <w:noProof/>
                <w:sz w:val="16"/>
                <w:szCs w:val="16"/>
                <w:lang w:val="en-IE"/>
              </w:rPr>
            </w:pPr>
            <w:r w:rsidRPr="003B11BD">
              <w:rPr>
                <w:b/>
                <w:noProof/>
                <w:sz w:val="16"/>
                <w:szCs w:val="16"/>
                <w:lang w:val="en-IE"/>
              </w:rPr>
              <w:t>Efficiency</w:t>
            </w:r>
          </w:p>
        </w:tc>
      </w:tr>
      <w:tr w:rsidR="001F5676" w:rsidRPr="003B11BD" w14:paraId="6988B15F" w14:textId="77777777" w:rsidTr="0069758E">
        <w:trPr>
          <w:trHeight w:val="186"/>
        </w:trPr>
        <w:tc>
          <w:tcPr>
            <w:tcW w:w="454" w:type="dxa"/>
            <w:vMerge/>
            <w:tcBorders>
              <w:left w:val="nil"/>
              <w:bottom w:val="single" w:sz="4" w:space="0" w:color="auto"/>
            </w:tcBorders>
          </w:tcPr>
          <w:p w14:paraId="33312892" w14:textId="77777777" w:rsidR="001F5676" w:rsidRPr="003B11BD" w:rsidRDefault="001F5676" w:rsidP="00B23936">
            <w:pPr>
              <w:spacing w:after="0"/>
              <w:ind w:left="-142"/>
              <w:jc w:val="left"/>
              <w:rPr>
                <w:b/>
                <w:noProof/>
                <w:sz w:val="18"/>
                <w:szCs w:val="16"/>
                <w:lang w:val="en-IE"/>
              </w:rPr>
            </w:pPr>
          </w:p>
        </w:tc>
        <w:tc>
          <w:tcPr>
            <w:tcW w:w="2126" w:type="dxa"/>
            <w:tcBorders>
              <w:top w:val="single" w:sz="4" w:space="0" w:color="auto"/>
              <w:left w:val="single" w:sz="4" w:space="0" w:color="auto"/>
              <w:right w:val="single" w:sz="4" w:space="0" w:color="auto"/>
            </w:tcBorders>
          </w:tcPr>
          <w:p w14:paraId="7FEE44F9" w14:textId="274927A8" w:rsidR="00E631A1" w:rsidRPr="00E631A1" w:rsidRDefault="00E631A1" w:rsidP="00E631A1">
            <w:pPr>
              <w:tabs>
                <w:tab w:val="num" w:pos="425"/>
              </w:tabs>
              <w:spacing w:after="0"/>
              <w:jc w:val="center"/>
              <w:rPr>
                <w:b/>
                <w:noProof/>
                <w:sz w:val="16"/>
                <w:szCs w:val="16"/>
                <w:lang w:val="en-IE"/>
              </w:rPr>
            </w:pPr>
            <w:r>
              <w:rPr>
                <w:b/>
                <w:noProof/>
                <w:sz w:val="16"/>
                <w:szCs w:val="16"/>
                <w:lang w:val="en-IE"/>
              </w:rPr>
              <w:t>Improve</w:t>
            </w:r>
            <w:r w:rsidR="001F5676" w:rsidRPr="003B11BD">
              <w:rPr>
                <w:b/>
                <w:noProof/>
                <w:sz w:val="16"/>
                <w:szCs w:val="16"/>
                <w:lang w:val="en-IE"/>
              </w:rPr>
              <w:t xml:space="preserve"> </w:t>
            </w:r>
            <w:r>
              <w:rPr>
                <w:b/>
                <w:noProof/>
                <w:sz w:val="16"/>
                <w:szCs w:val="16"/>
                <w:lang w:val="en-IE"/>
              </w:rPr>
              <w:t>the key features of compulsory licensing</w:t>
            </w:r>
          </w:p>
        </w:tc>
        <w:tc>
          <w:tcPr>
            <w:tcW w:w="2098" w:type="dxa"/>
            <w:tcBorders>
              <w:top w:val="single" w:sz="4" w:space="0" w:color="auto"/>
              <w:left w:val="single" w:sz="4" w:space="0" w:color="auto"/>
              <w:bottom w:val="single" w:sz="4" w:space="0" w:color="auto"/>
              <w:right w:val="single" w:sz="4" w:space="0" w:color="auto"/>
            </w:tcBorders>
          </w:tcPr>
          <w:p w14:paraId="72D8FFC9" w14:textId="2DE0D97B" w:rsidR="001F5676" w:rsidRPr="003B11BD" w:rsidRDefault="00A94F37" w:rsidP="00933D80">
            <w:pPr>
              <w:tabs>
                <w:tab w:val="num" w:pos="425"/>
              </w:tabs>
              <w:spacing w:after="0"/>
              <w:jc w:val="center"/>
              <w:rPr>
                <w:b/>
                <w:noProof/>
                <w:sz w:val="18"/>
                <w:szCs w:val="16"/>
                <w:lang w:val="en-IE"/>
              </w:rPr>
            </w:pPr>
            <w:r w:rsidRPr="003B11BD">
              <w:rPr>
                <w:b/>
                <w:noProof/>
                <w:sz w:val="16"/>
                <w:szCs w:val="16"/>
                <w:lang w:val="en-IE"/>
              </w:rPr>
              <w:t>Territorial reach</w:t>
            </w:r>
            <w:r w:rsidR="001F5676" w:rsidRPr="003B11BD">
              <w:rPr>
                <w:b/>
                <w:noProof/>
                <w:sz w:val="16"/>
                <w:szCs w:val="16"/>
                <w:lang w:val="en-IE"/>
              </w:rPr>
              <w:t xml:space="preserve"> </w:t>
            </w:r>
            <w:r w:rsidR="00933D80" w:rsidRPr="003B11BD">
              <w:rPr>
                <w:b/>
                <w:noProof/>
                <w:sz w:val="16"/>
                <w:szCs w:val="16"/>
                <w:lang w:val="en-IE"/>
              </w:rPr>
              <w:t xml:space="preserve">of compulsory licensing </w:t>
            </w:r>
          </w:p>
        </w:tc>
        <w:tc>
          <w:tcPr>
            <w:tcW w:w="2013" w:type="dxa"/>
            <w:tcBorders>
              <w:top w:val="single" w:sz="4" w:space="0" w:color="auto"/>
              <w:left w:val="single" w:sz="4" w:space="0" w:color="auto"/>
              <w:bottom w:val="single" w:sz="4" w:space="0" w:color="auto"/>
              <w:right w:val="single" w:sz="4" w:space="0" w:color="auto"/>
            </w:tcBorders>
          </w:tcPr>
          <w:p w14:paraId="09D9C1A0" w14:textId="77777777" w:rsidR="001F5676" w:rsidRPr="003B11BD" w:rsidRDefault="001F5676" w:rsidP="00EC1EB7">
            <w:pPr>
              <w:tabs>
                <w:tab w:val="num" w:pos="425"/>
              </w:tabs>
              <w:spacing w:after="0"/>
              <w:jc w:val="center"/>
              <w:rPr>
                <w:b/>
                <w:noProof/>
                <w:sz w:val="18"/>
                <w:szCs w:val="16"/>
                <w:lang w:val="en-IE"/>
              </w:rPr>
            </w:pPr>
            <w:r w:rsidRPr="003B11BD">
              <w:rPr>
                <w:b/>
                <w:noProof/>
                <w:sz w:val="16"/>
                <w:szCs w:val="16"/>
                <w:lang w:val="en-IE"/>
              </w:rPr>
              <w:t>Support EU resilience</w:t>
            </w:r>
          </w:p>
        </w:tc>
        <w:tc>
          <w:tcPr>
            <w:tcW w:w="2240" w:type="dxa"/>
            <w:vMerge/>
            <w:tcBorders>
              <w:left w:val="single" w:sz="4" w:space="0" w:color="auto"/>
              <w:right w:val="single" w:sz="4" w:space="0" w:color="auto"/>
            </w:tcBorders>
          </w:tcPr>
          <w:p w14:paraId="01E5D77E" w14:textId="77777777" w:rsidR="001F5676" w:rsidRPr="003B11BD" w:rsidRDefault="001F5676" w:rsidP="00EC1EB7">
            <w:pPr>
              <w:keepNext/>
              <w:tabs>
                <w:tab w:val="num" w:pos="425"/>
              </w:tabs>
              <w:spacing w:after="0"/>
              <w:jc w:val="center"/>
              <w:rPr>
                <w:b/>
                <w:noProof/>
                <w:sz w:val="18"/>
                <w:szCs w:val="16"/>
                <w:lang w:val="en-IE"/>
              </w:rPr>
            </w:pPr>
          </w:p>
        </w:tc>
      </w:tr>
      <w:tr w:rsidR="00700895" w:rsidRPr="003B11BD" w14:paraId="79BB73EA" w14:textId="77777777" w:rsidTr="0069758E">
        <w:trPr>
          <w:trHeight w:val="113"/>
        </w:trPr>
        <w:tc>
          <w:tcPr>
            <w:tcW w:w="454" w:type="dxa"/>
            <w:tcBorders>
              <w:top w:val="single" w:sz="4" w:space="0" w:color="auto"/>
              <w:left w:val="single" w:sz="4" w:space="0" w:color="auto"/>
              <w:bottom w:val="single" w:sz="4" w:space="0" w:color="auto"/>
              <w:right w:val="single" w:sz="4" w:space="0" w:color="auto"/>
            </w:tcBorders>
            <w:hideMark/>
          </w:tcPr>
          <w:p w14:paraId="1D67FFE7" w14:textId="1306CA4A" w:rsidR="00700895" w:rsidRPr="003B11BD" w:rsidRDefault="00B23936" w:rsidP="00CC71AD">
            <w:pPr>
              <w:spacing w:after="0"/>
              <w:ind w:left="-142" w:right="-112"/>
              <w:jc w:val="center"/>
              <w:rPr>
                <w:b/>
                <w:noProof/>
                <w:sz w:val="16"/>
                <w:szCs w:val="16"/>
                <w:lang w:val="en-IE"/>
              </w:rPr>
            </w:pPr>
            <w:r w:rsidRPr="003B11BD">
              <w:rPr>
                <w:b/>
                <w:noProof/>
                <w:sz w:val="16"/>
                <w:szCs w:val="16"/>
                <w:lang w:val="en-IE"/>
              </w:rPr>
              <w:t>PO0</w:t>
            </w:r>
          </w:p>
        </w:tc>
        <w:tc>
          <w:tcPr>
            <w:tcW w:w="2126" w:type="dxa"/>
            <w:tcBorders>
              <w:top w:val="single" w:sz="4" w:space="0" w:color="auto"/>
              <w:left w:val="single" w:sz="4" w:space="0" w:color="auto"/>
              <w:bottom w:val="single" w:sz="4" w:space="0" w:color="auto"/>
              <w:right w:val="single" w:sz="4" w:space="0" w:color="auto"/>
            </w:tcBorders>
          </w:tcPr>
          <w:p w14:paraId="39D0F119" w14:textId="77777777" w:rsidR="00700895" w:rsidRPr="003B11BD" w:rsidRDefault="00700895">
            <w:pPr>
              <w:tabs>
                <w:tab w:val="num" w:pos="425"/>
              </w:tabs>
              <w:spacing w:after="0"/>
              <w:jc w:val="center"/>
              <w:rPr>
                <w:noProof/>
                <w:sz w:val="16"/>
                <w:szCs w:val="16"/>
                <w:lang w:val="en-IE"/>
              </w:rPr>
            </w:pPr>
            <w:r w:rsidRPr="003B11BD">
              <w:rPr>
                <w:noProof/>
                <w:sz w:val="16"/>
                <w:szCs w:val="16"/>
                <w:lang w:val="en-IE"/>
              </w:rPr>
              <w:t>(0)</w:t>
            </w:r>
          </w:p>
        </w:tc>
        <w:tc>
          <w:tcPr>
            <w:tcW w:w="2098" w:type="dxa"/>
            <w:tcBorders>
              <w:top w:val="single" w:sz="4" w:space="0" w:color="auto"/>
              <w:left w:val="single" w:sz="4" w:space="0" w:color="auto"/>
              <w:bottom w:val="single" w:sz="4" w:space="0" w:color="auto"/>
              <w:right w:val="single" w:sz="4" w:space="0" w:color="auto"/>
            </w:tcBorders>
            <w:hideMark/>
          </w:tcPr>
          <w:p w14:paraId="1FBE1E0E" w14:textId="77777777" w:rsidR="00700895" w:rsidRPr="003B11BD" w:rsidRDefault="00700895">
            <w:pPr>
              <w:tabs>
                <w:tab w:val="num" w:pos="425"/>
              </w:tabs>
              <w:spacing w:after="0"/>
              <w:jc w:val="center"/>
              <w:rPr>
                <w:noProof/>
                <w:sz w:val="16"/>
                <w:szCs w:val="16"/>
                <w:lang w:val="en-IE"/>
              </w:rPr>
            </w:pPr>
            <w:r w:rsidRPr="003B11BD">
              <w:rPr>
                <w:noProof/>
                <w:sz w:val="16"/>
                <w:szCs w:val="16"/>
                <w:lang w:val="en-IE"/>
              </w:rPr>
              <w:t>(0)</w:t>
            </w:r>
          </w:p>
        </w:tc>
        <w:tc>
          <w:tcPr>
            <w:tcW w:w="2013" w:type="dxa"/>
            <w:tcBorders>
              <w:top w:val="single" w:sz="4" w:space="0" w:color="auto"/>
              <w:left w:val="single" w:sz="4" w:space="0" w:color="auto"/>
              <w:bottom w:val="single" w:sz="4" w:space="0" w:color="auto"/>
              <w:right w:val="single" w:sz="4" w:space="0" w:color="auto"/>
            </w:tcBorders>
            <w:hideMark/>
          </w:tcPr>
          <w:p w14:paraId="5B93CDFC" w14:textId="77777777" w:rsidR="00700895" w:rsidRPr="003B11BD" w:rsidRDefault="00700895">
            <w:pPr>
              <w:tabs>
                <w:tab w:val="num" w:pos="425"/>
              </w:tabs>
              <w:spacing w:after="0"/>
              <w:jc w:val="center"/>
              <w:rPr>
                <w:noProof/>
                <w:sz w:val="16"/>
                <w:szCs w:val="16"/>
                <w:lang w:val="en-IE"/>
              </w:rPr>
            </w:pPr>
            <w:r w:rsidRPr="003B11BD">
              <w:rPr>
                <w:noProof/>
                <w:sz w:val="16"/>
                <w:szCs w:val="16"/>
                <w:lang w:val="en-IE"/>
              </w:rPr>
              <w:t>(0)</w:t>
            </w:r>
          </w:p>
        </w:tc>
        <w:tc>
          <w:tcPr>
            <w:tcW w:w="2240" w:type="dxa"/>
            <w:tcBorders>
              <w:top w:val="single" w:sz="4" w:space="0" w:color="auto"/>
              <w:left w:val="single" w:sz="4" w:space="0" w:color="auto"/>
              <w:bottom w:val="single" w:sz="4" w:space="0" w:color="auto"/>
              <w:right w:val="single" w:sz="4" w:space="0" w:color="auto"/>
            </w:tcBorders>
            <w:vAlign w:val="center"/>
            <w:hideMark/>
          </w:tcPr>
          <w:p w14:paraId="505220A7" w14:textId="77777777" w:rsidR="00700895" w:rsidRPr="003B11BD" w:rsidRDefault="00700895" w:rsidP="00EC1EB7">
            <w:pPr>
              <w:tabs>
                <w:tab w:val="num" w:pos="425"/>
              </w:tabs>
              <w:spacing w:after="0"/>
              <w:jc w:val="center"/>
              <w:rPr>
                <w:rFonts w:eastAsiaTheme="minorHAnsi"/>
                <w:noProof/>
                <w:sz w:val="16"/>
                <w:szCs w:val="16"/>
                <w:lang w:val="en-IE" w:eastAsia="en-US"/>
              </w:rPr>
            </w:pPr>
            <w:r w:rsidRPr="003B11BD">
              <w:rPr>
                <w:noProof/>
                <w:sz w:val="16"/>
                <w:szCs w:val="16"/>
                <w:lang w:val="en-IE"/>
              </w:rPr>
              <w:t>(0)</w:t>
            </w:r>
          </w:p>
        </w:tc>
      </w:tr>
      <w:tr w:rsidR="00700895" w:rsidRPr="003B11BD" w14:paraId="3CE84B52" w14:textId="77777777" w:rsidTr="0069758E">
        <w:tc>
          <w:tcPr>
            <w:tcW w:w="454" w:type="dxa"/>
            <w:tcBorders>
              <w:top w:val="single" w:sz="4" w:space="0" w:color="auto"/>
              <w:left w:val="single" w:sz="4" w:space="0" w:color="auto"/>
              <w:bottom w:val="single" w:sz="4" w:space="0" w:color="auto"/>
              <w:right w:val="single" w:sz="4" w:space="0" w:color="auto"/>
            </w:tcBorders>
            <w:hideMark/>
          </w:tcPr>
          <w:p w14:paraId="5B863E5F" w14:textId="04C45A19" w:rsidR="00700895" w:rsidRPr="003B11BD" w:rsidRDefault="00B23936" w:rsidP="00CC71AD">
            <w:pPr>
              <w:spacing w:after="0"/>
              <w:ind w:left="-142" w:right="-102"/>
              <w:jc w:val="center"/>
              <w:rPr>
                <w:b/>
                <w:noProof/>
                <w:sz w:val="16"/>
                <w:szCs w:val="16"/>
                <w:lang w:val="en-IE"/>
              </w:rPr>
            </w:pPr>
            <w:r w:rsidRPr="003B11BD">
              <w:rPr>
                <w:b/>
                <w:noProof/>
                <w:sz w:val="16"/>
                <w:szCs w:val="16"/>
                <w:lang w:val="en-IE"/>
              </w:rPr>
              <w:t>PO</w:t>
            </w:r>
            <w:r w:rsidR="00F02EC9" w:rsidRPr="003B11BD">
              <w:rPr>
                <w:b/>
                <w:noProof/>
                <w:sz w:val="16"/>
                <w:szCs w:val="16"/>
                <w:lang w:val="en-IE"/>
              </w:rPr>
              <w:t>1</w:t>
            </w:r>
          </w:p>
        </w:tc>
        <w:tc>
          <w:tcPr>
            <w:tcW w:w="2126" w:type="dxa"/>
            <w:tcBorders>
              <w:top w:val="single" w:sz="4" w:space="0" w:color="auto"/>
              <w:left w:val="single" w:sz="4" w:space="0" w:color="auto"/>
              <w:bottom w:val="single" w:sz="4" w:space="0" w:color="auto"/>
              <w:right w:val="single" w:sz="4" w:space="0" w:color="auto"/>
            </w:tcBorders>
          </w:tcPr>
          <w:p w14:paraId="4813A890" w14:textId="54D39609" w:rsidR="00700895" w:rsidRPr="003B11BD" w:rsidRDefault="00700895" w:rsidP="000B5D2D">
            <w:pPr>
              <w:tabs>
                <w:tab w:val="num" w:pos="425"/>
              </w:tabs>
              <w:spacing w:after="0" w:line="276" w:lineRule="auto"/>
              <w:jc w:val="center"/>
              <w:rPr>
                <w:noProof/>
                <w:sz w:val="16"/>
                <w:szCs w:val="16"/>
                <w:lang w:val="en-IE"/>
              </w:rPr>
            </w:pPr>
            <w:r w:rsidRPr="003B11BD">
              <w:rPr>
                <w:noProof/>
                <w:sz w:val="16"/>
                <w:szCs w:val="16"/>
                <w:lang w:val="en-IE"/>
              </w:rPr>
              <w:t>(0/+) Limited harmonis</w:t>
            </w:r>
            <w:r w:rsidR="000B5D2D" w:rsidRPr="003B11BD">
              <w:rPr>
                <w:noProof/>
                <w:sz w:val="16"/>
                <w:szCs w:val="16"/>
                <w:lang w:val="en-IE"/>
              </w:rPr>
              <w:t>ation</w:t>
            </w:r>
            <w:r w:rsidRPr="003B11BD">
              <w:rPr>
                <w:noProof/>
                <w:sz w:val="16"/>
                <w:szCs w:val="16"/>
                <w:lang w:val="en-IE"/>
              </w:rPr>
              <w:t xml:space="preserve"> affecting coherence between national CLs.</w:t>
            </w:r>
          </w:p>
        </w:tc>
        <w:tc>
          <w:tcPr>
            <w:tcW w:w="2098" w:type="dxa"/>
            <w:tcBorders>
              <w:top w:val="single" w:sz="4" w:space="0" w:color="auto"/>
              <w:left w:val="single" w:sz="4" w:space="0" w:color="auto"/>
              <w:bottom w:val="single" w:sz="4" w:space="0" w:color="auto"/>
              <w:right w:val="single" w:sz="4" w:space="0" w:color="auto"/>
            </w:tcBorders>
            <w:hideMark/>
          </w:tcPr>
          <w:p w14:paraId="3536854A" w14:textId="605C8CA1" w:rsidR="00700895" w:rsidRPr="003B11BD" w:rsidRDefault="00700895" w:rsidP="00CC71AD">
            <w:pPr>
              <w:tabs>
                <w:tab w:val="num" w:pos="425"/>
              </w:tabs>
              <w:spacing w:after="0" w:line="276" w:lineRule="auto"/>
              <w:ind w:right="137"/>
              <w:jc w:val="center"/>
              <w:rPr>
                <w:noProof/>
                <w:sz w:val="16"/>
                <w:szCs w:val="16"/>
                <w:lang w:val="en-IE"/>
              </w:rPr>
            </w:pPr>
            <w:r w:rsidRPr="003B11BD">
              <w:rPr>
                <w:noProof/>
                <w:sz w:val="16"/>
                <w:szCs w:val="16"/>
                <w:lang w:val="en-IE"/>
              </w:rPr>
              <w:t>(0) Unfit territorial reach to tackle cross-border crises.</w:t>
            </w:r>
          </w:p>
        </w:tc>
        <w:tc>
          <w:tcPr>
            <w:tcW w:w="2013" w:type="dxa"/>
            <w:tcBorders>
              <w:top w:val="single" w:sz="4" w:space="0" w:color="auto"/>
              <w:left w:val="single" w:sz="4" w:space="0" w:color="auto"/>
              <w:bottom w:val="single" w:sz="4" w:space="0" w:color="auto"/>
              <w:right w:val="single" w:sz="4" w:space="0" w:color="auto"/>
            </w:tcBorders>
            <w:hideMark/>
          </w:tcPr>
          <w:p w14:paraId="07A42DB8" w14:textId="3A7D3DD1" w:rsidR="00700895" w:rsidRPr="003B11BD" w:rsidRDefault="00700895" w:rsidP="00CC71AD">
            <w:pPr>
              <w:tabs>
                <w:tab w:val="num" w:pos="425"/>
              </w:tabs>
              <w:spacing w:after="0"/>
              <w:ind w:right="133"/>
              <w:jc w:val="center"/>
              <w:rPr>
                <w:b/>
                <w:noProof/>
                <w:sz w:val="16"/>
                <w:szCs w:val="16"/>
                <w:lang w:val="en-IE"/>
              </w:rPr>
            </w:pPr>
            <w:r w:rsidRPr="003B11BD">
              <w:rPr>
                <w:noProof/>
                <w:sz w:val="16"/>
                <w:szCs w:val="16"/>
                <w:lang w:val="en-IE"/>
              </w:rPr>
              <w:t xml:space="preserve">(0/+) No full embedding of </w:t>
            </w:r>
            <w:r w:rsidR="000B5D2D" w:rsidRPr="003B11BD">
              <w:rPr>
                <w:b/>
                <w:noProof/>
                <w:sz w:val="16"/>
                <w:szCs w:val="16"/>
                <w:lang w:val="en-IE"/>
              </w:rPr>
              <w:t>compulsory licensing</w:t>
            </w:r>
            <w:r w:rsidRPr="003B11BD">
              <w:rPr>
                <w:noProof/>
                <w:sz w:val="16"/>
                <w:szCs w:val="16"/>
                <w:lang w:val="en-IE"/>
              </w:rPr>
              <w:t xml:space="preserve"> in EU crisis instruments.</w:t>
            </w:r>
          </w:p>
        </w:tc>
        <w:tc>
          <w:tcPr>
            <w:tcW w:w="2240" w:type="dxa"/>
            <w:tcBorders>
              <w:top w:val="single" w:sz="4" w:space="0" w:color="auto"/>
              <w:left w:val="single" w:sz="4" w:space="0" w:color="auto"/>
              <w:bottom w:val="single" w:sz="4" w:space="0" w:color="auto"/>
              <w:right w:val="single" w:sz="4" w:space="0" w:color="auto"/>
            </w:tcBorders>
          </w:tcPr>
          <w:p w14:paraId="407AAA69" w14:textId="6FD7C2C4" w:rsidR="00700895" w:rsidRPr="003B11BD" w:rsidRDefault="005D48D5" w:rsidP="00CC71AD">
            <w:pPr>
              <w:tabs>
                <w:tab w:val="num" w:pos="425"/>
              </w:tabs>
              <w:spacing w:after="0"/>
              <w:ind w:right="141"/>
              <w:jc w:val="center"/>
              <w:rPr>
                <w:noProof/>
                <w:sz w:val="16"/>
                <w:szCs w:val="16"/>
                <w:lang w:val="en-IE"/>
              </w:rPr>
            </w:pPr>
            <w:r w:rsidRPr="003B11BD">
              <w:rPr>
                <w:noProof/>
                <w:sz w:val="16"/>
                <w:szCs w:val="16"/>
                <w:lang w:val="en-IE"/>
              </w:rPr>
              <w:t>(0/+) U</w:t>
            </w:r>
            <w:r w:rsidR="00C27C3C" w:rsidRPr="003B11BD">
              <w:rPr>
                <w:noProof/>
                <w:sz w:val="16"/>
                <w:szCs w:val="16"/>
                <w:lang w:val="en-IE"/>
              </w:rPr>
              <w:t>ncertain</w:t>
            </w:r>
            <w:r w:rsidR="00700895" w:rsidRPr="003B11BD">
              <w:rPr>
                <w:noProof/>
                <w:sz w:val="16"/>
                <w:szCs w:val="16"/>
                <w:lang w:val="en-IE"/>
              </w:rPr>
              <w:t xml:space="preserve"> </w:t>
            </w:r>
            <w:r w:rsidR="00C27C3C" w:rsidRPr="003B11BD">
              <w:rPr>
                <w:noProof/>
                <w:sz w:val="16"/>
                <w:szCs w:val="16"/>
                <w:lang w:val="en-IE"/>
              </w:rPr>
              <w:t xml:space="preserve">social and economic outcomes </w:t>
            </w:r>
            <w:r w:rsidR="007976EA" w:rsidRPr="003B11BD">
              <w:rPr>
                <w:noProof/>
                <w:sz w:val="16"/>
                <w:szCs w:val="16"/>
                <w:lang w:val="en-IE"/>
              </w:rPr>
              <w:t>in the event of a</w:t>
            </w:r>
            <w:r w:rsidR="00700895" w:rsidRPr="003B11BD">
              <w:rPr>
                <w:noProof/>
                <w:sz w:val="16"/>
                <w:szCs w:val="16"/>
                <w:lang w:val="en-IE"/>
              </w:rPr>
              <w:t xml:space="preserve"> crisis</w:t>
            </w:r>
            <w:r w:rsidR="00B23936" w:rsidRPr="003B11BD">
              <w:rPr>
                <w:noProof/>
                <w:sz w:val="16"/>
                <w:szCs w:val="16"/>
                <w:lang w:val="en-IE"/>
              </w:rPr>
              <w:t>; regulatory cost depend on uptake</w:t>
            </w:r>
            <w:r w:rsidR="00700895" w:rsidRPr="003B11BD">
              <w:rPr>
                <w:noProof/>
                <w:sz w:val="16"/>
                <w:szCs w:val="16"/>
                <w:lang w:val="en-IE"/>
              </w:rPr>
              <w:t>.</w:t>
            </w:r>
          </w:p>
        </w:tc>
      </w:tr>
      <w:tr w:rsidR="00700895" w:rsidRPr="003B11BD" w14:paraId="146BD21B" w14:textId="77777777" w:rsidTr="0069758E">
        <w:tc>
          <w:tcPr>
            <w:tcW w:w="454" w:type="dxa"/>
            <w:tcBorders>
              <w:top w:val="single" w:sz="4" w:space="0" w:color="auto"/>
              <w:left w:val="single" w:sz="4" w:space="0" w:color="auto"/>
              <w:bottom w:val="single" w:sz="4" w:space="0" w:color="auto"/>
              <w:right w:val="single" w:sz="4" w:space="0" w:color="auto"/>
            </w:tcBorders>
            <w:hideMark/>
          </w:tcPr>
          <w:p w14:paraId="709000BF" w14:textId="7FC0689F" w:rsidR="00700895" w:rsidRPr="003B11BD" w:rsidRDefault="00B23936" w:rsidP="00CC71AD">
            <w:pPr>
              <w:spacing w:after="0"/>
              <w:ind w:left="-142" w:right="-102"/>
              <w:jc w:val="center"/>
              <w:rPr>
                <w:b/>
                <w:i/>
                <w:noProof/>
                <w:sz w:val="16"/>
                <w:szCs w:val="16"/>
                <w:lang w:val="en-IE"/>
              </w:rPr>
            </w:pPr>
            <w:r w:rsidRPr="003B11BD">
              <w:rPr>
                <w:b/>
                <w:noProof/>
                <w:sz w:val="16"/>
                <w:szCs w:val="16"/>
                <w:lang w:val="en-IE"/>
              </w:rPr>
              <w:t>PO</w:t>
            </w:r>
            <w:r w:rsidR="00700895" w:rsidRPr="003B11BD">
              <w:rPr>
                <w:b/>
                <w:noProof/>
                <w:sz w:val="16"/>
                <w:szCs w:val="16"/>
                <w:lang w:val="en-IE"/>
              </w:rPr>
              <w:t>2</w:t>
            </w:r>
          </w:p>
        </w:tc>
        <w:tc>
          <w:tcPr>
            <w:tcW w:w="2126" w:type="dxa"/>
            <w:tcBorders>
              <w:top w:val="single" w:sz="4" w:space="0" w:color="auto"/>
              <w:left w:val="single" w:sz="4" w:space="0" w:color="auto"/>
              <w:bottom w:val="single" w:sz="4" w:space="0" w:color="auto"/>
              <w:right w:val="single" w:sz="4" w:space="0" w:color="auto"/>
            </w:tcBorders>
          </w:tcPr>
          <w:p w14:paraId="5F799ED7" w14:textId="5D779328" w:rsidR="00700895" w:rsidRPr="003B11BD" w:rsidRDefault="00700895" w:rsidP="00B64009">
            <w:pPr>
              <w:tabs>
                <w:tab w:val="num" w:pos="425"/>
              </w:tabs>
              <w:spacing w:after="0"/>
              <w:jc w:val="center"/>
              <w:rPr>
                <w:noProof/>
                <w:sz w:val="16"/>
                <w:szCs w:val="16"/>
                <w:lang w:val="en-IE"/>
              </w:rPr>
            </w:pPr>
            <w:r w:rsidRPr="003B11BD">
              <w:rPr>
                <w:noProof/>
                <w:sz w:val="16"/>
                <w:szCs w:val="16"/>
                <w:lang w:val="en-IE"/>
              </w:rPr>
              <w:t xml:space="preserve">(+) Increased harmonisation but risk of non-aligned national CLs. Decision on crisis and </w:t>
            </w:r>
            <w:r w:rsidR="00E6068C" w:rsidRPr="003B11BD">
              <w:rPr>
                <w:noProof/>
                <w:sz w:val="16"/>
                <w:szCs w:val="16"/>
                <w:lang w:val="en-IE"/>
              </w:rPr>
              <w:t xml:space="preserve">compulsory licensing </w:t>
            </w:r>
            <w:r w:rsidRPr="003B11BD">
              <w:rPr>
                <w:noProof/>
                <w:sz w:val="16"/>
                <w:szCs w:val="16"/>
                <w:lang w:val="en-IE"/>
              </w:rPr>
              <w:t>belongs to MS. Limited improvement for cross-border situations.</w:t>
            </w:r>
          </w:p>
        </w:tc>
        <w:tc>
          <w:tcPr>
            <w:tcW w:w="2098" w:type="dxa"/>
            <w:tcBorders>
              <w:top w:val="single" w:sz="4" w:space="0" w:color="auto"/>
              <w:left w:val="single" w:sz="4" w:space="0" w:color="auto"/>
              <w:bottom w:val="single" w:sz="4" w:space="0" w:color="auto"/>
              <w:right w:val="single" w:sz="4" w:space="0" w:color="auto"/>
            </w:tcBorders>
          </w:tcPr>
          <w:p w14:paraId="4D111265" w14:textId="508ACFA6" w:rsidR="00700895" w:rsidRPr="003B11BD" w:rsidRDefault="00700895" w:rsidP="005E4F9D">
            <w:pPr>
              <w:tabs>
                <w:tab w:val="num" w:pos="425"/>
              </w:tabs>
              <w:spacing w:after="0"/>
              <w:ind w:right="137"/>
              <w:jc w:val="center"/>
              <w:rPr>
                <w:noProof/>
                <w:sz w:val="16"/>
                <w:szCs w:val="16"/>
                <w:lang w:val="en-IE"/>
              </w:rPr>
            </w:pPr>
            <w:r w:rsidRPr="003B11BD">
              <w:rPr>
                <w:noProof/>
                <w:sz w:val="16"/>
                <w:szCs w:val="16"/>
                <w:lang w:val="en-IE"/>
              </w:rPr>
              <w:t>(0/+)</w:t>
            </w:r>
            <w:r w:rsidR="004D1468" w:rsidRPr="003B11BD">
              <w:rPr>
                <w:noProof/>
                <w:sz w:val="16"/>
                <w:szCs w:val="16"/>
                <w:lang w:val="en-IE"/>
              </w:rPr>
              <w:t xml:space="preserve"> </w:t>
            </w:r>
            <w:r w:rsidR="005E4F9D" w:rsidRPr="003B11BD">
              <w:rPr>
                <w:noProof/>
                <w:sz w:val="16"/>
                <w:szCs w:val="16"/>
                <w:lang w:val="en-IE"/>
              </w:rPr>
              <w:t xml:space="preserve">EU countries </w:t>
            </w:r>
            <w:r w:rsidR="00421683" w:rsidRPr="003B11BD">
              <w:rPr>
                <w:noProof/>
                <w:sz w:val="16"/>
                <w:szCs w:val="16"/>
                <w:lang w:val="en-IE"/>
              </w:rPr>
              <w:t xml:space="preserve">can </w:t>
            </w:r>
            <w:r w:rsidRPr="003B11BD">
              <w:rPr>
                <w:noProof/>
                <w:sz w:val="16"/>
                <w:szCs w:val="16"/>
                <w:lang w:val="en-IE"/>
              </w:rPr>
              <w:t>authorise export to limited extent</w:t>
            </w:r>
            <w:r w:rsidR="00421683" w:rsidRPr="003B11BD">
              <w:rPr>
                <w:noProof/>
                <w:sz w:val="16"/>
                <w:szCs w:val="16"/>
                <w:lang w:val="en-IE"/>
              </w:rPr>
              <w:t>, but</w:t>
            </w:r>
            <w:r w:rsidRPr="003B11BD">
              <w:rPr>
                <w:noProof/>
                <w:sz w:val="16"/>
                <w:szCs w:val="16"/>
                <w:lang w:val="en-IE"/>
              </w:rPr>
              <w:t xml:space="preserve"> no exhaustion (i.e. need of </w:t>
            </w:r>
            <w:r w:rsidR="00E6068C" w:rsidRPr="003B11BD">
              <w:rPr>
                <w:noProof/>
                <w:sz w:val="16"/>
                <w:szCs w:val="16"/>
                <w:lang w:val="en-IE"/>
              </w:rPr>
              <w:t xml:space="preserve">compulsory licensing </w:t>
            </w:r>
            <w:r w:rsidRPr="003B11BD">
              <w:rPr>
                <w:noProof/>
                <w:sz w:val="16"/>
                <w:szCs w:val="16"/>
                <w:lang w:val="en-IE"/>
              </w:rPr>
              <w:t xml:space="preserve">to import). </w:t>
            </w:r>
          </w:p>
        </w:tc>
        <w:tc>
          <w:tcPr>
            <w:tcW w:w="2013" w:type="dxa"/>
            <w:tcBorders>
              <w:top w:val="single" w:sz="4" w:space="0" w:color="auto"/>
              <w:left w:val="single" w:sz="4" w:space="0" w:color="auto"/>
              <w:bottom w:val="single" w:sz="4" w:space="0" w:color="auto"/>
              <w:right w:val="single" w:sz="4" w:space="0" w:color="auto"/>
            </w:tcBorders>
          </w:tcPr>
          <w:p w14:paraId="22FB996A" w14:textId="44050EF7" w:rsidR="00700895" w:rsidRPr="003B11BD" w:rsidRDefault="00700895" w:rsidP="00CC71AD">
            <w:pPr>
              <w:tabs>
                <w:tab w:val="num" w:pos="425"/>
              </w:tabs>
              <w:spacing w:after="0"/>
              <w:ind w:right="133"/>
              <w:jc w:val="center"/>
              <w:rPr>
                <w:b/>
                <w:noProof/>
                <w:sz w:val="16"/>
                <w:szCs w:val="16"/>
                <w:lang w:val="en-IE"/>
              </w:rPr>
            </w:pPr>
            <w:r w:rsidRPr="003B11BD">
              <w:rPr>
                <w:b/>
                <w:noProof/>
                <w:sz w:val="16"/>
                <w:szCs w:val="16"/>
                <w:lang w:val="en-IE"/>
              </w:rPr>
              <w:t xml:space="preserve">(+) </w:t>
            </w:r>
            <w:r w:rsidRPr="003B11BD">
              <w:rPr>
                <w:noProof/>
                <w:sz w:val="16"/>
                <w:szCs w:val="16"/>
                <w:lang w:val="en-IE"/>
              </w:rPr>
              <w:t xml:space="preserve">Better embedding of national </w:t>
            </w:r>
            <w:r w:rsidR="000B5D2D" w:rsidRPr="003B11BD">
              <w:rPr>
                <w:b/>
                <w:noProof/>
                <w:sz w:val="16"/>
                <w:szCs w:val="16"/>
                <w:lang w:val="en-IE"/>
              </w:rPr>
              <w:t>compulsory licensing</w:t>
            </w:r>
            <w:r w:rsidRPr="003B11BD">
              <w:rPr>
                <w:noProof/>
                <w:sz w:val="16"/>
                <w:szCs w:val="16"/>
                <w:lang w:val="en-IE"/>
              </w:rPr>
              <w:t xml:space="preserve"> in EU crisis instruments and improved coherence between national CLs.</w:t>
            </w:r>
          </w:p>
        </w:tc>
        <w:tc>
          <w:tcPr>
            <w:tcW w:w="2240" w:type="dxa"/>
            <w:tcBorders>
              <w:top w:val="single" w:sz="4" w:space="0" w:color="auto"/>
              <w:left w:val="single" w:sz="4" w:space="0" w:color="auto"/>
              <w:bottom w:val="single" w:sz="4" w:space="0" w:color="auto"/>
              <w:right w:val="single" w:sz="4" w:space="0" w:color="auto"/>
            </w:tcBorders>
          </w:tcPr>
          <w:p w14:paraId="2939407D" w14:textId="03CD5427" w:rsidR="00700895" w:rsidRPr="003B11BD" w:rsidRDefault="00700895" w:rsidP="00CC71AD">
            <w:pPr>
              <w:tabs>
                <w:tab w:val="num" w:pos="425"/>
              </w:tabs>
              <w:spacing w:after="0"/>
              <w:ind w:right="141"/>
              <w:jc w:val="center"/>
              <w:rPr>
                <w:noProof/>
                <w:sz w:val="16"/>
                <w:szCs w:val="16"/>
                <w:lang w:val="en-IE"/>
              </w:rPr>
            </w:pPr>
            <w:r w:rsidRPr="003B11BD">
              <w:rPr>
                <w:noProof/>
                <w:sz w:val="16"/>
                <w:szCs w:val="16"/>
                <w:lang w:val="en-IE"/>
              </w:rPr>
              <w:t>(+)</w:t>
            </w:r>
            <w:r w:rsidR="00D56B6E" w:rsidRPr="003B11BD">
              <w:rPr>
                <w:noProof/>
                <w:sz w:val="16"/>
                <w:szCs w:val="16"/>
                <w:lang w:val="en-IE"/>
              </w:rPr>
              <w:t xml:space="preserve"> </w:t>
            </w:r>
            <w:r w:rsidR="005D48D5" w:rsidRPr="003B11BD">
              <w:rPr>
                <w:noProof/>
                <w:sz w:val="16"/>
                <w:szCs w:val="16"/>
                <w:lang w:val="en-IE"/>
              </w:rPr>
              <w:t>S</w:t>
            </w:r>
            <w:r w:rsidR="00C27C3C" w:rsidRPr="003B11BD">
              <w:rPr>
                <w:noProof/>
                <w:sz w:val="16"/>
                <w:szCs w:val="16"/>
                <w:lang w:val="en-IE"/>
              </w:rPr>
              <w:t xml:space="preserve">ocial and economic </w:t>
            </w:r>
            <w:r w:rsidR="005D48D5" w:rsidRPr="003B11BD">
              <w:rPr>
                <w:noProof/>
                <w:sz w:val="16"/>
                <w:szCs w:val="16"/>
                <w:lang w:val="en-IE"/>
              </w:rPr>
              <w:t>benefits</w:t>
            </w:r>
            <w:r w:rsidR="00C27C3C" w:rsidRPr="003B11BD">
              <w:rPr>
                <w:noProof/>
                <w:sz w:val="16"/>
                <w:szCs w:val="16"/>
                <w:lang w:val="en-IE"/>
              </w:rPr>
              <w:t xml:space="preserve"> for society</w:t>
            </w:r>
            <w:r w:rsidRPr="003B11BD">
              <w:rPr>
                <w:noProof/>
                <w:sz w:val="16"/>
                <w:szCs w:val="16"/>
                <w:lang w:val="en-IE"/>
              </w:rPr>
              <w:t xml:space="preserve"> if crisis </w:t>
            </w:r>
            <w:r w:rsidR="005D48D5" w:rsidRPr="003B11BD">
              <w:rPr>
                <w:noProof/>
                <w:sz w:val="16"/>
                <w:szCs w:val="16"/>
                <w:lang w:val="en-IE"/>
              </w:rPr>
              <w:t xml:space="preserve">limited or </w:t>
            </w:r>
            <w:r w:rsidRPr="003B11BD">
              <w:rPr>
                <w:noProof/>
                <w:sz w:val="16"/>
                <w:szCs w:val="16"/>
                <w:lang w:val="en-IE"/>
              </w:rPr>
              <w:t xml:space="preserve">avoided, but </w:t>
            </w:r>
            <w:r w:rsidR="005D48D5" w:rsidRPr="003B11BD">
              <w:rPr>
                <w:noProof/>
                <w:sz w:val="16"/>
                <w:szCs w:val="16"/>
                <w:lang w:val="en-IE"/>
              </w:rPr>
              <w:t xml:space="preserve">may be undermined by </w:t>
            </w:r>
            <w:r w:rsidRPr="003B11BD">
              <w:rPr>
                <w:noProof/>
                <w:sz w:val="16"/>
                <w:szCs w:val="16"/>
                <w:lang w:val="en-IE"/>
              </w:rPr>
              <w:t>national divergences in implementat</w:t>
            </w:r>
            <w:r w:rsidR="001F5676" w:rsidRPr="003B11BD">
              <w:rPr>
                <w:noProof/>
                <w:sz w:val="16"/>
                <w:szCs w:val="16"/>
                <w:lang w:val="en-IE"/>
              </w:rPr>
              <w:t>ion;</w:t>
            </w:r>
            <w:r w:rsidR="005D48D5" w:rsidRPr="003B11BD">
              <w:rPr>
                <w:noProof/>
                <w:sz w:val="16"/>
                <w:szCs w:val="16"/>
                <w:lang w:val="en-IE"/>
              </w:rPr>
              <w:t xml:space="preserve"> can be obtained at</w:t>
            </w:r>
            <w:r w:rsidR="001F5676" w:rsidRPr="003B11BD">
              <w:rPr>
                <w:noProof/>
                <w:sz w:val="16"/>
                <w:szCs w:val="16"/>
                <w:lang w:val="en-IE"/>
              </w:rPr>
              <w:t xml:space="preserve"> </w:t>
            </w:r>
            <w:r w:rsidR="004D1468" w:rsidRPr="003B11BD">
              <w:rPr>
                <w:noProof/>
                <w:sz w:val="16"/>
                <w:szCs w:val="16"/>
                <w:lang w:val="en-IE"/>
              </w:rPr>
              <w:t>low regulatory costs</w:t>
            </w:r>
            <w:r w:rsidR="002D2640" w:rsidRPr="003B11BD">
              <w:rPr>
                <w:noProof/>
                <w:sz w:val="16"/>
                <w:szCs w:val="16"/>
                <w:lang w:val="en-IE"/>
              </w:rPr>
              <w:t>.</w:t>
            </w:r>
          </w:p>
        </w:tc>
      </w:tr>
      <w:tr w:rsidR="00700895" w:rsidRPr="003B11BD" w14:paraId="207B7E89" w14:textId="77777777" w:rsidTr="0069758E">
        <w:tc>
          <w:tcPr>
            <w:tcW w:w="454" w:type="dxa"/>
            <w:tcBorders>
              <w:top w:val="single" w:sz="4" w:space="0" w:color="auto"/>
              <w:left w:val="single" w:sz="4" w:space="0" w:color="auto"/>
              <w:bottom w:val="single" w:sz="4" w:space="0" w:color="auto"/>
              <w:right w:val="single" w:sz="4" w:space="0" w:color="auto"/>
            </w:tcBorders>
            <w:hideMark/>
          </w:tcPr>
          <w:p w14:paraId="626FEB53" w14:textId="4CC438DF" w:rsidR="00700895" w:rsidRPr="003B11BD" w:rsidRDefault="00B23936" w:rsidP="00CC71AD">
            <w:pPr>
              <w:spacing w:after="0"/>
              <w:ind w:left="-142" w:right="-102"/>
              <w:jc w:val="center"/>
              <w:rPr>
                <w:b/>
                <w:i/>
                <w:noProof/>
                <w:sz w:val="16"/>
                <w:szCs w:val="16"/>
                <w:lang w:val="en-IE"/>
              </w:rPr>
            </w:pPr>
            <w:r w:rsidRPr="003B11BD">
              <w:rPr>
                <w:b/>
                <w:noProof/>
                <w:sz w:val="16"/>
                <w:szCs w:val="16"/>
                <w:lang w:val="en-IE"/>
              </w:rPr>
              <w:t>PO</w:t>
            </w:r>
            <w:r w:rsidR="00700895" w:rsidRPr="003B11BD">
              <w:rPr>
                <w:b/>
                <w:noProof/>
                <w:sz w:val="16"/>
                <w:szCs w:val="16"/>
                <w:lang w:val="en-IE"/>
              </w:rPr>
              <w:t>3</w:t>
            </w:r>
          </w:p>
        </w:tc>
        <w:tc>
          <w:tcPr>
            <w:tcW w:w="2126" w:type="dxa"/>
            <w:tcBorders>
              <w:top w:val="single" w:sz="4" w:space="0" w:color="auto"/>
              <w:left w:val="single" w:sz="4" w:space="0" w:color="auto"/>
              <w:bottom w:val="single" w:sz="4" w:space="0" w:color="auto"/>
              <w:right w:val="single" w:sz="4" w:space="0" w:color="auto"/>
            </w:tcBorders>
          </w:tcPr>
          <w:p w14:paraId="7AA3C529" w14:textId="376CDC3B" w:rsidR="00700895" w:rsidRPr="003B11BD" w:rsidRDefault="00700895" w:rsidP="001F5676">
            <w:pPr>
              <w:tabs>
                <w:tab w:val="num" w:pos="425"/>
              </w:tabs>
              <w:spacing w:after="0"/>
              <w:jc w:val="center"/>
              <w:rPr>
                <w:noProof/>
                <w:sz w:val="16"/>
                <w:szCs w:val="16"/>
                <w:lang w:val="en-IE"/>
              </w:rPr>
            </w:pPr>
            <w:r w:rsidRPr="003B11BD">
              <w:rPr>
                <w:noProof/>
                <w:sz w:val="16"/>
                <w:szCs w:val="16"/>
                <w:lang w:val="en-IE"/>
              </w:rPr>
              <w:t xml:space="preserve">(++) Increased clarity and coherence through harmonisation and one single act </w:t>
            </w:r>
            <w:r w:rsidR="001F5676" w:rsidRPr="003B11BD">
              <w:rPr>
                <w:noProof/>
                <w:sz w:val="16"/>
                <w:szCs w:val="16"/>
                <w:lang w:val="en-IE"/>
              </w:rPr>
              <w:t>(</w:t>
            </w:r>
            <w:r w:rsidRPr="003B11BD">
              <w:rPr>
                <w:noProof/>
                <w:sz w:val="16"/>
                <w:szCs w:val="16"/>
                <w:lang w:val="en-IE"/>
              </w:rPr>
              <w:t>basis for national CLs</w:t>
            </w:r>
            <w:r w:rsidR="001F5676" w:rsidRPr="003B11BD">
              <w:rPr>
                <w:noProof/>
                <w:sz w:val="16"/>
                <w:szCs w:val="16"/>
                <w:lang w:val="en-IE"/>
              </w:rPr>
              <w:t>), but</w:t>
            </w:r>
            <w:r w:rsidRPr="003B11BD">
              <w:rPr>
                <w:noProof/>
                <w:sz w:val="16"/>
                <w:szCs w:val="16"/>
                <w:lang w:val="en-IE"/>
              </w:rPr>
              <w:t xml:space="preserve"> limited harmonisation on </w:t>
            </w:r>
            <w:r w:rsidR="001F5676" w:rsidRPr="003B11BD">
              <w:rPr>
                <w:noProof/>
                <w:sz w:val="16"/>
                <w:szCs w:val="16"/>
                <w:lang w:val="en-IE"/>
              </w:rPr>
              <w:t>other ke</w:t>
            </w:r>
            <w:r w:rsidRPr="003B11BD">
              <w:rPr>
                <w:noProof/>
                <w:sz w:val="16"/>
                <w:szCs w:val="16"/>
                <w:lang w:val="en-IE"/>
              </w:rPr>
              <w:t>y aspects.</w:t>
            </w:r>
            <w:r w:rsidRPr="003B11BD" w:rsidDel="00732DF7">
              <w:rPr>
                <w:noProof/>
                <w:sz w:val="16"/>
                <w:szCs w:val="16"/>
                <w:lang w:val="en-IE"/>
              </w:rPr>
              <w:t xml:space="preserve"> </w:t>
            </w:r>
          </w:p>
        </w:tc>
        <w:tc>
          <w:tcPr>
            <w:tcW w:w="2098" w:type="dxa"/>
            <w:tcBorders>
              <w:top w:val="single" w:sz="4" w:space="0" w:color="auto"/>
              <w:left w:val="single" w:sz="4" w:space="0" w:color="auto"/>
              <w:bottom w:val="single" w:sz="4" w:space="0" w:color="auto"/>
              <w:right w:val="single" w:sz="4" w:space="0" w:color="auto"/>
            </w:tcBorders>
          </w:tcPr>
          <w:p w14:paraId="77CFB951" w14:textId="58B55D10" w:rsidR="00700895" w:rsidRPr="003B11BD" w:rsidRDefault="00700895" w:rsidP="00421683">
            <w:pPr>
              <w:tabs>
                <w:tab w:val="num" w:pos="425"/>
              </w:tabs>
              <w:spacing w:after="0"/>
              <w:ind w:right="137"/>
              <w:jc w:val="center"/>
              <w:rPr>
                <w:noProof/>
                <w:sz w:val="16"/>
                <w:szCs w:val="16"/>
                <w:lang w:val="en-IE"/>
              </w:rPr>
            </w:pPr>
            <w:r w:rsidRPr="003B11BD">
              <w:rPr>
                <w:noProof/>
                <w:sz w:val="16"/>
                <w:szCs w:val="16"/>
                <w:lang w:val="en-IE"/>
              </w:rPr>
              <w:t xml:space="preserve">(++) EU-wide effect of the </w:t>
            </w:r>
            <w:r w:rsidR="00E6068C" w:rsidRPr="003B11BD">
              <w:rPr>
                <w:noProof/>
                <w:sz w:val="16"/>
                <w:szCs w:val="16"/>
                <w:lang w:val="en-IE"/>
              </w:rPr>
              <w:t xml:space="preserve">compulsory licensing </w:t>
            </w:r>
            <w:r w:rsidRPr="003B11BD">
              <w:rPr>
                <w:noProof/>
                <w:sz w:val="16"/>
                <w:szCs w:val="16"/>
                <w:lang w:val="en-IE"/>
              </w:rPr>
              <w:t xml:space="preserve">based on an </w:t>
            </w:r>
            <w:r w:rsidR="00BB5978" w:rsidRPr="003B11BD">
              <w:rPr>
                <w:noProof/>
                <w:sz w:val="16"/>
                <w:szCs w:val="16"/>
                <w:lang w:val="en-IE"/>
              </w:rPr>
              <w:t>activation measure</w:t>
            </w:r>
            <w:r w:rsidRPr="003B11BD">
              <w:rPr>
                <w:noProof/>
                <w:sz w:val="16"/>
                <w:szCs w:val="16"/>
                <w:lang w:val="en-IE"/>
              </w:rPr>
              <w:t xml:space="preserve"> and exhaustion would result in fewer CL</w:t>
            </w:r>
            <w:r w:rsidR="001F5676" w:rsidRPr="003B11BD">
              <w:rPr>
                <w:noProof/>
                <w:sz w:val="16"/>
                <w:szCs w:val="16"/>
                <w:lang w:val="en-IE"/>
              </w:rPr>
              <w:t>s</w:t>
            </w:r>
            <w:r w:rsidRPr="003B11BD">
              <w:rPr>
                <w:noProof/>
                <w:sz w:val="16"/>
                <w:szCs w:val="16"/>
                <w:lang w:val="en-IE"/>
              </w:rPr>
              <w:t xml:space="preserve">. Territorial reach </w:t>
            </w:r>
            <w:r w:rsidR="00421683" w:rsidRPr="003B11BD">
              <w:rPr>
                <w:noProof/>
                <w:sz w:val="16"/>
                <w:szCs w:val="16"/>
                <w:lang w:val="en-IE"/>
              </w:rPr>
              <w:t xml:space="preserve">better </w:t>
            </w:r>
            <w:r w:rsidRPr="003B11BD">
              <w:rPr>
                <w:noProof/>
                <w:sz w:val="16"/>
                <w:szCs w:val="16"/>
                <w:lang w:val="en-IE"/>
              </w:rPr>
              <w:t xml:space="preserve">fit to tackle </w:t>
            </w:r>
            <w:r w:rsidR="00421683" w:rsidRPr="003B11BD">
              <w:rPr>
                <w:noProof/>
                <w:sz w:val="16"/>
                <w:szCs w:val="16"/>
                <w:lang w:val="en-IE"/>
              </w:rPr>
              <w:t>cross-border</w:t>
            </w:r>
            <w:r w:rsidRPr="003B11BD">
              <w:rPr>
                <w:noProof/>
                <w:sz w:val="16"/>
                <w:szCs w:val="16"/>
                <w:lang w:val="en-IE"/>
              </w:rPr>
              <w:t xml:space="preserve"> crises. </w:t>
            </w:r>
          </w:p>
        </w:tc>
        <w:tc>
          <w:tcPr>
            <w:tcW w:w="2013" w:type="dxa"/>
            <w:tcBorders>
              <w:top w:val="single" w:sz="4" w:space="0" w:color="auto"/>
              <w:left w:val="single" w:sz="4" w:space="0" w:color="auto"/>
              <w:bottom w:val="single" w:sz="4" w:space="0" w:color="auto"/>
              <w:right w:val="single" w:sz="4" w:space="0" w:color="auto"/>
            </w:tcBorders>
          </w:tcPr>
          <w:p w14:paraId="77054957" w14:textId="4D2E46F1" w:rsidR="00700895" w:rsidRPr="003B11BD" w:rsidRDefault="00700895" w:rsidP="00CC71AD">
            <w:pPr>
              <w:tabs>
                <w:tab w:val="num" w:pos="425"/>
              </w:tabs>
              <w:spacing w:after="0"/>
              <w:ind w:right="133"/>
              <w:jc w:val="center"/>
              <w:rPr>
                <w:noProof/>
                <w:sz w:val="16"/>
                <w:szCs w:val="16"/>
                <w:lang w:val="en-IE"/>
              </w:rPr>
            </w:pPr>
            <w:r w:rsidRPr="003B11BD">
              <w:rPr>
                <w:b/>
                <w:noProof/>
                <w:sz w:val="16"/>
                <w:szCs w:val="16"/>
                <w:lang w:val="en-IE"/>
              </w:rPr>
              <w:t>(+</w:t>
            </w:r>
            <w:r w:rsidR="00D8544C" w:rsidRPr="003B11BD">
              <w:rPr>
                <w:b/>
                <w:noProof/>
                <w:sz w:val="16"/>
                <w:szCs w:val="16"/>
                <w:lang w:val="en-IE"/>
              </w:rPr>
              <w:t>+</w:t>
            </w:r>
            <w:r w:rsidRPr="003B11BD">
              <w:rPr>
                <w:b/>
                <w:noProof/>
                <w:sz w:val="16"/>
                <w:szCs w:val="16"/>
                <w:lang w:val="en-IE"/>
              </w:rPr>
              <w:t xml:space="preserve">+) </w:t>
            </w:r>
            <w:r w:rsidRPr="003B11BD">
              <w:rPr>
                <w:noProof/>
                <w:sz w:val="16"/>
                <w:szCs w:val="16"/>
                <w:lang w:val="en-IE"/>
              </w:rPr>
              <w:t xml:space="preserve">Full alignment between EU crisis instruments and </w:t>
            </w:r>
            <w:r w:rsidR="000B5D2D" w:rsidRPr="003B11BD">
              <w:rPr>
                <w:b/>
                <w:noProof/>
                <w:sz w:val="16"/>
                <w:szCs w:val="16"/>
                <w:lang w:val="en-IE"/>
              </w:rPr>
              <w:t>compulsory licensing</w:t>
            </w:r>
            <w:r w:rsidRPr="003B11BD">
              <w:rPr>
                <w:noProof/>
                <w:sz w:val="16"/>
                <w:szCs w:val="16"/>
                <w:lang w:val="en-IE"/>
              </w:rPr>
              <w:t xml:space="preserve"> (alignment of trigger and relevant bodies)</w:t>
            </w:r>
            <w:r w:rsidR="00A9338E" w:rsidRPr="003B11BD">
              <w:rPr>
                <w:noProof/>
                <w:sz w:val="16"/>
                <w:szCs w:val="16"/>
                <w:lang w:val="en-IE"/>
              </w:rPr>
              <w:t>; support of EU bargaining power</w:t>
            </w:r>
            <w:r w:rsidRPr="003B11BD">
              <w:rPr>
                <w:noProof/>
                <w:sz w:val="16"/>
                <w:szCs w:val="16"/>
                <w:lang w:val="en-IE"/>
              </w:rPr>
              <w:t xml:space="preserve">. </w:t>
            </w:r>
          </w:p>
        </w:tc>
        <w:tc>
          <w:tcPr>
            <w:tcW w:w="2240" w:type="dxa"/>
            <w:tcBorders>
              <w:top w:val="single" w:sz="4" w:space="0" w:color="auto"/>
              <w:left w:val="single" w:sz="4" w:space="0" w:color="auto"/>
              <w:bottom w:val="single" w:sz="4" w:space="0" w:color="auto"/>
              <w:right w:val="single" w:sz="4" w:space="0" w:color="auto"/>
            </w:tcBorders>
          </w:tcPr>
          <w:p w14:paraId="20DB849F" w14:textId="12595F04" w:rsidR="00700895" w:rsidRPr="003B11BD" w:rsidRDefault="00700895" w:rsidP="00CC71AD">
            <w:pPr>
              <w:tabs>
                <w:tab w:val="num" w:pos="425"/>
              </w:tabs>
              <w:spacing w:after="0"/>
              <w:ind w:right="141"/>
              <w:jc w:val="center"/>
              <w:rPr>
                <w:noProof/>
                <w:sz w:val="16"/>
                <w:szCs w:val="16"/>
                <w:lang w:val="en-IE"/>
              </w:rPr>
            </w:pPr>
            <w:r w:rsidRPr="003B11BD">
              <w:rPr>
                <w:noProof/>
                <w:sz w:val="16"/>
                <w:szCs w:val="16"/>
                <w:lang w:val="en-IE"/>
              </w:rPr>
              <w:t>(++)</w:t>
            </w:r>
            <w:r w:rsidR="005D48D5" w:rsidRPr="003B11BD">
              <w:rPr>
                <w:noProof/>
                <w:sz w:val="16"/>
                <w:szCs w:val="16"/>
                <w:lang w:val="en-IE"/>
              </w:rPr>
              <w:t xml:space="preserve"> Social and economic benefits for society if crisis limited or avoided</w:t>
            </w:r>
            <w:r w:rsidR="004D1468" w:rsidRPr="003B11BD">
              <w:rPr>
                <w:noProof/>
                <w:sz w:val="16"/>
                <w:szCs w:val="16"/>
                <w:lang w:val="en-IE"/>
              </w:rPr>
              <w:t>;</w:t>
            </w:r>
            <w:r w:rsidR="002C5966" w:rsidRPr="003B11BD">
              <w:rPr>
                <w:noProof/>
                <w:sz w:val="16"/>
                <w:szCs w:val="16"/>
                <w:lang w:val="en-IE"/>
              </w:rPr>
              <w:t xml:space="preserve"> </w:t>
            </w:r>
            <w:r w:rsidR="005D48D5" w:rsidRPr="003B11BD">
              <w:rPr>
                <w:noProof/>
                <w:sz w:val="16"/>
                <w:szCs w:val="16"/>
                <w:lang w:val="en-IE"/>
              </w:rPr>
              <w:t xml:space="preserve">can be obtained at </w:t>
            </w:r>
            <w:r w:rsidR="002C5966" w:rsidRPr="003B11BD">
              <w:rPr>
                <w:noProof/>
                <w:sz w:val="16"/>
                <w:szCs w:val="16"/>
                <w:lang w:val="en-IE"/>
              </w:rPr>
              <w:t>low regulatory costs</w:t>
            </w:r>
            <w:r w:rsidRPr="003B11BD">
              <w:rPr>
                <w:noProof/>
                <w:sz w:val="16"/>
                <w:szCs w:val="16"/>
                <w:lang w:val="en-IE"/>
              </w:rPr>
              <w:t>.</w:t>
            </w:r>
          </w:p>
        </w:tc>
      </w:tr>
      <w:tr w:rsidR="00700895" w:rsidRPr="003B11BD" w14:paraId="092C2648" w14:textId="77777777" w:rsidTr="0069758E">
        <w:tc>
          <w:tcPr>
            <w:tcW w:w="454" w:type="dxa"/>
            <w:tcBorders>
              <w:top w:val="single" w:sz="4" w:space="0" w:color="auto"/>
              <w:left w:val="single" w:sz="4" w:space="0" w:color="auto"/>
              <w:bottom w:val="single" w:sz="4" w:space="0" w:color="auto"/>
              <w:right w:val="single" w:sz="4" w:space="0" w:color="auto"/>
            </w:tcBorders>
            <w:hideMark/>
          </w:tcPr>
          <w:p w14:paraId="6BFA69F9" w14:textId="7D833C4F" w:rsidR="00700895" w:rsidRPr="003B11BD" w:rsidRDefault="00700895" w:rsidP="00CC71AD">
            <w:pPr>
              <w:spacing w:after="0"/>
              <w:ind w:left="-142" w:right="-102"/>
              <w:jc w:val="center"/>
              <w:rPr>
                <w:b/>
                <w:noProof/>
                <w:sz w:val="16"/>
                <w:szCs w:val="16"/>
                <w:lang w:val="en-IE"/>
              </w:rPr>
            </w:pPr>
            <w:r w:rsidRPr="003B11BD">
              <w:rPr>
                <w:b/>
                <w:noProof/>
                <w:sz w:val="16"/>
                <w:szCs w:val="16"/>
                <w:lang w:val="en-IE"/>
              </w:rPr>
              <w:t>PO4</w:t>
            </w:r>
          </w:p>
        </w:tc>
        <w:tc>
          <w:tcPr>
            <w:tcW w:w="2126" w:type="dxa"/>
            <w:tcBorders>
              <w:top w:val="single" w:sz="4" w:space="0" w:color="auto"/>
              <w:left w:val="single" w:sz="4" w:space="0" w:color="auto"/>
              <w:bottom w:val="single" w:sz="4" w:space="0" w:color="auto"/>
              <w:right w:val="single" w:sz="4" w:space="0" w:color="auto"/>
            </w:tcBorders>
          </w:tcPr>
          <w:p w14:paraId="706EFD29" w14:textId="3DEAC642" w:rsidR="00700895" w:rsidRPr="003B11BD" w:rsidRDefault="00700895" w:rsidP="004D1468">
            <w:pPr>
              <w:tabs>
                <w:tab w:val="num" w:pos="425"/>
              </w:tabs>
              <w:spacing w:after="0"/>
              <w:jc w:val="center"/>
              <w:rPr>
                <w:noProof/>
                <w:sz w:val="16"/>
                <w:szCs w:val="16"/>
                <w:lang w:val="en-IE"/>
              </w:rPr>
            </w:pPr>
            <w:r w:rsidRPr="003B11BD">
              <w:rPr>
                <w:noProof/>
                <w:sz w:val="16"/>
                <w:szCs w:val="16"/>
                <w:lang w:val="en-IE"/>
              </w:rPr>
              <w:t>(+++)</w:t>
            </w:r>
            <w:r w:rsidR="004D1468" w:rsidRPr="003B11BD">
              <w:rPr>
                <w:noProof/>
                <w:sz w:val="16"/>
                <w:szCs w:val="16"/>
                <w:lang w:val="en-IE"/>
              </w:rPr>
              <w:t xml:space="preserve"> </w:t>
            </w:r>
            <w:r w:rsidRPr="003B11BD">
              <w:rPr>
                <w:noProof/>
                <w:sz w:val="16"/>
                <w:szCs w:val="16"/>
                <w:lang w:val="en-IE"/>
              </w:rPr>
              <w:t>Clarity and coherence resulting from one single procedure and one single CL at EU level.</w:t>
            </w:r>
          </w:p>
        </w:tc>
        <w:tc>
          <w:tcPr>
            <w:tcW w:w="2098" w:type="dxa"/>
            <w:tcBorders>
              <w:top w:val="single" w:sz="4" w:space="0" w:color="auto"/>
              <w:left w:val="single" w:sz="4" w:space="0" w:color="auto"/>
              <w:bottom w:val="single" w:sz="4" w:space="0" w:color="auto"/>
              <w:right w:val="single" w:sz="4" w:space="0" w:color="auto"/>
            </w:tcBorders>
          </w:tcPr>
          <w:p w14:paraId="3F5D413D" w14:textId="66A0CE92" w:rsidR="00700895" w:rsidRPr="003B11BD" w:rsidRDefault="00700895" w:rsidP="009960A7">
            <w:pPr>
              <w:tabs>
                <w:tab w:val="num" w:pos="425"/>
              </w:tabs>
              <w:spacing w:after="0"/>
              <w:ind w:right="137"/>
              <w:jc w:val="center"/>
              <w:rPr>
                <w:noProof/>
                <w:sz w:val="16"/>
                <w:szCs w:val="16"/>
                <w:lang w:val="en-IE"/>
              </w:rPr>
            </w:pPr>
            <w:r w:rsidRPr="003B11BD">
              <w:rPr>
                <w:noProof/>
                <w:sz w:val="16"/>
                <w:szCs w:val="16"/>
                <w:lang w:val="en-IE"/>
              </w:rPr>
              <w:t>(+++)</w:t>
            </w:r>
            <w:r w:rsidR="004D1468" w:rsidRPr="003B11BD">
              <w:rPr>
                <w:noProof/>
                <w:sz w:val="16"/>
                <w:szCs w:val="16"/>
                <w:lang w:val="en-IE"/>
              </w:rPr>
              <w:t xml:space="preserve"> </w:t>
            </w:r>
            <w:r w:rsidRPr="003B11BD">
              <w:rPr>
                <w:noProof/>
                <w:sz w:val="16"/>
                <w:szCs w:val="16"/>
                <w:lang w:val="en-IE"/>
              </w:rPr>
              <w:t>One single CL with adequate territorial reach (potentially the whole EU) and exhaustion would create an efficient tool to tackle cross-border crises</w:t>
            </w:r>
            <w:r w:rsidR="009960A7" w:rsidRPr="003B11BD">
              <w:rPr>
                <w:noProof/>
                <w:sz w:val="16"/>
                <w:szCs w:val="16"/>
                <w:lang w:val="en-IE"/>
              </w:rPr>
              <w:t>, also addresses export</w:t>
            </w:r>
            <w:r w:rsidRPr="003B11BD">
              <w:rPr>
                <w:noProof/>
                <w:sz w:val="16"/>
                <w:szCs w:val="16"/>
                <w:lang w:val="en-IE"/>
              </w:rPr>
              <w:t>.</w:t>
            </w:r>
          </w:p>
        </w:tc>
        <w:tc>
          <w:tcPr>
            <w:tcW w:w="2013" w:type="dxa"/>
            <w:tcBorders>
              <w:top w:val="single" w:sz="4" w:space="0" w:color="auto"/>
              <w:left w:val="single" w:sz="4" w:space="0" w:color="auto"/>
              <w:bottom w:val="single" w:sz="4" w:space="0" w:color="auto"/>
              <w:right w:val="single" w:sz="4" w:space="0" w:color="auto"/>
            </w:tcBorders>
          </w:tcPr>
          <w:p w14:paraId="779C9959" w14:textId="61A0F550" w:rsidR="00700895" w:rsidRPr="003B11BD" w:rsidRDefault="00700895" w:rsidP="00CC71AD">
            <w:pPr>
              <w:tabs>
                <w:tab w:val="num" w:pos="425"/>
              </w:tabs>
              <w:spacing w:after="0"/>
              <w:ind w:right="133"/>
              <w:jc w:val="center"/>
              <w:rPr>
                <w:b/>
                <w:noProof/>
                <w:sz w:val="16"/>
                <w:szCs w:val="16"/>
                <w:lang w:val="en-IE"/>
              </w:rPr>
            </w:pPr>
            <w:r w:rsidRPr="003B11BD">
              <w:rPr>
                <w:b/>
                <w:noProof/>
                <w:sz w:val="16"/>
                <w:szCs w:val="16"/>
                <w:lang w:val="en-IE"/>
              </w:rPr>
              <w:t>(+</w:t>
            </w:r>
            <w:r w:rsidR="001F5676" w:rsidRPr="003B11BD">
              <w:rPr>
                <w:b/>
                <w:noProof/>
                <w:sz w:val="16"/>
                <w:szCs w:val="16"/>
                <w:lang w:val="en-IE"/>
              </w:rPr>
              <w:t>+</w:t>
            </w:r>
            <w:r w:rsidRPr="003B11BD">
              <w:rPr>
                <w:b/>
                <w:noProof/>
                <w:sz w:val="16"/>
                <w:szCs w:val="16"/>
                <w:lang w:val="en-IE"/>
              </w:rPr>
              <w:t xml:space="preserve">+) </w:t>
            </w:r>
            <w:r w:rsidRPr="003B11BD">
              <w:rPr>
                <w:noProof/>
                <w:sz w:val="16"/>
                <w:szCs w:val="16"/>
                <w:lang w:val="en-IE"/>
              </w:rPr>
              <w:t xml:space="preserve">Full alignment between EU crisis instruments and </w:t>
            </w:r>
            <w:r w:rsidR="000B5D2D" w:rsidRPr="003B11BD">
              <w:rPr>
                <w:b/>
                <w:noProof/>
                <w:sz w:val="16"/>
                <w:szCs w:val="16"/>
                <w:lang w:val="en-IE"/>
              </w:rPr>
              <w:t>compulsory licensing</w:t>
            </w:r>
            <w:r w:rsidRPr="003B11BD">
              <w:rPr>
                <w:noProof/>
                <w:sz w:val="16"/>
                <w:szCs w:val="16"/>
                <w:lang w:val="en-IE"/>
              </w:rPr>
              <w:t xml:space="preserve"> (alignment of</w:t>
            </w:r>
            <w:r w:rsidR="001F5676" w:rsidRPr="003B11BD">
              <w:rPr>
                <w:noProof/>
                <w:sz w:val="16"/>
                <w:szCs w:val="16"/>
                <w:lang w:val="en-IE"/>
              </w:rPr>
              <w:t xml:space="preserve"> trigger and relevant bodies); s</w:t>
            </w:r>
            <w:r w:rsidRPr="003B11BD">
              <w:rPr>
                <w:noProof/>
                <w:sz w:val="16"/>
                <w:szCs w:val="16"/>
                <w:lang w:val="en-IE"/>
              </w:rPr>
              <w:t>upport of EU bargaining power.</w:t>
            </w:r>
          </w:p>
        </w:tc>
        <w:tc>
          <w:tcPr>
            <w:tcW w:w="2240" w:type="dxa"/>
            <w:tcBorders>
              <w:top w:val="single" w:sz="4" w:space="0" w:color="auto"/>
              <w:left w:val="single" w:sz="4" w:space="0" w:color="auto"/>
              <w:bottom w:val="single" w:sz="4" w:space="0" w:color="auto"/>
              <w:right w:val="single" w:sz="4" w:space="0" w:color="auto"/>
            </w:tcBorders>
          </w:tcPr>
          <w:p w14:paraId="4DB3E384" w14:textId="270D916F" w:rsidR="00700895" w:rsidRPr="003B11BD" w:rsidRDefault="00700895" w:rsidP="00CC71AD">
            <w:pPr>
              <w:tabs>
                <w:tab w:val="num" w:pos="425"/>
              </w:tabs>
              <w:spacing w:after="0"/>
              <w:ind w:right="141"/>
              <w:jc w:val="center"/>
              <w:rPr>
                <w:noProof/>
                <w:sz w:val="16"/>
                <w:szCs w:val="16"/>
                <w:lang w:val="en-IE"/>
              </w:rPr>
            </w:pPr>
            <w:r w:rsidRPr="003B11BD">
              <w:rPr>
                <w:noProof/>
                <w:sz w:val="16"/>
                <w:szCs w:val="16"/>
                <w:lang w:val="en-IE"/>
              </w:rPr>
              <w:t xml:space="preserve">(+++) </w:t>
            </w:r>
            <w:r w:rsidR="005D48D5" w:rsidRPr="003B11BD">
              <w:rPr>
                <w:noProof/>
                <w:sz w:val="16"/>
                <w:szCs w:val="16"/>
                <w:lang w:val="en-IE"/>
              </w:rPr>
              <w:t>Social and economic benefits for society if crisis limited or avoided – highest probability</w:t>
            </w:r>
            <w:r w:rsidR="00D56B6E" w:rsidRPr="003B11BD">
              <w:rPr>
                <w:noProof/>
                <w:sz w:val="16"/>
                <w:szCs w:val="16"/>
                <w:lang w:val="en-IE"/>
              </w:rPr>
              <w:t xml:space="preserve"> due to </w:t>
            </w:r>
            <w:r w:rsidR="005D48D5" w:rsidRPr="003B11BD">
              <w:rPr>
                <w:noProof/>
                <w:sz w:val="16"/>
                <w:szCs w:val="16"/>
                <w:lang w:val="en-IE"/>
              </w:rPr>
              <w:t xml:space="preserve">a </w:t>
            </w:r>
            <w:r w:rsidR="00D56B6E" w:rsidRPr="003B11BD">
              <w:rPr>
                <w:noProof/>
                <w:sz w:val="16"/>
                <w:szCs w:val="16"/>
                <w:lang w:val="en-IE"/>
              </w:rPr>
              <w:t>streamlined procedu</w:t>
            </w:r>
            <w:r w:rsidR="005D48D5" w:rsidRPr="003B11BD">
              <w:rPr>
                <w:noProof/>
                <w:sz w:val="16"/>
                <w:szCs w:val="16"/>
                <w:lang w:val="en-IE"/>
              </w:rPr>
              <w:t>re</w:t>
            </w:r>
            <w:r w:rsidR="004D1468" w:rsidRPr="003B11BD">
              <w:rPr>
                <w:noProof/>
                <w:sz w:val="16"/>
                <w:szCs w:val="16"/>
                <w:lang w:val="en-IE"/>
              </w:rPr>
              <w:t>;</w:t>
            </w:r>
            <w:r w:rsidR="00D56B6E" w:rsidRPr="003B11BD">
              <w:rPr>
                <w:noProof/>
                <w:sz w:val="16"/>
                <w:szCs w:val="16"/>
                <w:lang w:val="en-IE"/>
              </w:rPr>
              <w:t xml:space="preserve"> </w:t>
            </w:r>
            <w:r w:rsidR="005D48D5" w:rsidRPr="003B11BD">
              <w:rPr>
                <w:noProof/>
                <w:sz w:val="16"/>
                <w:szCs w:val="16"/>
                <w:lang w:val="en-IE"/>
              </w:rPr>
              <w:t xml:space="preserve">can be obtained at </w:t>
            </w:r>
            <w:r w:rsidR="00D56B6E" w:rsidRPr="003B11BD">
              <w:rPr>
                <w:noProof/>
                <w:sz w:val="16"/>
                <w:szCs w:val="16"/>
                <w:lang w:val="en-IE"/>
              </w:rPr>
              <w:t>low</w:t>
            </w:r>
            <w:r w:rsidR="002C5966" w:rsidRPr="003B11BD">
              <w:rPr>
                <w:noProof/>
                <w:sz w:val="16"/>
                <w:szCs w:val="16"/>
                <w:lang w:val="en-IE"/>
              </w:rPr>
              <w:t xml:space="preserve"> regulatory cost</w:t>
            </w:r>
            <w:r w:rsidR="00D56B6E" w:rsidRPr="003B11BD">
              <w:rPr>
                <w:noProof/>
                <w:sz w:val="16"/>
                <w:szCs w:val="16"/>
                <w:lang w:val="en-IE"/>
              </w:rPr>
              <w:t>.</w:t>
            </w:r>
          </w:p>
        </w:tc>
      </w:tr>
    </w:tbl>
    <w:p w14:paraId="79A0A758" w14:textId="1F0674E2" w:rsidR="00B86C94" w:rsidRPr="003B11BD" w:rsidRDefault="0018721F" w:rsidP="0018721F">
      <w:pPr>
        <w:pStyle w:val="Caption"/>
        <w:rPr>
          <w:noProof/>
          <w:lang w:val="en-IE"/>
        </w:rPr>
      </w:pPr>
      <w:bookmarkStart w:id="994" w:name="_Ref111746105"/>
      <w:bookmarkStart w:id="995" w:name="_Ref112087142"/>
      <w:r w:rsidRPr="003B11BD">
        <w:rPr>
          <w:noProof/>
          <w:lang w:val="en-IE"/>
        </w:rPr>
        <w:t>Note: (0) neutral impact; (+) minor positive impact; (++) positive impact; (+++) significant positive impact; (-) minor negative impact; (- -) negative impact; (- - -) significant negative impact</w:t>
      </w:r>
    </w:p>
    <w:p w14:paraId="5BF19E5A" w14:textId="1A640E3B" w:rsidR="00222682" w:rsidRPr="003B11BD" w:rsidRDefault="00222682" w:rsidP="005E36F4">
      <w:pPr>
        <w:rPr>
          <w:noProof/>
          <w:lang w:val="en-IE"/>
        </w:rPr>
      </w:pPr>
      <w:r w:rsidRPr="003B11BD">
        <w:rPr>
          <w:noProof/>
          <w:lang w:val="en-IE"/>
        </w:rPr>
        <w:t>As fa</w:t>
      </w:r>
      <w:r w:rsidR="00D8608D" w:rsidRPr="003B11BD">
        <w:rPr>
          <w:noProof/>
          <w:lang w:val="en-IE"/>
        </w:rPr>
        <w:t>r</w:t>
      </w:r>
      <w:r w:rsidRPr="003B11BD">
        <w:rPr>
          <w:noProof/>
          <w:lang w:val="en-IE"/>
        </w:rPr>
        <w:t xml:space="preserve"> as the</w:t>
      </w:r>
      <w:r w:rsidRPr="003B11BD">
        <w:rPr>
          <w:b/>
          <w:bCs/>
          <w:noProof/>
          <w:lang w:val="en-IE"/>
        </w:rPr>
        <w:t xml:space="preserve"> subsidiarity/ proportionality</w:t>
      </w:r>
      <w:r w:rsidRPr="003B11BD">
        <w:rPr>
          <w:noProof/>
          <w:lang w:val="en-IE"/>
        </w:rPr>
        <w:t xml:space="preserve"> is concerned none of the options go beyond what is necessary to achieve the identified problems/objectives. Their respective scope is limited to aspects that Member States cannot achieve satisfactor</w:t>
      </w:r>
      <w:r w:rsidR="002A726E" w:rsidRPr="003B11BD">
        <w:rPr>
          <w:noProof/>
          <w:lang w:val="en-IE"/>
        </w:rPr>
        <w:t>il</w:t>
      </w:r>
      <w:r w:rsidRPr="003B11BD">
        <w:rPr>
          <w:noProof/>
          <w:lang w:val="en-IE"/>
        </w:rPr>
        <w:t xml:space="preserve">y on their own and where the Union action can produce better results (for example, in terms of faster decision making in times of crisis) or is necessary (for example issuing an EU-level </w:t>
      </w:r>
      <w:r w:rsidR="001E14B1" w:rsidRPr="003B11BD">
        <w:rPr>
          <w:noProof/>
          <w:lang w:val="en-IE"/>
        </w:rPr>
        <w:t xml:space="preserve">compulsory licence </w:t>
      </w:r>
      <w:r w:rsidRPr="003B11BD">
        <w:rPr>
          <w:noProof/>
          <w:lang w:val="en-IE"/>
        </w:rPr>
        <w:t xml:space="preserve">to </w:t>
      </w:r>
      <w:r w:rsidR="001E14B1" w:rsidRPr="003B11BD">
        <w:rPr>
          <w:noProof/>
          <w:lang w:val="en-IE"/>
        </w:rPr>
        <w:t xml:space="preserve">solve </w:t>
      </w:r>
      <w:r w:rsidRPr="003B11BD">
        <w:rPr>
          <w:noProof/>
          <w:lang w:val="en-IE"/>
        </w:rPr>
        <w:t xml:space="preserve">the exhaustion problem). </w:t>
      </w:r>
      <w:r w:rsidR="005E36F4" w:rsidRPr="003B11BD">
        <w:rPr>
          <w:noProof/>
          <w:lang w:val="en-IE"/>
        </w:rPr>
        <w:t>As explained in section</w:t>
      </w:r>
      <w:r w:rsidR="00361613" w:rsidRPr="003B11BD">
        <w:rPr>
          <w:noProof/>
          <w:lang w:val="en-IE"/>
        </w:rPr>
        <w:t xml:space="preserve"> 2</w:t>
      </w:r>
      <w:r w:rsidR="005E36F4" w:rsidRPr="003B11BD">
        <w:rPr>
          <w:noProof/>
          <w:lang w:val="en-IE"/>
        </w:rPr>
        <w:t xml:space="preserve">, Member States could not solve the problem due to insufficient scale of </w:t>
      </w:r>
      <w:r w:rsidR="00361613" w:rsidRPr="003B11BD">
        <w:rPr>
          <w:noProof/>
          <w:lang w:val="en-IE"/>
        </w:rPr>
        <w:t>legal instruments at their disposal.</w:t>
      </w:r>
      <w:r w:rsidR="005E36F4" w:rsidRPr="003B11BD">
        <w:rPr>
          <w:noProof/>
          <w:lang w:val="en-IE"/>
        </w:rPr>
        <w:t xml:space="preserve"> </w:t>
      </w:r>
      <w:r w:rsidRPr="003B11BD">
        <w:rPr>
          <w:noProof/>
          <w:lang w:val="en-IE"/>
        </w:rPr>
        <w:t>Options considered provide a mix of Member States and EU level actions with gradual increase of the EU level intervention. Possible instruments for implementing policy options are in case of PO1 a set of recommendations; in case of PO2-</w:t>
      </w:r>
      <w:r w:rsidR="004A6138" w:rsidRPr="003B11BD">
        <w:rPr>
          <w:noProof/>
          <w:lang w:val="en-IE"/>
        </w:rPr>
        <w:t>PO</w:t>
      </w:r>
      <w:r w:rsidR="00DA5D0F" w:rsidRPr="003B11BD">
        <w:rPr>
          <w:noProof/>
          <w:lang w:val="en-IE"/>
        </w:rPr>
        <w:t xml:space="preserve">3, a harmonisation through a directive and in </w:t>
      </w:r>
      <w:r w:rsidR="00876321" w:rsidRPr="003B11BD">
        <w:rPr>
          <w:noProof/>
          <w:lang w:val="en-IE"/>
        </w:rPr>
        <w:t xml:space="preserve">PO4, the introduction of a new layer through an EU regulation establishing </w:t>
      </w:r>
      <w:r w:rsidR="003E0B64" w:rsidRPr="003B11BD">
        <w:rPr>
          <w:noProof/>
          <w:lang w:val="en-IE"/>
        </w:rPr>
        <w:t xml:space="preserve">an EU-level compulsory licence. </w:t>
      </w:r>
      <w:r w:rsidR="00924D94" w:rsidRPr="003B11BD">
        <w:rPr>
          <w:noProof/>
          <w:lang w:val="en-IE"/>
        </w:rPr>
        <w:t xml:space="preserve">Intervention of the Member States is guaranteed through the use of existing EU crisis instruments or through the </w:t>
      </w:r>
      <w:r w:rsidR="001D23C1" w:rsidRPr="003B11BD">
        <w:rPr>
          <w:noProof/>
          <w:lang w:val="en-IE"/>
        </w:rPr>
        <w:t xml:space="preserve">initiative power given to Member States to start the process leading to </w:t>
      </w:r>
      <w:r w:rsidR="00614CEF" w:rsidRPr="003B11BD">
        <w:rPr>
          <w:noProof/>
          <w:lang w:val="en-IE"/>
        </w:rPr>
        <w:t xml:space="preserve">EU-level compulsory licence. The initiative is limited to compulsory licensing </w:t>
      </w:r>
      <w:r w:rsidR="006D6A94" w:rsidRPr="003B11BD">
        <w:rPr>
          <w:noProof/>
          <w:lang w:val="en-IE"/>
        </w:rPr>
        <w:t>to tackle cross-border crises</w:t>
      </w:r>
      <w:r w:rsidRPr="003B11BD">
        <w:rPr>
          <w:noProof/>
          <w:lang w:val="en-IE"/>
        </w:rPr>
        <w:t>.</w:t>
      </w:r>
      <w:r w:rsidR="006D6A94" w:rsidRPr="003B11BD">
        <w:rPr>
          <w:noProof/>
          <w:lang w:val="en-IE"/>
        </w:rPr>
        <w:t xml:space="preserve"> Member States retain their full competence as regards </w:t>
      </w:r>
      <w:r w:rsidR="00055B16" w:rsidRPr="003B11BD">
        <w:rPr>
          <w:noProof/>
          <w:lang w:val="en-IE"/>
        </w:rPr>
        <w:t>compulsory licensing on other grounds.</w:t>
      </w:r>
    </w:p>
    <w:p w14:paraId="13A8178A" w14:textId="77E7556B" w:rsidR="003B2844" w:rsidRPr="003B11BD" w:rsidRDefault="003B2844" w:rsidP="003B2844">
      <w:pPr>
        <w:pStyle w:val="Heading2"/>
        <w:rPr>
          <w:noProof/>
          <w:lang w:val="en-IE"/>
        </w:rPr>
      </w:pPr>
      <w:bookmarkStart w:id="996" w:name="_Toc121748042"/>
      <w:bookmarkStart w:id="997" w:name="_Toc133435396"/>
      <w:r w:rsidRPr="003B11BD">
        <w:rPr>
          <w:noProof/>
          <w:lang w:val="en-IE"/>
        </w:rPr>
        <w:t>Comparison of impacts of options on stakeholders</w:t>
      </w:r>
      <w:bookmarkEnd w:id="996"/>
      <w:bookmarkEnd w:id="997"/>
      <w:r w:rsidRPr="003B11BD">
        <w:rPr>
          <w:noProof/>
          <w:lang w:val="en-IE"/>
        </w:rPr>
        <w:t xml:space="preserve"> </w:t>
      </w:r>
    </w:p>
    <w:p w14:paraId="61DF4D78" w14:textId="5C45A13D" w:rsidR="001113F2" w:rsidRPr="003B11BD" w:rsidRDefault="00703A67" w:rsidP="001113F2">
      <w:pPr>
        <w:rPr>
          <w:noProof/>
          <w:lang w:val="en-IE"/>
        </w:rPr>
      </w:pPr>
      <w:r w:rsidRPr="003B11BD">
        <w:rPr>
          <w:noProof/>
          <w:lang w:val="en-IE"/>
        </w:rPr>
        <w:t xml:space="preserve">Under </w:t>
      </w:r>
      <w:r w:rsidR="00C61636" w:rsidRPr="003B11BD">
        <w:rPr>
          <w:noProof/>
          <w:lang w:val="en-IE"/>
        </w:rPr>
        <w:t>PO</w:t>
      </w:r>
      <w:r w:rsidRPr="003B11BD">
        <w:rPr>
          <w:noProof/>
          <w:lang w:val="en-IE"/>
        </w:rPr>
        <w:t xml:space="preserve">1, the impacts on </w:t>
      </w:r>
      <w:r w:rsidRPr="003B11BD">
        <w:rPr>
          <w:b/>
          <w:noProof/>
          <w:lang w:val="en-IE"/>
        </w:rPr>
        <w:t>patent holders</w:t>
      </w:r>
      <w:r w:rsidRPr="003B11BD">
        <w:rPr>
          <w:noProof/>
          <w:lang w:val="en-IE"/>
        </w:rPr>
        <w:t xml:space="preserve"> would stay broadly the same as in the baseline: </w:t>
      </w:r>
      <w:r w:rsidR="00AC1414" w:rsidRPr="003B11BD">
        <w:rPr>
          <w:noProof/>
          <w:lang w:val="en-IE"/>
        </w:rPr>
        <w:t xml:space="preserve">patent </w:t>
      </w:r>
      <w:r w:rsidRPr="003B11BD">
        <w:rPr>
          <w:noProof/>
          <w:lang w:val="en-IE"/>
        </w:rPr>
        <w:t xml:space="preserve">holders would still face </w:t>
      </w:r>
      <w:r w:rsidR="0092140B" w:rsidRPr="003B11BD">
        <w:rPr>
          <w:noProof/>
          <w:lang w:val="en-IE"/>
        </w:rPr>
        <w:t xml:space="preserve">a </w:t>
      </w:r>
      <w:r w:rsidRPr="003B11BD">
        <w:rPr>
          <w:noProof/>
          <w:lang w:val="en-IE"/>
        </w:rPr>
        <w:t xml:space="preserve">fragmented system but could benefit from </w:t>
      </w:r>
      <w:r w:rsidR="00AC1414" w:rsidRPr="003B11BD">
        <w:rPr>
          <w:noProof/>
          <w:lang w:val="en-IE"/>
        </w:rPr>
        <w:t>more</w:t>
      </w:r>
      <w:r w:rsidRPr="003B11BD">
        <w:rPr>
          <w:noProof/>
          <w:lang w:val="en-IE"/>
        </w:rPr>
        <w:t xml:space="preserve"> legal certainty as regards compulsory licensing across</w:t>
      </w:r>
      <w:r w:rsidR="00917D55" w:rsidRPr="003B11BD">
        <w:rPr>
          <w:noProof/>
          <w:lang w:val="en-IE"/>
        </w:rPr>
        <w:t xml:space="preserve"> the</w:t>
      </w:r>
      <w:r w:rsidRPr="003B11BD">
        <w:rPr>
          <w:noProof/>
          <w:lang w:val="en-IE"/>
        </w:rPr>
        <w:t xml:space="preserve"> Member States</w:t>
      </w:r>
      <w:r w:rsidR="003B2844" w:rsidRPr="003B11BD">
        <w:rPr>
          <w:noProof/>
          <w:lang w:val="en-IE"/>
        </w:rPr>
        <w:t xml:space="preserve"> that appl</w:t>
      </w:r>
      <w:r w:rsidR="00036C1B" w:rsidRPr="003B11BD">
        <w:rPr>
          <w:noProof/>
          <w:lang w:val="en-IE"/>
        </w:rPr>
        <w:t xml:space="preserve">y </w:t>
      </w:r>
      <w:r w:rsidR="003B2844" w:rsidRPr="003B11BD">
        <w:rPr>
          <w:noProof/>
          <w:lang w:val="en-IE"/>
        </w:rPr>
        <w:t>the recommendation</w:t>
      </w:r>
      <w:r w:rsidRPr="003B11BD">
        <w:rPr>
          <w:noProof/>
          <w:lang w:val="en-IE"/>
        </w:rPr>
        <w:t xml:space="preserve">. This increased legal certainty would improve </w:t>
      </w:r>
      <w:r w:rsidR="003B2844" w:rsidRPr="003B11BD">
        <w:rPr>
          <w:noProof/>
          <w:lang w:val="en-IE"/>
        </w:rPr>
        <w:t xml:space="preserve">even more </w:t>
      </w:r>
      <w:r w:rsidRPr="003B11BD">
        <w:rPr>
          <w:noProof/>
          <w:lang w:val="en-IE"/>
        </w:rPr>
        <w:t xml:space="preserve">under </w:t>
      </w:r>
      <w:r w:rsidR="003B2844" w:rsidRPr="003B11BD">
        <w:rPr>
          <w:noProof/>
          <w:lang w:val="en-IE"/>
        </w:rPr>
        <w:t xml:space="preserve">the remaining </w:t>
      </w:r>
      <w:r w:rsidRPr="003B11BD">
        <w:rPr>
          <w:noProof/>
          <w:lang w:val="en-IE"/>
        </w:rPr>
        <w:t>options</w:t>
      </w:r>
      <w:r w:rsidR="003B2844" w:rsidRPr="003B11BD">
        <w:rPr>
          <w:noProof/>
          <w:lang w:val="en-IE"/>
        </w:rPr>
        <w:t xml:space="preserve"> (PO2 to P</w:t>
      </w:r>
      <w:r w:rsidR="00A9113B" w:rsidRPr="003B11BD">
        <w:rPr>
          <w:noProof/>
          <w:lang w:val="en-IE"/>
        </w:rPr>
        <w:t>O</w:t>
      </w:r>
      <w:r w:rsidR="00036C1B" w:rsidRPr="003B11BD">
        <w:rPr>
          <w:noProof/>
          <w:lang w:val="en-IE"/>
        </w:rPr>
        <w:t>4</w:t>
      </w:r>
      <w:r w:rsidR="003B2844" w:rsidRPr="003B11BD">
        <w:rPr>
          <w:noProof/>
          <w:lang w:val="en-IE"/>
        </w:rPr>
        <w:t>)</w:t>
      </w:r>
      <w:r w:rsidR="00AC1414" w:rsidRPr="003B11BD">
        <w:rPr>
          <w:noProof/>
          <w:lang w:val="en-IE"/>
        </w:rPr>
        <w:t xml:space="preserve"> due to less divergences in the </w:t>
      </w:r>
      <w:r w:rsidR="00E6068C" w:rsidRPr="003B11BD">
        <w:rPr>
          <w:noProof/>
          <w:lang w:val="en-IE"/>
        </w:rPr>
        <w:t xml:space="preserve">compulsory licensing </w:t>
      </w:r>
      <w:r w:rsidR="00AC1414" w:rsidRPr="003B11BD">
        <w:rPr>
          <w:noProof/>
          <w:lang w:val="en-IE"/>
        </w:rPr>
        <w:t>rules</w:t>
      </w:r>
      <w:r w:rsidR="00880192" w:rsidRPr="003B11BD">
        <w:rPr>
          <w:noProof/>
          <w:lang w:val="en-IE"/>
        </w:rPr>
        <w:t xml:space="preserve">. However, </w:t>
      </w:r>
      <w:r w:rsidR="003B2844" w:rsidRPr="003B11BD">
        <w:rPr>
          <w:noProof/>
          <w:lang w:val="en-IE"/>
        </w:rPr>
        <w:t xml:space="preserve">under </w:t>
      </w:r>
      <w:r w:rsidR="007C37A2" w:rsidRPr="003B11BD">
        <w:rPr>
          <w:noProof/>
          <w:lang w:val="en-IE"/>
        </w:rPr>
        <w:t>PO</w:t>
      </w:r>
      <w:r w:rsidR="00880192" w:rsidRPr="003B11BD">
        <w:rPr>
          <w:noProof/>
          <w:lang w:val="en-IE"/>
        </w:rPr>
        <w:t xml:space="preserve">3 and </w:t>
      </w:r>
      <w:r w:rsidR="007C37A2" w:rsidRPr="003B11BD">
        <w:rPr>
          <w:noProof/>
          <w:lang w:val="en-IE"/>
        </w:rPr>
        <w:t>PO</w:t>
      </w:r>
      <w:r w:rsidR="00880192" w:rsidRPr="003B11BD">
        <w:rPr>
          <w:noProof/>
          <w:lang w:val="en-IE"/>
        </w:rPr>
        <w:t xml:space="preserve">4 </w:t>
      </w:r>
      <w:r w:rsidR="003B2844" w:rsidRPr="003B11BD">
        <w:rPr>
          <w:noProof/>
          <w:lang w:val="en-IE"/>
        </w:rPr>
        <w:t xml:space="preserve">patent holders </w:t>
      </w:r>
      <w:r w:rsidR="00B23936" w:rsidRPr="003B11BD">
        <w:rPr>
          <w:noProof/>
          <w:lang w:val="en-IE"/>
        </w:rPr>
        <w:t>may</w:t>
      </w:r>
      <w:r w:rsidR="00880192" w:rsidRPr="003B11BD">
        <w:rPr>
          <w:noProof/>
          <w:lang w:val="en-IE"/>
        </w:rPr>
        <w:t xml:space="preserve"> face </w:t>
      </w:r>
      <w:r w:rsidR="00B23936" w:rsidRPr="003B11BD">
        <w:rPr>
          <w:noProof/>
          <w:lang w:val="en-IE"/>
        </w:rPr>
        <w:t>certain</w:t>
      </w:r>
      <w:r w:rsidR="00AC1414" w:rsidRPr="003B11BD">
        <w:rPr>
          <w:noProof/>
          <w:lang w:val="en-IE"/>
        </w:rPr>
        <w:t xml:space="preserve"> </w:t>
      </w:r>
      <w:r w:rsidR="00880192" w:rsidRPr="003B11BD">
        <w:rPr>
          <w:noProof/>
          <w:lang w:val="en-IE"/>
        </w:rPr>
        <w:t xml:space="preserve">loss of control on their patent rights since the scope of compulsory </w:t>
      </w:r>
      <w:r w:rsidR="00C55853" w:rsidRPr="003B11BD">
        <w:rPr>
          <w:noProof/>
          <w:lang w:val="en-IE"/>
        </w:rPr>
        <w:t>licensing</w:t>
      </w:r>
      <w:r w:rsidR="00880192" w:rsidRPr="003B11BD">
        <w:rPr>
          <w:noProof/>
          <w:lang w:val="en-IE"/>
        </w:rPr>
        <w:t xml:space="preserve"> would no longer be limited to a given Member State.</w:t>
      </w:r>
      <w:r w:rsidR="00AC1414" w:rsidRPr="003B11BD">
        <w:rPr>
          <w:noProof/>
          <w:lang w:val="en-IE"/>
        </w:rPr>
        <w:t xml:space="preserve"> In addition, as negotiations </w:t>
      </w:r>
      <w:r w:rsidR="007C37A2" w:rsidRPr="003B11BD">
        <w:rPr>
          <w:noProof/>
          <w:lang w:val="en-IE"/>
        </w:rPr>
        <w:t xml:space="preserve">would </w:t>
      </w:r>
      <w:r w:rsidR="00AC1414" w:rsidRPr="003B11BD">
        <w:rPr>
          <w:noProof/>
          <w:lang w:val="en-IE"/>
        </w:rPr>
        <w:t>be run</w:t>
      </w:r>
      <w:r w:rsidR="001113F2" w:rsidRPr="003B11BD">
        <w:rPr>
          <w:noProof/>
          <w:lang w:val="en-IE"/>
        </w:rPr>
        <w:t xml:space="preserve"> at EU level</w:t>
      </w:r>
      <w:r w:rsidR="0092140B" w:rsidRPr="003B11BD">
        <w:rPr>
          <w:noProof/>
          <w:lang w:val="en-IE"/>
        </w:rPr>
        <w:t>,</w:t>
      </w:r>
      <w:r w:rsidR="00AC1414" w:rsidRPr="003B11BD">
        <w:rPr>
          <w:noProof/>
          <w:lang w:val="en-IE"/>
        </w:rPr>
        <w:t xml:space="preserve"> it</w:t>
      </w:r>
      <w:r w:rsidR="0092140B" w:rsidRPr="003B11BD">
        <w:rPr>
          <w:noProof/>
          <w:lang w:val="en-IE"/>
        </w:rPr>
        <w:t xml:space="preserve"> </w:t>
      </w:r>
      <w:r w:rsidR="00AC1414" w:rsidRPr="003B11BD">
        <w:rPr>
          <w:noProof/>
          <w:lang w:val="en-IE"/>
        </w:rPr>
        <w:t xml:space="preserve">could </w:t>
      </w:r>
      <w:r w:rsidR="0092140B" w:rsidRPr="003B11BD">
        <w:rPr>
          <w:noProof/>
          <w:lang w:val="en-IE"/>
        </w:rPr>
        <w:t>reduc</w:t>
      </w:r>
      <w:r w:rsidR="00AC1414" w:rsidRPr="003B11BD">
        <w:rPr>
          <w:noProof/>
          <w:lang w:val="en-IE"/>
        </w:rPr>
        <w:t xml:space="preserve">e </w:t>
      </w:r>
      <w:r w:rsidR="00CD1193" w:rsidRPr="003B11BD">
        <w:rPr>
          <w:noProof/>
          <w:lang w:val="en-IE"/>
        </w:rPr>
        <w:t xml:space="preserve">their </w:t>
      </w:r>
      <w:r w:rsidR="0092140B" w:rsidRPr="003B11BD">
        <w:rPr>
          <w:noProof/>
          <w:lang w:val="en-IE"/>
        </w:rPr>
        <w:t>negotiation power</w:t>
      </w:r>
      <w:r w:rsidR="001113F2" w:rsidRPr="003B11BD">
        <w:rPr>
          <w:noProof/>
          <w:lang w:val="en-IE"/>
        </w:rPr>
        <w:t xml:space="preserve">. This </w:t>
      </w:r>
      <w:r w:rsidR="0092140B" w:rsidRPr="003B11BD">
        <w:rPr>
          <w:noProof/>
          <w:lang w:val="en-IE"/>
        </w:rPr>
        <w:t>w</w:t>
      </w:r>
      <w:r w:rsidR="001113F2" w:rsidRPr="003B11BD">
        <w:rPr>
          <w:noProof/>
          <w:lang w:val="en-IE"/>
        </w:rPr>
        <w:t xml:space="preserve">ould be </w:t>
      </w:r>
      <w:r w:rsidR="000B4783" w:rsidRPr="003B11BD">
        <w:rPr>
          <w:noProof/>
          <w:lang w:val="en-IE"/>
        </w:rPr>
        <w:t>mit</w:t>
      </w:r>
      <w:r w:rsidR="00D75A42" w:rsidRPr="003B11BD">
        <w:rPr>
          <w:noProof/>
          <w:lang w:val="en-IE"/>
        </w:rPr>
        <w:t xml:space="preserve">igated to </w:t>
      </w:r>
      <w:r w:rsidR="0092140B" w:rsidRPr="003B11BD">
        <w:rPr>
          <w:noProof/>
          <w:lang w:val="en-IE"/>
        </w:rPr>
        <w:t xml:space="preserve">a limited </w:t>
      </w:r>
      <w:r w:rsidR="00AC1414" w:rsidRPr="003B11BD">
        <w:rPr>
          <w:noProof/>
          <w:lang w:val="en-IE"/>
        </w:rPr>
        <w:t xml:space="preserve">extent by cost savings </w:t>
      </w:r>
      <w:r w:rsidR="00ED1A32" w:rsidRPr="003B11BD">
        <w:rPr>
          <w:noProof/>
          <w:lang w:val="en-IE"/>
        </w:rPr>
        <w:t xml:space="preserve">whenever </w:t>
      </w:r>
      <w:r w:rsidR="00D75A42" w:rsidRPr="003B11BD">
        <w:rPr>
          <w:noProof/>
          <w:lang w:val="en-IE"/>
        </w:rPr>
        <w:t>patent owners would</w:t>
      </w:r>
      <w:r w:rsidR="00ED1A32" w:rsidRPr="003B11BD">
        <w:rPr>
          <w:noProof/>
          <w:lang w:val="en-IE"/>
        </w:rPr>
        <w:t xml:space="preserve"> </w:t>
      </w:r>
      <w:r w:rsidR="00D75A42" w:rsidRPr="003B11BD">
        <w:rPr>
          <w:noProof/>
          <w:lang w:val="en-IE"/>
        </w:rPr>
        <w:t>participate in one procedure</w:t>
      </w:r>
      <w:r w:rsidR="00ED1A32" w:rsidRPr="003B11BD">
        <w:rPr>
          <w:noProof/>
          <w:lang w:val="en-IE"/>
        </w:rPr>
        <w:t xml:space="preserve"> only</w:t>
      </w:r>
      <w:r w:rsidR="009E726A" w:rsidRPr="003B11BD">
        <w:rPr>
          <w:noProof/>
          <w:lang w:val="en-IE"/>
        </w:rPr>
        <w:t>.</w:t>
      </w:r>
      <w:r w:rsidR="00F9094C" w:rsidRPr="003B11BD">
        <w:rPr>
          <w:noProof/>
          <w:lang w:val="en-IE"/>
        </w:rPr>
        <w:t xml:space="preserve"> </w:t>
      </w:r>
    </w:p>
    <w:p w14:paraId="59DAEAFC" w14:textId="041BDE03" w:rsidR="004A6E3F" w:rsidRPr="003B11BD" w:rsidRDefault="00130933" w:rsidP="004A6E3F">
      <w:pPr>
        <w:rPr>
          <w:noProof/>
          <w:lang w:val="en-IE"/>
        </w:rPr>
      </w:pPr>
      <w:r w:rsidRPr="003B11BD">
        <w:rPr>
          <w:noProof/>
          <w:lang w:val="en-IE"/>
        </w:rPr>
        <w:t xml:space="preserve">The situation of </w:t>
      </w:r>
      <w:r w:rsidRPr="003B11BD">
        <w:rPr>
          <w:b/>
          <w:noProof/>
          <w:lang w:val="en-IE"/>
        </w:rPr>
        <w:t>potential licensees</w:t>
      </w:r>
      <w:r w:rsidRPr="003B11BD">
        <w:rPr>
          <w:noProof/>
          <w:lang w:val="en-IE"/>
        </w:rPr>
        <w:t xml:space="preserve"> would barely improve under </w:t>
      </w:r>
      <w:r w:rsidR="00A9113B" w:rsidRPr="003B11BD">
        <w:rPr>
          <w:noProof/>
          <w:lang w:val="en-IE"/>
        </w:rPr>
        <w:t>PO</w:t>
      </w:r>
      <w:r w:rsidRPr="003B11BD">
        <w:rPr>
          <w:noProof/>
          <w:lang w:val="en-IE"/>
        </w:rPr>
        <w:t>1 as</w:t>
      </w:r>
      <w:r w:rsidR="003B2844" w:rsidRPr="003B11BD">
        <w:rPr>
          <w:noProof/>
          <w:lang w:val="en-IE"/>
        </w:rPr>
        <w:t xml:space="preserve"> their situation in terms of increased </w:t>
      </w:r>
      <w:r w:rsidRPr="003B11BD">
        <w:rPr>
          <w:noProof/>
          <w:lang w:val="en-IE"/>
        </w:rPr>
        <w:t xml:space="preserve">legal certainty </w:t>
      </w:r>
      <w:r w:rsidR="003B2844" w:rsidRPr="003B11BD">
        <w:rPr>
          <w:noProof/>
          <w:lang w:val="en-IE"/>
        </w:rPr>
        <w:t>will depend on</w:t>
      </w:r>
      <w:r w:rsidRPr="003B11BD">
        <w:rPr>
          <w:noProof/>
          <w:lang w:val="en-IE"/>
        </w:rPr>
        <w:t xml:space="preserve"> the uptake of the recommendation by Member States. </w:t>
      </w:r>
      <w:r w:rsidR="003C3B58" w:rsidRPr="003B11BD">
        <w:rPr>
          <w:noProof/>
          <w:lang w:val="en-IE"/>
        </w:rPr>
        <w:t>PO</w:t>
      </w:r>
      <w:r w:rsidR="006774EC" w:rsidRPr="003B11BD">
        <w:rPr>
          <w:noProof/>
          <w:lang w:val="en-IE"/>
        </w:rPr>
        <w:t xml:space="preserve">2 would provide them with more coherent rules, which would positively impact </w:t>
      </w:r>
      <w:r w:rsidR="00991648" w:rsidRPr="003B11BD">
        <w:rPr>
          <w:noProof/>
          <w:lang w:val="en-IE"/>
        </w:rPr>
        <w:t xml:space="preserve">the legal certainty and reduce costs. However, their situation would </w:t>
      </w:r>
      <w:r w:rsidR="00694E52" w:rsidRPr="003B11BD">
        <w:rPr>
          <w:noProof/>
          <w:lang w:val="en-IE"/>
        </w:rPr>
        <w:t xml:space="preserve">significantly </w:t>
      </w:r>
      <w:r w:rsidR="00991648" w:rsidRPr="003B11BD">
        <w:rPr>
          <w:noProof/>
          <w:lang w:val="en-IE"/>
        </w:rPr>
        <w:t xml:space="preserve">improve </w:t>
      </w:r>
      <w:r w:rsidR="00694E52" w:rsidRPr="003B11BD">
        <w:rPr>
          <w:noProof/>
          <w:lang w:val="en-IE"/>
        </w:rPr>
        <w:t xml:space="preserve">only </w:t>
      </w:r>
      <w:r w:rsidR="00991648" w:rsidRPr="003B11BD">
        <w:rPr>
          <w:noProof/>
          <w:lang w:val="en-IE"/>
        </w:rPr>
        <w:t xml:space="preserve">under </w:t>
      </w:r>
      <w:r w:rsidR="000D1203" w:rsidRPr="003B11BD">
        <w:rPr>
          <w:noProof/>
          <w:lang w:val="en-IE"/>
        </w:rPr>
        <w:t>PO</w:t>
      </w:r>
      <w:r w:rsidR="00991648" w:rsidRPr="003B11BD">
        <w:rPr>
          <w:noProof/>
          <w:lang w:val="en-IE"/>
        </w:rPr>
        <w:t xml:space="preserve">3 and </w:t>
      </w:r>
      <w:r w:rsidR="000D1203" w:rsidRPr="003B11BD">
        <w:rPr>
          <w:noProof/>
          <w:lang w:val="en-IE"/>
        </w:rPr>
        <w:t>PO</w:t>
      </w:r>
      <w:r w:rsidR="00991648" w:rsidRPr="003B11BD">
        <w:rPr>
          <w:noProof/>
          <w:lang w:val="en-IE"/>
        </w:rPr>
        <w:t xml:space="preserve">4. Under </w:t>
      </w:r>
      <w:r w:rsidR="000D1203" w:rsidRPr="003B11BD">
        <w:rPr>
          <w:noProof/>
          <w:lang w:val="en-IE"/>
        </w:rPr>
        <w:t>PO</w:t>
      </w:r>
      <w:r w:rsidR="00991648" w:rsidRPr="003B11BD">
        <w:rPr>
          <w:noProof/>
          <w:lang w:val="en-IE"/>
        </w:rPr>
        <w:t>3</w:t>
      </w:r>
      <w:r w:rsidR="0031673D" w:rsidRPr="003B11BD">
        <w:rPr>
          <w:noProof/>
          <w:lang w:val="en-IE"/>
        </w:rPr>
        <w:t xml:space="preserve"> and PO4</w:t>
      </w:r>
      <w:r w:rsidR="00991648" w:rsidRPr="003B11BD">
        <w:rPr>
          <w:noProof/>
          <w:lang w:val="en-IE"/>
        </w:rPr>
        <w:t xml:space="preserve">, they would benefit from the centralised procedure </w:t>
      </w:r>
      <w:r w:rsidR="0002607F" w:rsidRPr="003B11BD">
        <w:rPr>
          <w:noProof/>
          <w:lang w:val="en-IE"/>
        </w:rPr>
        <w:t>that would be</w:t>
      </w:r>
      <w:r w:rsidR="00991648" w:rsidRPr="003B11BD">
        <w:rPr>
          <w:noProof/>
          <w:lang w:val="en-IE"/>
        </w:rPr>
        <w:t xml:space="preserve"> the </w:t>
      </w:r>
      <w:r w:rsidR="0002607F" w:rsidRPr="003B11BD">
        <w:rPr>
          <w:noProof/>
          <w:lang w:val="en-IE"/>
        </w:rPr>
        <w:t>source of administrative savings (although PO3 would maintain negotiations on some aspect</w:t>
      </w:r>
      <w:r w:rsidR="00CD1193" w:rsidRPr="003B11BD">
        <w:rPr>
          <w:noProof/>
          <w:lang w:val="en-IE"/>
        </w:rPr>
        <w:t>s</w:t>
      </w:r>
      <w:r w:rsidR="0002607F" w:rsidRPr="003B11BD">
        <w:rPr>
          <w:noProof/>
          <w:lang w:val="en-IE"/>
        </w:rPr>
        <w:t xml:space="preserve"> at national level). If the streamlined </w:t>
      </w:r>
      <w:r w:rsidR="00E6068C" w:rsidRPr="003B11BD">
        <w:rPr>
          <w:noProof/>
          <w:lang w:val="en-IE"/>
        </w:rPr>
        <w:t xml:space="preserve">compulsory licensing </w:t>
      </w:r>
      <w:r w:rsidR="0002607F" w:rsidRPr="003B11BD">
        <w:rPr>
          <w:noProof/>
          <w:lang w:val="en-IE"/>
        </w:rPr>
        <w:t>procedure results in</w:t>
      </w:r>
      <w:r w:rsidR="00991648" w:rsidRPr="003B11BD" w:rsidDel="0002607F">
        <w:rPr>
          <w:noProof/>
          <w:lang w:val="en-IE"/>
        </w:rPr>
        <w:t xml:space="preserve"> </w:t>
      </w:r>
      <w:r w:rsidR="00991648" w:rsidRPr="003B11BD">
        <w:rPr>
          <w:noProof/>
          <w:lang w:val="en-IE"/>
        </w:rPr>
        <w:t>wide</w:t>
      </w:r>
      <w:r w:rsidR="0002607F" w:rsidRPr="003B11BD">
        <w:rPr>
          <w:noProof/>
          <w:lang w:val="en-IE"/>
        </w:rPr>
        <w:t>r</w:t>
      </w:r>
      <w:r w:rsidR="00991648" w:rsidRPr="003B11BD">
        <w:rPr>
          <w:noProof/>
          <w:lang w:val="en-IE"/>
        </w:rPr>
        <w:t xml:space="preserve"> territorial scope of the licence, </w:t>
      </w:r>
      <w:r w:rsidR="0002607F" w:rsidRPr="003B11BD">
        <w:rPr>
          <w:noProof/>
          <w:lang w:val="en-IE"/>
        </w:rPr>
        <w:t>this</w:t>
      </w:r>
      <w:r w:rsidR="00991648" w:rsidRPr="003B11BD">
        <w:rPr>
          <w:noProof/>
          <w:lang w:val="en-IE"/>
        </w:rPr>
        <w:t xml:space="preserve"> </w:t>
      </w:r>
      <w:r w:rsidR="00755905" w:rsidRPr="003B11BD">
        <w:rPr>
          <w:noProof/>
          <w:lang w:val="en-IE"/>
        </w:rPr>
        <w:t>c</w:t>
      </w:r>
      <w:r w:rsidR="00991648" w:rsidRPr="003B11BD">
        <w:rPr>
          <w:noProof/>
          <w:lang w:val="en-IE"/>
        </w:rPr>
        <w:t>ould translate into economies of scale</w:t>
      </w:r>
      <w:r w:rsidR="00755905" w:rsidRPr="003B11BD">
        <w:rPr>
          <w:noProof/>
          <w:lang w:val="en-IE"/>
        </w:rPr>
        <w:t xml:space="preserve"> </w:t>
      </w:r>
      <w:r w:rsidR="0002607F" w:rsidRPr="003B11BD">
        <w:rPr>
          <w:noProof/>
          <w:lang w:val="en-IE"/>
        </w:rPr>
        <w:t>when</w:t>
      </w:r>
      <w:r w:rsidR="00755905" w:rsidRPr="003B11BD">
        <w:rPr>
          <w:noProof/>
          <w:lang w:val="en-IE"/>
        </w:rPr>
        <w:t xml:space="preserve"> </w:t>
      </w:r>
      <w:r w:rsidR="0002607F" w:rsidRPr="003B11BD">
        <w:rPr>
          <w:noProof/>
          <w:lang w:val="en-IE"/>
        </w:rPr>
        <w:t>manufacturing the critical items</w:t>
      </w:r>
      <w:r w:rsidR="00991648" w:rsidRPr="003B11BD">
        <w:rPr>
          <w:noProof/>
          <w:lang w:val="en-IE"/>
        </w:rPr>
        <w:t>.</w:t>
      </w:r>
      <w:r w:rsidR="0002607F" w:rsidRPr="003B11BD" w:rsidDel="0002607F">
        <w:rPr>
          <w:noProof/>
          <w:lang w:val="en-IE"/>
        </w:rPr>
        <w:t xml:space="preserve"> </w:t>
      </w:r>
    </w:p>
    <w:p w14:paraId="1624A923" w14:textId="6D5391D3" w:rsidR="00C81A6C" w:rsidRPr="003B11BD" w:rsidRDefault="00270487" w:rsidP="00C81A6C">
      <w:pPr>
        <w:rPr>
          <w:noProof/>
          <w:lang w:val="en-IE"/>
        </w:rPr>
      </w:pPr>
      <w:r w:rsidRPr="003B11BD">
        <w:rPr>
          <w:b/>
          <w:noProof/>
          <w:lang w:val="en-IE"/>
        </w:rPr>
        <w:t>EU countries</w:t>
      </w:r>
      <w:r w:rsidR="00C81A6C" w:rsidRPr="003B11BD">
        <w:rPr>
          <w:noProof/>
          <w:lang w:val="en-IE"/>
        </w:rPr>
        <w:t xml:space="preserve"> could entail some costs under </w:t>
      </w:r>
      <w:r w:rsidR="00BB1FF3" w:rsidRPr="003B11BD">
        <w:rPr>
          <w:noProof/>
          <w:lang w:val="en-IE"/>
        </w:rPr>
        <w:t>PO</w:t>
      </w:r>
      <w:r w:rsidR="00C81A6C" w:rsidRPr="003B11BD">
        <w:rPr>
          <w:noProof/>
          <w:lang w:val="en-IE"/>
        </w:rPr>
        <w:t xml:space="preserve">1 but only to the extent that they decide to implement the recommendation. Under </w:t>
      </w:r>
      <w:r w:rsidR="00897035" w:rsidRPr="003B11BD">
        <w:rPr>
          <w:noProof/>
          <w:lang w:val="en-IE"/>
        </w:rPr>
        <w:t>PO</w:t>
      </w:r>
      <w:r w:rsidR="00C81A6C" w:rsidRPr="003B11BD">
        <w:rPr>
          <w:noProof/>
          <w:lang w:val="en-IE"/>
        </w:rPr>
        <w:t>2</w:t>
      </w:r>
      <w:r w:rsidR="007D1E5C" w:rsidRPr="003B11BD">
        <w:rPr>
          <w:noProof/>
          <w:lang w:val="en-IE"/>
        </w:rPr>
        <w:t xml:space="preserve"> and </w:t>
      </w:r>
      <w:r w:rsidR="00897035" w:rsidRPr="003B11BD">
        <w:rPr>
          <w:noProof/>
          <w:lang w:val="en-IE"/>
        </w:rPr>
        <w:t>PO</w:t>
      </w:r>
      <w:r w:rsidR="007D1E5C" w:rsidRPr="003B11BD">
        <w:rPr>
          <w:noProof/>
          <w:lang w:val="en-IE"/>
        </w:rPr>
        <w:t>3</w:t>
      </w:r>
      <w:r w:rsidR="00C81A6C" w:rsidRPr="003B11BD">
        <w:rPr>
          <w:noProof/>
          <w:lang w:val="en-IE"/>
        </w:rPr>
        <w:t xml:space="preserve">, costs for Member States would be higher </w:t>
      </w:r>
      <w:r w:rsidR="00F87533" w:rsidRPr="003B11BD">
        <w:rPr>
          <w:noProof/>
          <w:lang w:val="en-IE"/>
        </w:rPr>
        <w:t xml:space="preserve">as they would face </w:t>
      </w:r>
      <w:r w:rsidR="003E7917" w:rsidRPr="003B11BD">
        <w:rPr>
          <w:noProof/>
          <w:lang w:val="en-IE"/>
        </w:rPr>
        <w:t>one-off</w:t>
      </w:r>
      <w:r w:rsidR="00F87533" w:rsidRPr="003B11BD">
        <w:rPr>
          <w:noProof/>
          <w:lang w:val="en-IE"/>
        </w:rPr>
        <w:t xml:space="preserve"> costs </w:t>
      </w:r>
      <w:r w:rsidR="00BB5A2C" w:rsidRPr="003B11BD">
        <w:rPr>
          <w:noProof/>
          <w:lang w:val="en-IE"/>
        </w:rPr>
        <w:t>linked to</w:t>
      </w:r>
      <w:r w:rsidR="00F87533" w:rsidRPr="003B11BD">
        <w:rPr>
          <w:noProof/>
          <w:lang w:val="en-IE"/>
        </w:rPr>
        <w:t xml:space="preserve"> the implementation of the </w:t>
      </w:r>
      <w:r w:rsidR="00BB5A2C" w:rsidRPr="003B11BD">
        <w:rPr>
          <w:noProof/>
          <w:lang w:val="en-IE"/>
        </w:rPr>
        <w:t xml:space="preserve">directive into </w:t>
      </w:r>
      <w:r w:rsidR="00F87533" w:rsidRPr="003B11BD">
        <w:rPr>
          <w:noProof/>
          <w:lang w:val="en-IE"/>
        </w:rPr>
        <w:t xml:space="preserve">their national </w:t>
      </w:r>
      <w:r w:rsidR="00BB5A2C" w:rsidRPr="003B11BD">
        <w:rPr>
          <w:noProof/>
          <w:lang w:val="en-IE"/>
        </w:rPr>
        <w:t>laws</w:t>
      </w:r>
      <w:r w:rsidR="00F87533" w:rsidRPr="003B11BD">
        <w:rPr>
          <w:noProof/>
          <w:lang w:val="en-IE"/>
        </w:rPr>
        <w:t>.</w:t>
      </w:r>
      <w:r w:rsidR="00E825F6" w:rsidRPr="003B11BD">
        <w:rPr>
          <w:noProof/>
          <w:lang w:val="en-IE"/>
        </w:rPr>
        <w:t xml:space="preserve"> In both case they would also face recurring costs linked to transparency obligations</w:t>
      </w:r>
      <w:r w:rsidR="001A1B46" w:rsidRPr="003B11BD">
        <w:rPr>
          <w:noProof/>
          <w:lang w:val="en-IE"/>
        </w:rPr>
        <w:t xml:space="preserve"> </w:t>
      </w:r>
      <w:r w:rsidR="007976EA" w:rsidRPr="003B11BD">
        <w:rPr>
          <w:noProof/>
          <w:lang w:val="en-IE"/>
        </w:rPr>
        <w:t>in the event of a</w:t>
      </w:r>
      <w:r w:rsidR="001A1B46" w:rsidRPr="003B11BD">
        <w:rPr>
          <w:noProof/>
          <w:lang w:val="en-IE"/>
        </w:rPr>
        <w:t xml:space="preserve"> crisis (hence with</w:t>
      </w:r>
      <w:r w:rsidR="00CD1193" w:rsidRPr="003B11BD">
        <w:rPr>
          <w:noProof/>
          <w:lang w:val="en-IE"/>
        </w:rPr>
        <w:t xml:space="preserve"> a very</w:t>
      </w:r>
      <w:r w:rsidR="001A1B46" w:rsidRPr="003B11BD">
        <w:rPr>
          <w:noProof/>
          <w:lang w:val="en-IE"/>
        </w:rPr>
        <w:t xml:space="preserve"> low frequency)</w:t>
      </w:r>
      <w:r w:rsidR="00706C4E" w:rsidRPr="003B11BD">
        <w:rPr>
          <w:noProof/>
          <w:lang w:val="en-IE"/>
        </w:rPr>
        <w:t>.</w:t>
      </w:r>
      <w:r w:rsidR="00E825F6" w:rsidRPr="003B11BD">
        <w:rPr>
          <w:noProof/>
          <w:lang w:val="en-IE"/>
        </w:rPr>
        <w:t xml:space="preserve"> </w:t>
      </w:r>
      <w:r w:rsidR="006E39E3" w:rsidRPr="003B11BD">
        <w:rPr>
          <w:noProof/>
          <w:lang w:val="en-IE"/>
        </w:rPr>
        <w:t xml:space="preserve">As granting procedures would remain national under </w:t>
      </w:r>
      <w:r w:rsidR="00ED1A32" w:rsidRPr="003B11BD">
        <w:rPr>
          <w:noProof/>
          <w:lang w:val="en-IE"/>
        </w:rPr>
        <w:t>PO2-</w:t>
      </w:r>
      <w:r w:rsidR="000D4134" w:rsidRPr="003B11BD">
        <w:rPr>
          <w:noProof/>
          <w:lang w:val="en-IE"/>
        </w:rPr>
        <w:t>PO3</w:t>
      </w:r>
      <w:r w:rsidR="006E39E3" w:rsidRPr="003B11BD">
        <w:rPr>
          <w:noProof/>
          <w:lang w:val="en-IE"/>
        </w:rPr>
        <w:t xml:space="preserve">, this would entail </w:t>
      </w:r>
      <w:r w:rsidR="0046029A" w:rsidRPr="003B11BD">
        <w:rPr>
          <w:noProof/>
          <w:lang w:val="en-IE"/>
        </w:rPr>
        <w:t xml:space="preserve">enforcement </w:t>
      </w:r>
      <w:r w:rsidR="006E39E3" w:rsidRPr="003B11BD">
        <w:rPr>
          <w:noProof/>
          <w:lang w:val="en-IE"/>
        </w:rPr>
        <w:t>cost</w:t>
      </w:r>
      <w:r w:rsidR="00122BC1" w:rsidRPr="003B11BD">
        <w:rPr>
          <w:noProof/>
          <w:lang w:val="en-IE"/>
        </w:rPr>
        <w:t>s for Member States.</w:t>
      </w:r>
      <w:r w:rsidR="0046029A" w:rsidRPr="003B11BD">
        <w:rPr>
          <w:noProof/>
          <w:lang w:val="en-IE"/>
        </w:rPr>
        <w:t xml:space="preserve"> T</w:t>
      </w:r>
      <w:r w:rsidR="00122BC1" w:rsidRPr="003B11BD">
        <w:rPr>
          <w:noProof/>
          <w:lang w:val="en-IE"/>
        </w:rPr>
        <w:t>hese costs would</w:t>
      </w:r>
      <w:r w:rsidR="00F4396D" w:rsidRPr="003B11BD">
        <w:rPr>
          <w:noProof/>
          <w:lang w:val="en-IE"/>
        </w:rPr>
        <w:t xml:space="preserve"> disappear under </w:t>
      </w:r>
      <w:r w:rsidR="002E1DC1" w:rsidRPr="003B11BD">
        <w:rPr>
          <w:noProof/>
          <w:lang w:val="en-IE"/>
        </w:rPr>
        <w:t>PO</w:t>
      </w:r>
      <w:r w:rsidR="00F4396D" w:rsidRPr="003B11BD">
        <w:rPr>
          <w:noProof/>
          <w:lang w:val="en-IE"/>
        </w:rPr>
        <w:t>4</w:t>
      </w:r>
      <w:r w:rsidR="00CD1193" w:rsidRPr="003B11BD">
        <w:rPr>
          <w:noProof/>
          <w:lang w:val="en-IE"/>
        </w:rPr>
        <w:t>,</w:t>
      </w:r>
      <w:r w:rsidR="00F4396D" w:rsidRPr="003B11BD">
        <w:rPr>
          <w:noProof/>
          <w:lang w:val="en-IE"/>
        </w:rPr>
        <w:t xml:space="preserve"> as the granting of the compulsory licence would be </w:t>
      </w:r>
      <w:r w:rsidR="00685E2B" w:rsidRPr="003B11BD">
        <w:rPr>
          <w:noProof/>
          <w:lang w:val="en-IE"/>
        </w:rPr>
        <w:t>implemented</w:t>
      </w:r>
      <w:r w:rsidR="00F4396D" w:rsidRPr="003B11BD">
        <w:rPr>
          <w:noProof/>
          <w:lang w:val="en-IE"/>
        </w:rPr>
        <w:t xml:space="preserve"> at EU level.</w:t>
      </w:r>
      <w:r w:rsidR="00C87E03" w:rsidRPr="003B11BD">
        <w:rPr>
          <w:noProof/>
          <w:lang w:val="en-IE"/>
        </w:rPr>
        <w:t xml:space="preserve"> </w:t>
      </w:r>
    </w:p>
    <w:p w14:paraId="42DA5FE5" w14:textId="59C83715" w:rsidR="000B63AE" w:rsidRPr="003B11BD" w:rsidRDefault="7311575C" w:rsidP="00B86C94">
      <w:pPr>
        <w:rPr>
          <w:noProof/>
          <w:lang w:val="en-IE"/>
        </w:rPr>
      </w:pPr>
      <w:r w:rsidRPr="003B11BD">
        <w:rPr>
          <w:noProof/>
          <w:lang w:val="en-IE"/>
        </w:rPr>
        <w:t>The risk of unavailability of critical products during crises decrease</w:t>
      </w:r>
      <w:r w:rsidR="00CD1193" w:rsidRPr="003B11BD">
        <w:rPr>
          <w:noProof/>
          <w:lang w:val="en-IE"/>
        </w:rPr>
        <w:t>s</w:t>
      </w:r>
      <w:r w:rsidRPr="003B11BD">
        <w:rPr>
          <w:noProof/>
          <w:lang w:val="en-IE"/>
        </w:rPr>
        <w:t xml:space="preserve"> </w:t>
      </w:r>
      <w:r w:rsidR="47357320" w:rsidRPr="003B11BD">
        <w:rPr>
          <w:noProof/>
          <w:lang w:val="en-IE"/>
        </w:rPr>
        <w:t xml:space="preserve">as compulsory licensing schemes become more effective and efficient. For this reason, </w:t>
      </w:r>
      <w:r w:rsidR="61C757AF" w:rsidRPr="003B11BD">
        <w:rPr>
          <w:b/>
          <w:bCs/>
          <w:noProof/>
          <w:lang w:val="en-IE"/>
        </w:rPr>
        <w:t xml:space="preserve">EU </w:t>
      </w:r>
      <w:r w:rsidR="47357320" w:rsidRPr="003B11BD">
        <w:rPr>
          <w:b/>
          <w:bCs/>
          <w:noProof/>
          <w:lang w:val="en-IE"/>
        </w:rPr>
        <w:t>citizens</w:t>
      </w:r>
      <w:r w:rsidR="47357320" w:rsidRPr="003B11BD">
        <w:rPr>
          <w:noProof/>
          <w:lang w:val="en-IE"/>
        </w:rPr>
        <w:t xml:space="preserve"> woul</w:t>
      </w:r>
      <w:r w:rsidR="209EF926" w:rsidRPr="003B11BD">
        <w:rPr>
          <w:noProof/>
          <w:lang w:val="en-IE"/>
        </w:rPr>
        <w:t xml:space="preserve">d suffer the lowest risk under </w:t>
      </w:r>
      <w:r w:rsidR="65309E37" w:rsidRPr="003B11BD">
        <w:rPr>
          <w:noProof/>
          <w:lang w:val="en-IE"/>
        </w:rPr>
        <w:t>PO</w:t>
      </w:r>
      <w:r w:rsidR="47357320" w:rsidRPr="003B11BD">
        <w:rPr>
          <w:noProof/>
          <w:lang w:val="en-IE"/>
        </w:rPr>
        <w:t xml:space="preserve">4. Such option would indeed allow a fully coherent and cross-border </w:t>
      </w:r>
      <w:r w:rsidR="65309E37" w:rsidRPr="003B11BD">
        <w:rPr>
          <w:noProof/>
          <w:lang w:val="en-IE"/>
        </w:rPr>
        <w:t xml:space="preserve">compulsory </w:t>
      </w:r>
      <w:r w:rsidR="47357320" w:rsidRPr="003B11BD">
        <w:rPr>
          <w:noProof/>
          <w:lang w:val="en-IE"/>
        </w:rPr>
        <w:t xml:space="preserve">licence, which is not the case under </w:t>
      </w:r>
      <w:r w:rsidR="209EF926" w:rsidRPr="003B11BD">
        <w:rPr>
          <w:noProof/>
          <w:lang w:val="en-IE"/>
        </w:rPr>
        <w:t xml:space="preserve">any </w:t>
      </w:r>
      <w:r w:rsidR="47357320" w:rsidRPr="003B11BD">
        <w:rPr>
          <w:noProof/>
          <w:lang w:val="en-IE"/>
        </w:rPr>
        <w:t>other option. As regards</w:t>
      </w:r>
      <w:r w:rsidR="209EF926" w:rsidRPr="003B11BD">
        <w:rPr>
          <w:noProof/>
          <w:lang w:val="en-IE"/>
        </w:rPr>
        <w:t xml:space="preserve"> the</w:t>
      </w:r>
      <w:r w:rsidR="47357320" w:rsidRPr="003B11BD">
        <w:rPr>
          <w:noProof/>
          <w:lang w:val="en-IE"/>
        </w:rPr>
        <w:t xml:space="preserve"> </w:t>
      </w:r>
      <w:r w:rsidR="002D606C" w:rsidRPr="003B11BD">
        <w:rPr>
          <w:b/>
          <w:bCs/>
          <w:noProof/>
          <w:lang w:val="en-IE"/>
        </w:rPr>
        <w:t xml:space="preserve">non-EU </w:t>
      </w:r>
      <w:r w:rsidR="47357320" w:rsidRPr="003B11BD">
        <w:rPr>
          <w:b/>
          <w:bCs/>
          <w:noProof/>
          <w:lang w:val="en-IE"/>
        </w:rPr>
        <w:t>countries</w:t>
      </w:r>
      <w:r w:rsidR="47357320" w:rsidRPr="003B11BD">
        <w:rPr>
          <w:noProof/>
          <w:lang w:val="en-IE"/>
        </w:rPr>
        <w:t xml:space="preserve">, </w:t>
      </w:r>
      <w:r w:rsidR="65309E37" w:rsidRPr="003B11BD">
        <w:rPr>
          <w:noProof/>
          <w:lang w:val="en-IE"/>
        </w:rPr>
        <w:t>PO</w:t>
      </w:r>
      <w:r w:rsidR="47357320" w:rsidRPr="003B11BD">
        <w:rPr>
          <w:noProof/>
          <w:lang w:val="en-IE"/>
        </w:rPr>
        <w:t xml:space="preserve">1 and </w:t>
      </w:r>
      <w:r w:rsidR="65309E37" w:rsidRPr="003B11BD">
        <w:rPr>
          <w:noProof/>
          <w:lang w:val="en-IE"/>
        </w:rPr>
        <w:t>PO</w:t>
      </w:r>
      <w:r w:rsidR="47357320" w:rsidRPr="003B11BD">
        <w:rPr>
          <w:noProof/>
          <w:lang w:val="en-IE"/>
        </w:rPr>
        <w:t xml:space="preserve">2 only provide soft measures, </w:t>
      </w:r>
      <w:r w:rsidR="79519933" w:rsidRPr="003B11BD">
        <w:rPr>
          <w:noProof/>
          <w:lang w:val="en-IE"/>
        </w:rPr>
        <w:t xml:space="preserve">likely to support to </w:t>
      </w:r>
      <w:r w:rsidR="002D606C" w:rsidRPr="003B11BD">
        <w:rPr>
          <w:noProof/>
          <w:lang w:val="en-IE"/>
        </w:rPr>
        <w:t xml:space="preserve">non-EU </w:t>
      </w:r>
      <w:r w:rsidR="79519933" w:rsidRPr="003B11BD">
        <w:rPr>
          <w:noProof/>
          <w:lang w:val="en-IE"/>
        </w:rPr>
        <w:t>countries</w:t>
      </w:r>
      <w:r w:rsidR="576747D9" w:rsidRPr="003B11BD">
        <w:rPr>
          <w:noProof/>
          <w:lang w:val="en-IE"/>
        </w:rPr>
        <w:t xml:space="preserve"> </w:t>
      </w:r>
      <w:r w:rsidR="79519933" w:rsidRPr="003B11BD">
        <w:rPr>
          <w:noProof/>
          <w:lang w:val="en-IE"/>
        </w:rPr>
        <w:t xml:space="preserve">to a limited extent. </w:t>
      </w:r>
      <w:r w:rsidR="576747D9" w:rsidRPr="003B11BD">
        <w:rPr>
          <w:noProof/>
          <w:lang w:val="en-IE"/>
        </w:rPr>
        <w:t>PO</w:t>
      </w:r>
      <w:r w:rsidR="79519933" w:rsidRPr="003B11BD">
        <w:rPr>
          <w:noProof/>
          <w:lang w:val="en-IE"/>
        </w:rPr>
        <w:t xml:space="preserve">3 brings </w:t>
      </w:r>
      <w:r w:rsidR="71CECB27" w:rsidRPr="003B11BD">
        <w:rPr>
          <w:noProof/>
          <w:lang w:val="en-IE"/>
        </w:rPr>
        <w:t>an</w:t>
      </w:r>
      <w:r w:rsidR="79519933" w:rsidRPr="003B11BD">
        <w:rPr>
          <w:noProof/>
          <w:lang w:val="en-IE"/>
        </w:rPr>
        <w:t xml:space="preserve"> added-value as it foresees the </w:t>
      </w:r>
      <w:r w:rsidR="71CECB27" w:rsidRPr="003B11BD">
        <w:rPr>
          <w:noProof/>
          <w:lang w:val="en-IE"/>
        </w:rPr>
        <w:t xml:space="preserve">possibility for </w:t>
      </w:r>
      <w:r w:rsidR="002D606C" w:rsidRPr="003B11BD">
        <w:rPr>
          <w:noProof/>
          <w:lang w:val="en-IE"/>
        </w:rPr>
        <w:t xml:space="preserve">non-EU </w:t>
      </w:r>
      <w:r w:rsidR="71CECB27" w:rsidRPr="003B11BD">
        <w:rPr>
          <w:noProof/>
          <w:lang w:val="en-IE"/>
        </w:rPr>
        <w:t xml:space="preserve">countries to benefit </w:t>
      </w:r>
      <w:r w:rsidR="189F3E67" w:rsidRPr="003B11BD">
        <w:rPr>
          <w:noProof/>
          <w:lang w:val="en-IE"/>
        </w:rPr>
        <w:t>from the support of the Commission, assisted by an advisory body, when facing a cross-border manufacturing process</w:t>
      </w:r>
      <w:r w:rsidR="79519933" w:rsidRPr="003B11BD">
        <w:rPr>
          <w:noProof/>
          <w:lang w:val="en-IE"/>
        </w:rPr>
        <w:t>.</w:t>
      </w:r>
      <w:r w:rsidR="48926F31" w:rsidRPr="003B11BD">
        <w:rPr>
          <w:noProof/>
          <w:lang w:val="en-IE"/>
        </w:rPr>
        <w:t xml:space="preserve"> This </w:t>
      </w:r>
      <w:r w:rsidR="13234680" w:rsidRPr="003B11BD">
        <w:rPr>
          <w:noProof/>
          <w:lang w:val="en-IE"/>
        </w:rPr>
        <w:t xml:space="preserve">benefit would remain under </w:t>
      </w:r>
      <w:r w:rsidR="576747D9" w:rsidRPr="003B11BD">
        <w:rPr>
          <w:noProof/>
          <w:lang w:val="en-IE"/>
        </w:rPr>
        <w:t>PO</w:t>
      </w:r>
      <w:r w:rsidR="13234680" w:rsidRPr="003B11BD">
        <w:rPr>
          <w:noProof/>
          <w:lang w:val="en-IE"/>
        </w:rPr>
        <w:t xml:space="preserve">4. In addition, </w:t>
      </w:r>
      <w:r w:rsidR="576747D9" w:rsidRPr="003B11BD">
        <w:rPr>
          <w:noProof/>
          <w:lang w:val="en-IE"/>
        </w:rPr>
        <w:t>PO</w:t>
      </w:r>
      <w:r w:rsidR="13234680" w:rsidRPr="003B11BD">
        <w:rPr>
          <w:noProof/>
          <w:lang w:val="en-IE"/>
        </w:rPr>
        <w:t xml:space="preserve">4 </w:t>
      </w:r>
      <w:r w:rsidR="1E139760" w:rsidRPr="003B11BD">
        <w:rPr>
          <w:noProof/>
          <w:lang w:val="en-IE"/>
        </w:rPr>
        <w:t>ensures</w:t>
      </w:r>
      <w:r w:rsidR="13234680" w:rsidRPr="003B11BD">
        <w:rPr>
          <w:noProof/>
          <w:lang w:val="en-IE"/>
        </w:rPr>
        <w:t xml:space="preserve"> that products </w:t>
      </w:r>
      <w:r w:rsidR="5B78D35C" w:rsidRPr="003B11BD">
        <w:rPr>
          <w:noProof/>
          <w:lang w:val="en-IE"/>
        </w:rPr>
        <w:t>being manufactured across several EU countries could also be the subject of a compulsory licence for export purposes</w:t>
      </w:r>
      <w:r w:rsidR="541107A6" w:rsidRPr="003B11BD">
        <w:rPr>
          <w:noProof/>
          <w:lang w:val="en-IE"/>
        </w:rPr>
        <w:t xml:space="preserve"> to </w:t>
      </w:r>
      <w:r w:rsidR="002D606C" w:rsidRPr="003B11BD">
        <w:rPr>
          <w:noProof/>
          <w:lang w:val="en-IE"/>
        </w:rPr>
        <w:t xml:space="preserve">non-EU </w:t>
      </w:r>
      <w:r w:rsidR="541107A6" w:rsidRPr="003B11BD">
        <w:rPr>
          <w:noProof/>
          <w:lang w:val="en-IE"/>
        </w:rPr>
        <w:t>countries</w:t>
      </w:r>
      <w:r w:rsidR="209EF926" w:rsidRPr="003B11BD">
        <w:rPr>
          <w:noProof/>
          <w:lang w:val="en-IE"/>
        </w:rPr>
        <w:t>.</w:t>
      </w:r>
      <w:r w:rsidR="5B78D35C" w:rsidRPr="003B11BD">
        <w:rPr>
          <w:noProof/>
          <w:lang w:val="en-IE"/>
        </w:rPr>
        <w:t xml:space="preserve"> This option appears therefore </w:t>
      </w:r>
      <w:r w:rsidR="21A41CC5" w:rsidRPr="003B11BD">
        <w:rPr>
          <w:noProof/>
          <w:lang w:val="en-IE"/>
        </w:rPr>
        <w:t xml:space="preserve">highly beneficial to </w:t>
      </w:r>
      <w:r w:rsidR="002D606C" w:rsidRPr="003B11BD">
        <w:rPr>
          <w:noProof/>
          <w:lang w:val="en-IE"/>
        </w:rPr>
        <w:t xml:space="preserve">non-EU </w:t>
      </w:r>
      <w:r w:rsidR="21A41CC5" w:rsidRPr="003B11BD">
        <w:rPr>
          <w:noProof/>
          <w:lang w:val="en-IE"/>
        </w:rPr>
        <w:t>countries.</w:t>
      </w:r>
    </w:p>
    <w:p w14:paraId="07566FFF" w14:textId="66AB0C91" w:rsidR="00006638" w:rsidRPr="003B11BD" w:rsidRDefault="00006638" w:rsidP="00006638">
      <w:pPr>
        <w:pStyle w:val="Caption"/>
        <w:keepNext/>
        <w:rPr>
          <w:i w:val="0"/>
          <w:noProof/>
          <w:sz w:val="20"/>
          <w:lang w:val="en-IE"/>
        </w:rPr>
      </w:pPr>
      <w:r w:rsidRPr="003B11BD">
        <w:rPr>
          <w:noProof/>
          <w:lang w:val="en-IE"/>
        </w:rPr>
        <w:t xml:space="preserve">Table </w:t>
      </w:r>
      <w:r w:rsidR="00C6592A">
        <w:rPr>
          <w:noProof/>
          <w:lang w:val="en-IE"/>
        </w:rPr>
        <w:t>7</w:t>
      </w:r>
      <w:bookmarkEnd w:id="994"/>
      <w:bookmarkEnd w:id="995"/>
      <w:r w:rsidRPr="003B11BD">
        <w:rPr>
          <w:noProof/>
          <w:lang w:val="en-IE"/>
        </w:rPr>
        <w:t>: Comparison of the impacts of policy options on stakeholders</w:t>
      </w:r>
      <w:r w:rsidR="003E7917" w:rsidRPr="003B11BD">
        <w:rPr>
          <w:noProof/>
          <w:lang w:val="en-IE"/>
        </w:rPr>
        <w:t xml:space="preserve"> (</w:t>
      </w:r>
      <w:r w:rsidR="007976EA" w:rsidRPr="003B11BD">
        <w:rPr>
          <w:noProof/>
          <w:lang w:val="en-IE"/>
        </w:rPr>
        <w:t>in the event of a</w:t>
      </w:r>
      <w:r w:rsidR="00576305" w:rsidRPr="003B11BD">
        <w:rPr>
          <w:noProof/>
          <w:lang w:val="en-IE"/>
        </w:rPr>
        <w:t xml:space="preserve"> </w:t>
      </w:r>
      <w:r w:rsidR="003E7917" w:rsidRPr="003B11BD">
        <w:rPr>
          <w:noProof/>
          <w:lang w:val="en-IE"/>
        </w:rPr>
        <w:t>crisis)</w:t>
      </w:r>
    </w:p>
    <w:tbl>
      <w:tblPr>
        <w:tblStyle w:val="TableGrid"/>
        <w:tblW w:w="4955" w:type="pct"/>
        <w:tblLayout w:type="fixed"/>
        <w:tblLook w:val="01E0" w:firstRow="1" w:lastRow="1" w:firstColumn="1" w:lastColumn="1" w:noHBand="0" w:noVBand="0"/>
      </w:tblPr>
      <w:tblGrid>
        <w:gridCol w:w="392"/>
        <w:gridCol w:w="1701"/>
        <w:gridCol w:w="1701"/>
        <w:gridCol w:w="2125"/>
        <w:gridCol w:w="1559"/>
        <w:gridCol w:w="1276"/>
      </w:tblGrid>
      <w:tr w:rsidR="00AA0540" w:rsidRPr="003B11BD" w14:paraId="31915E3E" w14:textId="139646EA" w:rsidTr="34EF0D43">
        <w:trPr>
          <w:trHeight w:val="224"/>
        </w:trPr>
        <w:tc>
          <w:tcPr>
            <w:tcW w:w="393" w:type="dxa"/>
            <w:vMerge w:val="restart"/>
            <w:tcBorders>
              <w:top w:val="single" w:sz="4" w:space="0" w:color="auto"/>
              <w:left w:val="single" w:sz="4" w:space="0" w:color="auto"/>
              <w:right w:val="single" w:sz="4" w:space="0" w:color="auto"/>
            </w:tcBorders>
            <w:textDirection w:val="btLr"/>
            <w:vAlign w:val="center"/>
          </w:tcPr>
          <w:p w14:paraId="6CDA8D33" w14:textId="1F9A9733" w:rsidR="00AA0540" w:rsidRPr="003B11BD" w:rsidRDefault="00AA0540" w:rsidP="00AA0540">
            <w:pPr>
              <w:spacing w:after="0"/>
              <w:ind w:left="-52" w:right="-112" w:hanging="5"/>
              <w:jc w:val="center"/>
              <w:rPr>
                <w:b/>
                <w:noProof/>
                <w:sz w:val="16"/>
                <w:szCs w:val="16"/>
                <w:lang w:val="en-IE"/>
              </w:rPr>
            </w:pPr>
            <w:r w:rsidRPr="003B11BD">
              <w:rPr>
                <w:b/>
                <w:noProof/>
                <w:sz w:val="16"/>
                <w:szCs w:val="16"/>
                <w:lang w:val="en-IE"/>
              </w:rPr>
              <w:t>Affected</w:t>
            </w:r>
          </w:p>
        </w:tc>
        <w:tc>
          <w:tcPr>
            <w:tcW w:w="1701" w:type="dxa"/>
            <w:tcBorders>
              <w:top w:val="single" w:sz="4" w:space="0" w:color="auto"/>
              <w:left w:val="single" w:sz="4" w:space="0" w:color="auto"/>
              <w:bottom w:val="single" w:sz="4" w:space="0" w:color="auto"/>
              <w:right w:val="single" w:sz="4" w:space="0" w:color="auto"/>
            </w:tcBorders>
            <w:hideMark/>
          </w:tcPr>
          <w:p w14:paraId="1767CD9F" w14:textId="0D72D526" w:rsidR="00AA0540" w:rsidRPr="003B11BD" w:rsidRDefault="00AA0540">
            <w:pPr>
              <w:keepNext/>
              <w:spacing w:after="0"/>
              <w:ind w:left="-5" w:right="-6"/>
              <w:jc w:val="center"/>
              <w:rPr>
                <w:b/>
                <w:noProof/>
                <w:sz w:val="16"/>
                <w:szCs w:val="16"/>
                <w:lang w:val="en-IE"/>
              </w:rPr>
            </w:pPr>
            <w:r w:rsidRPr="003B11BD">
              <w:rPr>
                <w:b/>
                <w:noProof/>
                <w:sz w:val="16"/>
                <w:szCs w:val="16"/>
                <w:lang w:val="en-IE"/>
              </w:rPr>
              <w:t>IP holders</w:t>
            </w:r>
          </w:p>
        </w:tc>
        <w:tc>
          <w:tcPr>
            <w:tcW w:w="1701" w:type="dxa"/>
            <w:tcBorders>
              <w:top w:val="single" w:sz="4" w:space="0" w:color="auto"/>
              <w:left w:val="single" w:sz="4" w:space="0" w:color="auto"/>
              <w:bottom w:val="single" w:sz="4" w:space="0" w:color="auto"/>
              <w:right w:val="single" w:sz="4" w:space="0" w:color="auto"/>
            </w:tcBorders>
            <w:hideMark/>
          </w:tcPr>
          <w:p w14:paraId="5D76C534" w14:textId="47665EB7" w:rsidR="00AA0540" w:rsidRPr="003B11BD" w:rsidRDefault="00AA0540" w:rsidP="00951903">
            <w:pPr>
              <w:spacing w:after="0"/>
              <w:ind w:left="-5" w:right="-6"/>
              <w:jc w:val="center"/>
              <w:rPr>
                <w:b/>
                <w:noProof/>
                <w:sz w:val="16"/>
                <w:szCs w:val="16"/>
                <w:lang w:val="en-IE"/>
              </w:rPr>
            </w:pPr>
            <w:r w:rsidRPr="003B11BD">
              <w:rPr>
                <w:b/>
                <w:noProof/>
                <w:sz w:val="16"/>
                <w:szCs w:val="16"/>
                <w:lang w:val="en-IE"/>
              </w:rPr>
              <w:t>Manufacturers - future licensees</w:t>
            </w:r>
          </w:p>
        </w:tc>
        <w:tc>
          <w:tcPr>
            <w:tcW w:w="2125" w:type="dxa"/>
            <w:tcBorders>
              <w:top w:val="single" w:sz="4" w:space="0" w:color="auto"/>
              <w:left w:val="single" w:sz="4" w:space="0" w:color="auto"/>
              <w:bottom w:val="single" w:sz="4" w:space="0" w:color="auto"/>
              <w:right w:val="single" w:sz="4" w:space="0" w:color="auto"/>
            </w:tcBorders>
          </w:tcPr>
          <w:p w14:paraId="6AB6CC08" w14:textId="76208FFB" w:rsidR="00AA0540" w:rsidRPr="003B11BD" w:rsidRDefault="00270487">
            <w:pPr>
              <w:spacing w:after="0"/>
              <w:ind w:left="-5" w:right="-6"/>
              <w:jc w:val="center"/>
              <w:rPr>
                <w:b/>
                <w:noProof/>
                <w:sz w:val="16"/>
                <w:szCs w:val="16"/>
                <w:lang w:val="en-IE"/>
              </w:rPr>
            </w:pPr>
            <w:r w:rsidRPr="003B11BD">
              <w:rPr>
                <w:b/>
                <w:noProof/>
                <w:sz w:val="16"/>
                <w:szCs w:val="16"/>
                <w:lang w:val="en-IE"/>
              </w:rPr>
              <w:t>EU countries</w:t>
            </w:r>
          </w:p>
        </w:tc>
        <w:tc>
          <w:tcPr>
            <w:tcW w:w="1559" w:type="dxa"/>
            <w:tcBorders>
              <w:top w:val="single" w:sz="4" w:space="0" w:color="auto"/>
              <w:left w:val="single" w:sz="4" w:space="0" w:color="auto"/>
              <w:bottom w:val="single" w:sz="4" w:space="0" w:color="auto"/>
              <w:right w:val="single" w:sz="4" w:space="0" w:color="auto"/>
            </w:tcBorders>
            <w:hideMark/>
          </w:tcPr>
          <w:p w14:paraId="30784CA9" w14:textId="24671EC1" w:rsidR="00AA0540" w:rsidRPr="003B11BD" w:rsidRDefault="008C3E75" w:rsidP="00917D55">
            <w:pPr>
              <w:spacing w:after="0"/>
              <w:ind w:left="-5" w:right="-6"/>
              <w:jc w:val="center"/>
              <w:rPr>
                <w:b/>
                <w:noProof/>
                <w:sz w:val="16"/>
                <w:szCs w:val="16"/>
                <w:lang w:val="en-IE"/>
              </w:rPr>
            </w:pPr>
            <w:r w:rsidRPr="003B11BD">
              <w:rPr>
                <w:b/>
                <w:noProof/>
                <w:sz w:val="16"/>
                <w:szCs w:val="16"/>
                <w:lang w:val="en-IE"/>
              </w:rPr>
              <w:t>The general public (</w:t>
            </w:r>
            <w:r w:rsidR="00AA0540" w:rsidRPr="003B11BD">
              <w:rPr>
                <w:b/>
                <w:noProof/>
                <w:sz w:val="16"/>
                <w:szCs w:val="16"/>
                <w:lang w:val="en-IE"/>
              </w:rPr>
              <w:t>EU citizens</w:t>
            </w:r>
            <w:r w:rsidRPr="003B11BD">
              <w:rPr>
                <w:b/>
                <w:noProof/>
                <w:sz w:val="16"/>
                <w:szCs w:val="16"/>
                <w:lang w:val="en-IE"/>
              </w:rPr>
              <w:t>)</w:t>
            </w:r>
            <w:r w:rsidR="00AA0540" w:rsidRPr="003B11BD" w:rsidDel="000122B1">
              <w:rPr>
                <w:b/>
                <w:noProof/>
                <w:sz w:val="16"/>
                <w:szCs w:val="16"/>
                <w:lang w:val="en-IE"/>
              </w:rPr>
              <w:t xml:space="preserve"> </w:t>
            </w:r>
          </w:p>
        </w:tc>
        <w:tc>
          <w:tcPr>
            <w:tcW w:w="1276" w:type="dxa"/>
            <w:tcBorders>
              <w:top w:val="single" w:sz="4" w:space="0" w:color="auto"/>
              <w:left w:val="single" w:sz="4" w:space="0" w:color="auto"/>
              <w:bottom w:val="single" w:sz="4" w:space="0" w:color="auto"/>
              <w:right w:val="single" w:sz="4" w:space="0" w:color="auto"/>
            </w:tcBorders>
          </w:tcPr>
          <w:p w14:paraId="1BDBF9ED" w14:textId="1BF4A7C1" w:rsidR="00AA0540" w:rsidRPr="003B11BD" w:rsidRDefault="00EF1136" w:rsidP="000122B1">
            <w:pPr>
              <w:spacing w:after="0"/>
              <w:ind w:left="-5" w:right="-6"/>
              <w:jc w:val="center"/>
              <w:rPr>
                <w:b/>
                <w:noProof/>
                <w:sz w:val="16"/>
                <w:szCs w:val="16"/>
                <w:lang w:val="en-IE"/>
              </w:rPr>
            </w:pPr>
            <w:r w:rsidRPr="003B11BD">
              <w:rPr>
                <w:b/>
                <w:noProof/>
                <w:sz w:val="16"/>
                <w:szCs w:val="16"/>
                <w:lang w:val="en-IE"/>
              </w:rPr>
              <w:t>Non-EU</w:t>
            </w:r>
            <w:r w:rsidR="00AA0540" w:rsidRPr="003B11BD">
              <w:rPr>
                <w:b/>
                <w:noProof/>
                <w:sz w:val="16"/>
                <w:szCs w:val="16"/>
                <w:lang w:val="en-IE"/>
              </w:rPr>
              <w:t xml:space="preserve"> countries</w:t>
            </w:r>
          </w:p>
        </w:tc>
      </w:tr>
      <w:tr w:rsidR="00AA0540" w:rsidRPr="003B11BD" w14:paraId="53BB0289" w14:textId="25530975" w:rsidTr="34EF0D43">
        <w:trPr>
          <w:trHeight w:val="101"/>
        </w:trPr>
        <w:tc>
          <w:tcPr>
            <w:tcW w:w="393" w:type="dxa"/>
            <w:vMerge/>
            <w:hideMark/>
          </w:tcPr>
          <w:p w14:paraId="30D93E4D" w14:textId="65D39976" w:rsidR="00AA0540" w:rsidRPr="003B11BD" w:rsidRDefault="00AA0540" w:rsidP="00AA0540">
            <w:pPr>
              <w:spacing w:after="0"/>
              <w:ind w:left="-52" w:right="-112" w:hanging="5"/>
              <w:jc w:val="left"/>
              <w:rPr>
                <w:b/>
                <w:noProof/>
                <w:sz w:val="16"/>
                <w:szCs w:val="16"/>
                <w:lang w:val="en-IE"/>
              </w:rPr>
            </w:pPr>
          </w:p>
        </w:tc>
        <w:tc>
          <w:tcPr>
            <w:tcW w:w="1701" w:type="dxa"/>
            <w:tcBorders>
              <w:top w:val="single" w:sz="4" w:space="0" w:color="auto"/>
              <w:left w:val="single" w:sz="4" w:space="0" w:color="auto"/>
              <w:bottom w:val="single" w:sz="4" w:space="0" w:color="auto"/>
              <w:right w:val="single" w:sz="4" w:space="0" w:color="auto"/>
            </w:tcBorders>
          </w:tcPr>
          <w:p w14:paraId="1937D848" w14:textId="2F0C854A" w:rsidR="00AA0540" w:rsidRPr="003B11BD" w:rsidRDefault="00AA0540" w:rsidP="00777FFE">
            <w:pPr>
              <w:keepNext/>
              <w:spacing w:after="0"/>
              <w:ind w:left="-5" w:right="-6"/>
              <w:jc w:val="center"/>
              <w:rPr>
                <w:noProof/>
                <w:sz w:val="16"/>
                <w:szCs w:val="16"/>
                <w:lang w:val="en-IE"/>
              </w:rPr>
            </w:pPr>
            <w:r w:rsidRPr="003B11BD">
              <w:rPr>
                <w:noProof/>
                <w:sz w:val="16"/>
                <w:szCs w:val="16"/>
                <w:lang w:val="en-IE"/>
              </w:rPr>
              <w:t>Selected firms from the population of 103.000</w:t>
            </w:r>
            <w:r w:rsidRPr="003B11BD">
              <w:rPr>
                <w:rStyle w:val="FootnoteReference"/>
                <w:noProof/>
                <w:sz w:val="16"/>
                <w:szCs w:val="16"/>
                <w:lang w:val="en-IE"/>
              </w:rPr>
              <w:footnoteReference w:id="139"/>
            </w:r>
          </w:p>
        </w:tc>
        <w:tc>
          <w:tcPr>
            <w:tcW w:w="1701" w:type="dxa"/>
            <w:tcBorders>
              <w:top w:val="single" w:sz="4" w:space="0" w:color="auto"/>
              <w:left w:val="single" w:sz="4" w:space="0" w:color="auto"/>
              <w:bottom w:val="single" w:sz="4" w:space="0" w:color="auto"/>
              <w:right w:val="single" w:sz="4" w:space="0" w:color="auto"/>
            </w:tcBorders>
          </w:tcPr>
          <w:p w14:paraId="202CE6C6" w14:textId="39809566" w:rsidR="00AA0540" w:rsidRPr="003B11BD" w:rsidRDefault="00AA0540" w:rsidP="00595B0A">
            <w:pPr>
              <w:spacing w:after="0"/>
              <w:ind w:right="-6"/>
              <w:jc w:val="center"/>
              <w:rPr>
                <w:noProof/>
                <w:sz w:val="16"/>
                <w:szCs w:val="16"/>
                <w:lang w:val="en-IE"/>
              </w:rPr>
            </w:pPr>
            <w:r w:rsidRPr="003B11BD">
              <w:rPr>
                <w:noProof/>
                <w:sz w:val="16"/>
                <w:szCs w:val="16"/>
                <w:lang w:val="en-IE"/>
              </w:rPr>
              <w:t xml:space="preserve">Selected firms from the population of </w:t>
            </w:r>
            <w:r w:rsidRPr="003B11BD">
              <w:rPr>
                <w:noProof/>
                <w:sz w:val="16"/>
                <w:szCs w:val="16"/>
                <w:lang w:val="en-IE"/>
              </w:rPr>
              <w:br/>
              <w:t>2 million</w:t>
            </w:r>
            <w:r w:rsidRPr="003B11BD">
              <w:rPr>
                <w:rStyle w:val="FootnoteReference"/>
                <w:noProof/>
                <w:sz w:val="16"/>
                <w:szCs w:val="16"/>
                <w:lang w:val="en-IE"/>
              </w:rPr>
              <w:footnoteReference w:id="140"/>
            </w:r>
          </w:p>
        </w:tc>
        <w:tc>
          <w:tcPr>
            <w:tcW w:w="2125" w:type="dxa"/>
            <w:tcBorders>
              <w:top w:val="single" w:sz="4" w:space="0" w:color="auto"/>
              <w:left w:val="single" w:sz="4" w:space="0" w:color="auto"/>
              <w:bottom w:val="single" w:sz="4" w:space="0" w:color="auto"/>
              <w:right w:val="single" w:sz="4" w:space="0" w:color="auto"/>
            </w:tcBorders>
          </w:tcPr>
          <w:p w14:paraId="3564A1C8" w14:textId="1A0DE072" w:rsidR="00AA0540" w:rsidRPr="003B11BD" w:rsidRDefault="00AA0540">
            <w:pPr>
              <w:spacing w:after="0"/>
              <w:ind w:left="-5" w:right="-6"/>
              <w:jc w:val="center"/>
              <w:rPr>
                <w:noProof/>
                <w:sz w:val="16"/>
                <w:szCs w:val="16"/>
                <w:lang w:val="en-IE"/>
              </w:rPr>
            </w:pPr>
            <w:r w:rsidRPr="003B11BD">
              <w:rPr>
                <w:noProof/>
                <w:sz w:val="16"/>
                <w:szCs w:val="16"/>
                <w:lang w:val="en-IE"/>
              </w:rPr>
              <w:t>27</w:t>
            </w:r>
          </w:p>
        </w:tc>
        <w:tc>
          <w:tcPr>
            <w:tcW w:w="1559" w:type="dxa"/>
            <w:tcBorders>
              <w:top w:val="single" w:sz="4" w:space="0" w:color="auto"/>
              <w:left w:val="single" w:sz="4" w:space="0" w:color="auto"/>
              <w:bottom w:val="single" w:sz="4" w:space="0" w:color="auto"/>
              <w:right w:val="single" w:sz="4" w:space="0" w:color="auto"/>
            </w:tcBorders>
          </w:tcPr>
          <w:p w14:paraId="759DFD36" w14:textId="3FD0989F" w:rsidR="00AA0540" w:rsidRPr="003B11BD" w:rsidRDefault="00AA0540">
            <w:pPr>
              <w:spacing w:after="0"/>
              <w:ind w:left="-5" w:right="-6"/>
              <w:jc w:val="center"/>
              <w:rPr>
                <w:noProof/>
                <w:sz w:val="16"/>
                <w:szCs w:val="16"/>
                <w:lang w:val="en-IE"/>
              </w:rPr>
            </w:pPr>
            <w:r w:rsidRPr="003B11BD">
              <w:rPr>
                <w:noProof/>
                <w:sz w:val="16"/>
                <w:szCs w:val="16"/>
                <w:lang w:val="en-IE"/>
              </w:rPr>
              <w:t xml:space="preserve">Citizens affected by the crisis among 447 million (2021) </w:t>
            </w:r>
          </w:p>
        </w:tc>
        <w:tc>
          <w:tcPr>
            <w:tcW w:w="1276" w:type="dxa"/>
            <w:tcBorders>
              <w:top w:val="single" w:sz="4" w:space="0" w:color="auto"/>
              <w:left w:val="single" w:sz="4" w:space="0" w:color="auto"/>
              <w:bottom w:val="single" w:sz="4" w:space="0" w:color="auto"/>
              <w:right w:val="single" w:sz="4" w:space="0" w:color="auto"/>
            </w:tcBorders>
          </w:tcPr>
          <w:p w14:paraId="371A63E9" w14:textId="2D03D0CC" w:rsidR="00AA0540" w:rsidRPr="003B11BD" w:rsidRDefault="005A68C9">
            <w:pPr>
              <w:spacing w:after="0"/>
              <w:ind w:left="-5" w:right="-6"/>
              <w:jc w:val="center"/>
              <w:rPr>
                <w:noProof/>
                <w:sz w:val="16"/>
                <w:szCs w:val="16"/>
                <w:lang w:val="en-IE"/>
              </w:rPr>
            </w:pPr>
            <w:r w:rsidRPr="003B11BD">
              <w:rPr>
                <w:noProof/>
                <w:sz w:val="16"/>
                <w:szCs w:val="16"/>
                <w:lang w:val="en-IE"/>
              </w:rPr>
              <w:t>Countries covered by Regulation (EC) No 816/2006</w:t>
            </w:r>
          </w:p>
        </w:tc>
      </w:tr>
      <w:tr w:rsidR="00E4737C" w:rsidRPr="003B11BD" w14:paraId="23E235B2" w14:textId="3A108F2D" w:rsidTr="34EF0D43">
        <w:trPr>
          <w:trHeight w:val="101"/>
        </w:trPr>
        <w:tc>
          <w:tcPr>
            <w:tcW w:w="393" w:type="dxa"/>
            <w:tcBorders>
              <w:top w:val="single" w:sz="4" w:space="0" w:color="auto"/>
              <w:left w:val="single" w:sz="4" w:space="0" w:color="auto"/>
              <w:bottom w:val="single" w:sz="4" w:space="0" w:color="auto"/>
              <w:right w:val="single" w:sz="4" w:space="0" w:color="auto"/>
            </w:tcBorders>
            <w:hideMark/>
          </w:tcPr>
          <w:p w14:paraId="485D1949" w14:textId="1CEF9A77" w:rsidR="00E4737C" w:rsidRPr="003B11BD" w:rsidRDefault="00AA0540" w:rsidP="00AA0540">
            <w:pPr>
              <w:spacing w:after="0"/>
              <w:ind w:left="-52" w:right="-112" w:hanging="5"/>
              <w:jc w:val="left"/>
              <w:rPr>
                <w:b/>
                <w:noProof/>
                <w:sz w:val="16"/>
                <w:szCs w:val="16"/>
                <w:lang w:val="en-IE"/>
              </w:rPr>
            </w:pPr>
            <w:r w:rsidRPr="003B11BD">
              <w:rPr>
                <w:b/>
                <w:noProof/>
                <w:sz w:val="16"/>
                <w:szCs w:val="16"/>
                <w:lang w:val="en-IE"/>
              </w:rPr>
              <w:t>PO0</w:t>
            </w:r>
          </w:p>
        </w:tc>
        <w:tc>
          <w:tcPr>
            <w:tcW w:w="1701" w:type="dxa"/>
            <w:tcBorders>
              <w:top w:val="single" w:sz="4" w:space="0" w:color="auto"/>
              <w:left w:val="single" w:sz="4" w:space="0" w:color="auto"/>
              <w:bottom w:val="single" w:sz="4" w:space="0" w:color="auto"/>
              <w:right w:val="single" w:sz="4" w:space="0" w:color="auto"/>
            </w:tcBorders>
            <w:hideMark/>
          </w:tcPr>
          <w:p w14:paraId="369FE55B" w14:textId="77777777" w:rsidR="00E4737C" w:rsidRPr="003B11BD" w:rsidRDefault="00E4737C">
            <w:pPr>
              <w:keepNext/>
              <w:spacing w:after="0"/>
              <w:ind w:left="-5" w:right="-6"/>
              <w:jc w:val="center"/>
              <w:rPr>
                <w:noProof/>
                <w:sz w:val="16"/>
                <w:szCs w:val="16"/>
                <w:lang w:val="en-IE"/>
              </w:rPr>
            </w:pPr>
            <w:r w:rsidRPr="003B11BD">
              <w:rPr>
                <w:noProof/>
                <w:sz w:val="16"/>
                <w:szCs w:val="16"/>
                <w:lang w:val="en-IE"/>
              </w:rPr>
              <w:t>(0)</w:t>
            </w:r>
          </w:p>
        </w:tc>
        <w:tc>
          <w:tcPr>
            <w:tcW w:w="1701" w:type="dxa"/>
            <w:tcBorders>
              <w:top w:val="single" w:sz="4" w:space="0" w:color="auto"/>
              <w:left w:val="single" w:sz="4" w:space="0" w:color="auto"/>
              <w:bottom w:val="single" w:sz="4" w:space="0" w:color="auto"/>
              <w:right w:val="single" w:sz="4" w:space="0" w:color="auto"/>
            </w:tcBorders>
            <w:hideMark/>
          </w:tcPr>
          <w:p w14:paraId="28E6EF5D" w14:textId="36A5F447" w:rsidR="00E4737C" w:rsidRPr="003B11BD" w:rsidRDefault="00E4737C" w:rsidP="00537CDC">
            <w:pPr>
              <w:spacing w:after="0"/>
              <w:ind w:left="-5" w:right="-6"/>
              <w:jc w:val="center"/>
              <w:rPr>
                <w:noProof/>
                <w:sz w:val="16"/>
                <w:szCs w:val="16"/>
                <w:lang w:val="en-IE"/>
              </w:rPr>
            </w:pPr>
            <w:r w:rsidRPr="003B11BD">
              <w:rPr>
                <w:noProof/>
                <w:sz w:val="16"/>
                <w:szCs w:val="16"/>
                <w:lang w:val="en-IE"/>
              </w:rPr>
              <w:t>(0)</w:t>
            </w:r>
          </w:p>
        </w:tc>
        <w:tc>
          <w:tcPr>
            <w:tcW w:w="2125" w:type="dxa"/>
            <w:tcBorders>
              <w:top w:val="single" w:sz="4" w:space="0" w:color="auto"/>
              <w:left w:val="single" w:sz="4" w:space="0" w:color="auto"/>
              <w:bottom w:val="single" w:sz="4" w:space="0" w:color="auto"/>
              <w:right w:val="single" w:sz="4" w:space="0" w:color="auto"/>
            </w:tcBorders>
          </w:tcPr>
          <w:p w14:paraId="3266A437" w14:textId="358AED79" w:rsidR="00E4737C" w:rsidRPr="003B11BD" w:rsidRDefault="00A06740">
            <w:pPr>
              <w:spacing w:after="0"/>
              <w:ind w:left="-5" w:right="-6"/>
              <w:jc w:val="center"/>
              <w:rPr>
                <w:noProof/>
                <w:sz w:val="16"/>
                <w:szCs w:val="16"/>
                <w:lang w:val="en-IE"/>
              </w:rPr>
            </w:pPr>
            <w:r w:rsidRPr="003B11BD">
              <w:rPr>
                <w:noProof/>
                <w:sz w:val="16"/>
                <w:szCs w:val="16"/>
                <w:lang w:val="en-IE"/>
              </w:rPr>
              <w:t>(0)</w:t>
            </w:r>
          </w:p>
        </w:tc>
        <w:tc>
          <w:tcPr>
            <w:tcW w:w="1559" w:type="dxa"/>
            <w:tcBorders>
              <w:top w:val="single" w:sz="4" w:space="0" w:color="auto"/>
              <w:left w:val="single" w:sz="4" w:space="0" w:color="auto"/>
              <w:bottom w:val="single" w:sz="4" w:space="0" w:color="auto"/>
              <w:right w:val="single" w:sz="4" w:space="0" w:color="auto"/>
            </w:tcBorders>
            <w:hideMark/>
          </w:tcPr>
          <w:p w14:paraId="3E79889E" w14:textId="177D0648" w:rsidR="00E4737C" w:rsidRPr="003B11BD" w:rsidRDefault="00E4737C">
            <w:pPr>
              <w:spacing w:after="0"/>
              <w:ind w:left="-5" w:right="-6"/>
              <w:jc w:val="center"/>
              <w:rPr>
                <w:noProof/>
                <w:sz w:val="16"/>
                <w:szCs w:val="16"/>
                <w:lang w:val="en-IE"/>
              </w:rPr>
            </w:pPr>
            <w:r w:rsidRPr="003B11BD">
              <w:rPr>
                <w:noProof/>
                <w:sz w:val="16"/>
                <w:szCs w:val="16"/>
                <w:lang w:val="en-IE"/>
              </w:rPr>
              <w:t>(0)</w:t>
            </w:r>
          </w:p>
        </w:tc>
        <w:tc>
          <w:tcPr>
            <w:tcW w:w="1276" w:type="dxa"/>
            <w:tcBorders>
              <w:top w:val="single" w:sz="4" w:space="0" w:color="auto"/>
              <w:left w:val="single" w:sz="4" w:space="0" w:color="auto"/>
              <w:bottom w:val="single" w:sz="4" w:space="0" w:color="auto"/>
              <w:right w:val="single" w:sz="4" w:space="0" w:color="auto"/>
            </w:tcBorders>
          </w:tcPr>
          <w:p w14:paraId="323EC9DA" w14:textId="2674A608" w:rsidR="00CC3EB0" w:rsidRPr="003B11BD" w:rsidRDefault="00CC3EB0">
            <w:pPr>
              <w:spacing w:after="0"/>
              <w:ind w:left="-5" w:right="-6"/>
              <w:jc w:val="center"/>
              <w:rPr>
                <w:noProof/>
                <w:sz w:val="16"/>
                <w:szCs w:val="16"/>
                <w:lang w:val="en-IE"/>
              </w:rPr>
            </w:pPr>
            <w:r w:rsidRPr="003B11BD">
              <w:rPr>
                <w:noProof/>
                <w:sz w:val="16"/>
                <w:szCs w:val="16"/>
                <w:lang w:val="en-IE"/>
              </w:rPr>
              <w:t>(0)</w:t>
            </w:r>
          </w:p>
        </w:tc>
      </w:tr>
      <w:tr w:rsidR="00440B0E" w:rsidRPr="003B11BD" w14:paraId="5B4CC096" w14:textId="38C56750" w:rsidTr="34EF0D43">
        <w:trPr>
          <w:trHeight w:val="659"/>
        </w:trPr>
        <w:tc>
          <w:tcPr>
            <w:tcW w:w="393" w:type="dxa"/>
            <w:tcBorders>
              <w:top w:val="single" w:sz="4" w:space="0" w:color="auto"/>
              <w:left w:val="single" w:sz="4" w:space="0" w:color="auto"/>
              <w:bottom w:val="single" w:sz="4" w:space="0" w:color="auto"/>
              <w:right w:val="single" w:sz="4" w:space="0" w:color="auto"/>
            </w:tcBorders>
            <w:hideMark/>
          </w:tcPr>
          <w:p w14:paraId="3CA8AC59" w14:textId="5A374409" w:rsidR="00440B0E" w:rsidRPr="003B11BD" w:rsidRDefault="00AA0540" w:rsidP="00AA0540">
            <w:pPr>
              <w:spacing w:after="0"/>
              <w:ind w:left="-52" w:right="-112" w:hanging="5"/>
              <w:jc w:val="left"/>
              <w:rPr>
                <w:b/>
                <w:noProof/>
                <w:sz w:val="16"/>
                <w:szCs w:val="16"/>
                <w:lang w:val="en-IE"/>
              </w:rPr>
            </w:pPr>
            <w:r w:rsidRPr="003B11BD">
              <w:rPr>
                <w:b/>
                <w:noProof/>
                <w:sz w:val="16"/>
                <w:szCs w:val="16"/>
                <w:lang w:val="en-IE"/>
              </w:rPr>
              <w:t>PO</w:t>
            </w:r>
            <w:r w:rsidR="00CC3EB0" w:rsidRPr="003B11BD">
              <w:rPr>
                <w:b/>
                <w:noProof/>
                <w:sz w:val="16"/>
                <w:szCs w:val="16"/>
                <w:lang w:val="en-IE"/>
              </w:rPr>
              <w:t>1</w:t>
            </w:r>
          </w:p>
        </w:tc>
        <w:tc>
          <w:tcPr>
            <w:tcW w:w="1701" w:type="dxa"/>
            <w:tcBorders>
              <w:top w:val="single" w:sz="4" w:space="0" w:color="auto"/>
              <w:left w:val="single" w:sz="4" w:space="0" w:color="auto"/>
              <w:bottom w:val="single" w:sz="4" w:space="0" w:color="auto"/>
              <w:right w:val="single" w:sz="4" w:space="0" w:color="auto"/>
            </w:tcBorders>
          </w:tcPr>
          <w:p w14:paraId="2DE89EAF" w14:textId="1C6FB48E" w:rsidR="00440B0E" w:rsidRPr="003B11BD" w:rsidRDefault="00CC3EB0" w:rsidP="00576305">
            <w:pPr>
              <w:spacing w:after="0"/>
              <w:ind w:left="-6" w:right="-6"/>
              <w:jc w:val="center"/>
              <w:rPr>
                <w:noProof/>
                <w:sz w:val="16"/>
                <w:szCs w:val="16"/>
                <w:lang w:val="en-IE"/>
              </w:rPr>
            </w:pPr>
            <w:r w:rsidRPr="003B11BD">
              <w:rPr>
                <w:noProof/>
                <w:sz w:val="16"/>
                <w:szCs w:val="16"/>
                <w:lang w:val="en-IE"/>
              </w:rPr>
              <w:t xml:space="preserve">(0/+) Somewhat lower costs of </w:t>
            </w:r>
            <w:r w:rsidR="00E6068C" w:rsidRPr="003B11BD">
              <w:rPr>
                <w:noProof/>
                <w:sz w:val="16"/>
                <w:szCs w:val="16"/>
                <w:lang w:val="en-IE"/>
              </w:rPr>
              <w:t xml:space="preserve">compulsory licensing </w:t>
            </w:r>
            <w:r w:rsidRPr="003B11BD">
              <w:rPr>
                <w:noProof/>
                <w:sz w:val="16"/>
                <w:szCs w:val="16"/>
                <w:lang w:val="en-IE"/>
              </w:rPr>
              <w:t>negotiations, and increased legal certainty</w:t>
            </w:r>
            <w:r w:rsidR="004031D8" w:rsidRPr="003B11BD">
              <w:rPr>
                <w:noProof/>
                <w:sz w:val="16"/>
                <w:szCs w:val="16"/>
                <w:lang w:val="en-IE"/>
              </w:rPr>
              <w:t>.</w:t>
            </w:r>
          </w:p>
        </w:tc>
        <w:tc>
          <w:tcPr>
            <w:tcW w:w="1701" w:type="dxa"/>
            <w:tcBorders>
              <w:top w:val="single" w:sz="4" w:space="0" w:color="auto"/>
              <w:left w:val="single" w:sz="4" w:space="0" w:color="auto"/>
              <w:bottom w:val="single" w:sz="4" w:space="0" w:color="auto"/>
              <w:right w:val="single" w:sz="4" w:space="0" w:color="auto"/>
            </w:tcBorders>
          </w:tcPr>
          <w:p w14:paraId="4AF72433" w14:textId="28B4A7B4" w:rsidR="00440B0E" w:rsidRPr="003B11BD" w:rsidRDefault="003B078F" w:rsidP="00770847">
            <w:pPr>
              <w:spacing w:after="0"/>
              <w:ind w:right="-6"/>
              <w:jc w:val="center"/>
              <w:rPr>
                <w:noProof/>
                <w:sz w:val="16"/>
                <w:szCs w:val="16"/>
                <w:lang w:val="en-IE"/>
              </w:rPr>
            </w:pPr>
            <w:r w:rsidRPr="003B11BD">
              <w:rPr>
                <w:noProof/>
                <w:sz w:val="16"/>
                <w:szCs w:val="16"/>
                <w:lang w:val="en-IE"/>
              </w:rPr>
              <w:t>(</w:t>
            </w:r>
            <w:r w:rsidR="00544745" w:rsidRPr="003B11BD">
              <w:rPr>
                <w:noProof/>
                <w:sz w:val="16"/>
                <w:szCs w:val="16"/>
                <w:lang w:val="en-IE"/>
              </w:rPr>
              <w:t>0</w:t>
            </w:r>
            <w:r w:rsidRPr="003B11BD">
              <w:rPr>
                <w:noProof/>
                <w:sz w:val="16"/>
                <w:szCs w:val="16"/>
                <w:lang w:val="en-IE"/>
              </w:rPr>
              <w:t>/</w:t>
            </w:r>
            <w:r w:rsidR="00544745" w:rsidRPr="003B11BD">
              <w:rPr>
                <w:noProof/>
                <w:sz w:val="16"/>
                <w:szCs w:val="16"/>
                <w:lang w:val="en-IE"/>
              </w:rPr>
              <w:t>+</w:t>
            </w:r>
            <w:r w:rsidRPr="003B11BD">
              <w:rPr>
                <w:noProof/>
                <w:sz w:val="16"/>
                <w:szCs w:val="16"/>
                <w:lang w:val="en-IE"/>
              </w:rPr>
              <w:t>)</w:t>
            </w:r>
            <w:r w:rsidR="00544745" w:rsidRPr="003B11BD">
              <w:rPr>
                <w:noProof/>
                <w:sz w:val="16"/>
                <w:szCs w:val="16"/>
                <w:lang w:val="en-IE"/>
              </w:rPr>
              <w:t xml:space="preserve"> </w:t>
            </w:r>
            <w:r w:rsidR="00CC3EB0" w:rsidRPr="003B11BD">
              <w:rPr>
                <w:noProof/>
                <w:sz w:val="16"/>
                <w:szCs w:val="16"/>
                <w:lang w:val="en-IE"/>
              </w:rPr>
              <w:t>Somewhat lower</w:t>
            </w:r>
            <w:r w:rsidR="00544745" w:rsidRPr="003B11BD">
              <w:rPr>
                <w:noProof/>
                <w:sz w:val="16"/>
                <w:szCs w:val="16"/>
                <w:lang w:val="en-IE"/>
              </w:rPr>
              <w:t xml:space="preserve"> costs </w:t>
            </w:r>
            <w:r w:rsidR="00CC3EB0" w:rsidRPr="003B11BD">
              <w:rPr>
                <w:noProof/>
                <w:sz w:val="16"/>
                <w:szCs w:val="16"/>
                <w:lang w:val="en-IE"/>
              </w:rPr>
              <w:t xml:space="preserve">of </w:t>
            </w:r>
            <w:r w:rsidR="00E6068C" w:rsidRPr="003B11BD">
              <w:rPr>
                <w:noProof/>
                <w:sz w:val="16"/>
                <w:szCs w:val="16"/>
                <w:lang w:val="en-IE"/>
              </w:rPr>
              <w:t xml:space="preserve">compulsory licensing </w:t>
            </w:r>
            <w:r w:rsidR="00544745" w:rsidRPr="003B11BD">
              <w:rPr>
                <w:noProof/>
                <w:sz w:val="16"/>
                <w:szCs w:val="16"/>
                <w:lang w:val="en-IE"/>
              </w:rPr>
              <w:t>negotiations</w:t>
            </w:r>
            <w:r w:rsidR="00770847" w:rsidRPr="003B11BD">
              <w:rPr>
                <w:noProof/>
                <w:sz w:val="16"/>
                <w:szCs w:val="16"/>
                <w:lang w:val="en-IE"/>
              </w:rPr>
              <w:t>.</w:t>
            </w:r>
            <w:r w:rsidR="00CC3EB0" w:rsidRPr="003B11BD">
              <w:rPr>
                <w:noProof/>
                <w:sz w:val="16"/>
                <w:szCs w:val="16"/>
                <w:lang w:val="en-IE"/>
              </w:rPr>
              <w:t xml:space="preserve"> </w:t>
            </w:r>
          </w:p>
        </w:tc>
        <w:tc>
          <w:tcPr>
            <w:tcW w:w="2125" w:type="dxa"/>
            <w:tcBorders>
              <w:top w:val="single" w:sz="4" w:space="0" w:color="auto"/>
              <w:left w:val="single" w:sz="4" w:space="0" w:color="auto"/>
              <w:bottom w:val="single" w:sz="4" w:space="0" w:color="auto"/>
              <w:right w:val="single" w:sz="4" w:space="0" w:color="auto"/>
            </w:tcBorders>
          </w:tcPr>
          <w:p w14:paraId="7A41526C" w14:textId="30E8F6D6" w:rsidR="00440B0E" w:rsidRPr="003B11BD" w:rsidRDefault="00CC3EB0" w:rsidP="003D293C">
            <w:pPr>
              <w:spacing w:after="0"/>
              <w:ind w:left="-6" w:right="-6"/>
              <w:jc w:val="center"/>
              <w:rPr>
                <w:noProof/>
                <w:sz w:val="16"/>
                <w:szCs w:val="16"/>
                <w:lang w:val="en-IE"/>
              </w:rPr>
            </w:pPr>
            <w:r w:rsidRPr="003B11BD">
              <w:rPr>
                <w:noProof/>
                <w:sz w:val="16"/>
                <w:szCs w:val="16"/>
                <w:lang w:val="en-IE"/>
              </w:rPr>
              <w:t xml:space="preserve">(0) Marginally lower costs of implementing the CL, but cost of information exchange with other </w:t>
            </w:r>
            <w:r w:rsidR="005E4F9D" w:rsidRPr="003B11BD">
              <w:rPr>
                <w:noProof/>
                <w:sz w:val="16"/>
                <w:szCs w:val="16"/>
                <w:lang w:val="en-IE"/>
              </w:rPr>
              <w:t xml:space="preserve">EU countries </w:t>
            </w:r>
            <w:r w:rsidRPr="003B11BD">
              <w:rPr>
                <w:noProof/>
                <w:sz w:val="16"/>
                <w:szCs w:val="16"/>
                <w:lang w:val="en-IE"/>
              </w:rPr>
              <w:t>(if applicable, as no obligation).</w:t>
            </w:r>
          </w:p>
        </w:tc>
        <w:tc>
          <w:tcPr>
            <w:tcW w:w="1559" w:type="dxa"/>
            <w:tcBorders>
              <w:top w:val="single" w:sz="4" w:space="0" w:color="auto"/>
              <w:left w:val="single" w:sz="4" w:space="0" w:color="auto"/>
              <w:bottom w:val="single" w:sz="4" w:space="0" w:color="auto"/>
              <w:right w:val="single" w:sz="4" w:space="0" w:color="auto"/>
            </w:tcBorders>
          </w:tcPr>
          <w:p w14:paraId="46224ADB" w14:textId="37E8939A" w:rsidR="00440B0E" w:rsidRPr="003B11BD" w:rsidRDefault="00CC3EB0" w:rsidP="00576305">
            <w:pPr>
              <w:spacing w:after="0"/>
              <w:ind w:left="-6" w:right="-6"/>
              <w:jc w:val="center"/>
              <w:rPr>
                <w:noProof/>
                <w:sz w:val="16"/>
                <w:szCs w:val="16"/>
                <w:lang w:val="en-IE"/>
              </w:rPr>
            </w:pPr>
            <w:r w:rsidRPr="003B11BD">
              <w:rPr>
                <w:noProof/>
                <w:sz w:val="16"/>
                <w:szCs w:val="16"/>
                <w:lang w:val="en-IE"/>
              </w:rPr>
              <w:t xml:space="preserve">(0/+) </w:t>
            </w:r>
            <w:r w:rsidR="00B80FA4" w:rsidRPr="003B11BD">
              <w:rPr>
                <w:noProof/>
                <w:sz w:val="16"/>
                <w:szCs w:val="16"/>
                <w:lang w:val="en-IE"/>
              </w:rPr>
              <w:t>Marginally lower risk of delays or unavailability of critical products during crisis</w:t>
            </w:r>
            <w:r w:rsidR="00770847" w:rsidRPr="003B11BD">
              <w:rPr>
                <w:noProof/>
                <w:sz w:val="16"/>
                <w:szCs w:val="16"/>
                <w:lang w:val="en-IE"/>
              </w:rPr>
              <w:t>.</w:t>
            </w:r>
          </w:p>
        </w:tc>
        <w:tc>
          <w:tcPr>
            <w:tcW w:w="1276" w:type="dxa"/>
            <w:tcBorders>
              <w:top w:val="single" w:sz="4" w:space="0" w:color="auto"/>
              <w:left w:val="single" w:sz="4" w:space="0" w:color="auto"/>
              <w:bottom w:val="single" w:sz="4" w:space="0" w:color="auto"/>
              <w:right w:val="single" w:sz="4" w:space="0" w:color="auto"/>
            </w:tcBorders>
          </w:tcPr>
          <w:p w14:paraId="78694EE1" w14:textId="6FD00CD7" w:rsidR="00B80FA4" w:rsidRPr="003B11BD" w:rsidRDefault="00B80FA4" w:rsidP="00576305">
            <w:pPr>
              <w:spacing w:after="0"/>
              <w:ind w:left="-6" w:right="-6"/>
              <w:jc w:val="center"/>
              <w:rPr>
                <w:noProof/>
                <w:sz w:val="16"/>
                <w:szCs w:val="16"/>
                <w:lang w:val="en-IE"/>
              </w:rPr>
            </w:pPr>
            <w:r w:rsidRPr="003B11BD">
              <w:rPr>
                <w:noProof/>
                <w:sz w:val="16"/>
                <w:szCs w:val="16"/>
                <w:lang w:val="en-IE"/>
              </w:rPr>
              <w:t>(0/+) Somewhat lower costs</w:t>
            </w:r>
            <w:r w:rsidR="004031D8" w:rsidRPr="003B11BD">
              <w:rPr>
                <w:noProof/>
                <w:sz w:val="16"/>
                <w:szCs w:val="16"/>
                <w:lang w:val="en-IE"/>
              </w:rPr>
              <w:t xml:space="preserve"> </w:t>
            </w:r>
            <w:r w:rsidRPr="003B11BD">
              <w:rPr>
                <w:noProof/>
                <w:sz w:val="16"/>
                <w:szCs w:val="16"/>
                <w:lang w:val="en-IE"/>
              </w:rPr>
              <w:t>and improvement in legal certainty</w:t>
            </w:r>
            <w:r w:rsidR="004031D8" w:rsidRPr="003B11BD">
              <w:rPr>
                <w:noProof/>
                <w:sz w:val="16"/>
                <w:szCs w:val="16"/>
                <w:lang w:val="en-IE"/>
              </w:rPr>
              <w:t>.</w:t>
            </w:r>
          </w:p>
        </w:tc>
      </w:tr>
      <w:tr w:rsidR="00440B0E" w:rsidRPr="003B11BD" w14:paraId="244CD0EB" w14:textId="318A7C9C" w:rsidTr="34EF0D43">
        <w:trPr>
          <w:trHeight w:val="133"/>
        </w:trPr>
        <w:tc>
          <w:tcPr>
            <w:tcW w:w="393" w:type="dxa"/>
            <w:tcBorders>
              <w:top w:val="single" w:sz="4" w:space="0" w:color="auto"/>
              <w:left w:val="single" w:sz="4" w:space="0" w:color="auto"/>
              <w:bottom w:val="single" w:sz="4" w:space="0" w:color="auto"/>
              <w:right w:val="single" w:sz="4" w:space="0" w:color="auto"/>
            </w:tcBorders>
            <w:hideMark/>
          </w:tcPr>
          <w:p w14:paraId="5C88C223" w14:textId="148E6676" w:rsidR="00440B0E" w:rsidRPr="003B11BD" w:rsidRDefault="00AA0540" w:rsidP="00AA0540">
            <w:pPr>
              <w:spacing w:after="0"/>
              <w:ind w:left="-52" w:right="-112" w:hanging="5"/>
              <w:jc w:val="left"/>
              <w:rPr>
                <w:b/>
                <w:i/>
                <w:noProof/>
                <w:sz w:val="16"/>
                <w:szCs w:val="16"/>
                <w:lang w:val="en-IE"/>
              </w:rPr>
            </w:pPr>
            <w:r w:rsidRPr="003B11BD">
              <w:rPr>
                <w:b/>
                <w:noProof/>
                <w:sz w:val="16"/>
                <w:szCs w:val="16"/>
                <w:lang w:val="en-IE"/>
              </w:rPr>
              <w:t>PO</w:t>
            </w:r>
            <w:r w:rsidR="00CC3EB0" w:rsidRPr="003B11BD">
              <w:rPr>
                <w:b/>
                <w:noProof/>
                <w:sz w:val="16"/>
                <w:szCs w:val="16"/>
                <w:lang w:val="en-IE"/>
              </w:rPr>
              <w:t>2</w:t>
            </w:r>
          </w:p>
        </w:tc>
        <w:tc>
          <w:tcPr>
            <w:tcW w:w="1701" w:type="dxa"/>
            <w:tcBorders>
              <w:top w:val="single" w:sz="4" w:space="0" w:color="auto"/>
              <w:left w:val="single" w:sz="4" w:space="0" w:color="auto"/>
              <w:bottom w:val="single" w:sz="4" w:space="0" w:color="auto"/>
              <w:right w:val="single" w:sz="4" w:space="0" w:color="auto"/>
            </w:tcBorders>
          </w:tcPr>
          <w:p w14:paraId="058CA909" w14:textId="71E5269C" w:rsidR="00440B0E" w:rsidRPr="003B11BD" w:rsidRDefault="00CC3EB0" w:rsidP="00576305">
            <w:pPr>
              <w:spacing w:after="0"/>
              <w:ind w:left="-6" w:right="-6"/>
              <w:jc w:val="center"/>
              <w:rPr>
                <w:noProof/>
                <w:sz w:val="16"/>
                <w:szCs w:val="16"/>
                <w:lang w:val="en-IE"/>
              </w:rPr>
            </w:pPr>
            <w:r w:rsidRPr="003B11BD">
              <w:rPr>
                <w:noProof/>
                <w:sz w:val="16"/>
                <w:szCs w:val="16"/>
                <w:lang w:val="en-IE"/>
              </w:rPr>
              <w:t>(+)</w:t>
            </w:r>
            <w:r w:rsidR="003E7917" w:rsidRPr="003B11BD">
              <w:rPr>
                <w:noProof/>
                <w:sz w:val="16"/>
                <w:szCs w:val="16"/>
                <w:lang w:val="en-IE"/>
              </w:rPr>
              <w:t xml:space="preserve"> Somewhat lower costs of </w:t>
            </w:r>
            <w:r w:rsidR="00E6068C" w:rsidRPr="003B11BD">
              <w:rPr>
                <w:noProof/>
                <w:sz w:val="16"/>
                <w:szCs w:val="16"/>
                <w:lang w:val="en-IE"/>
              </w:rPr>
              <w:t xml:space="preserve">compulsory licensing </w:t>
            </w:r>
            <w:r w:rsidR="003E7917" w:rsidRPr="003B11BD">
              <w:rPr>
                <w:noProof/>
                <w:sz w:val="16"/>
                <w:szCs w:val="16"/>
                <w:lang w:val="en-IE"/>
              </w:rPr>
              <w:t>negotiations and some improvement in legal certainty, as rules more coherent across MS</w:t>
            </w:r>
            <w:r w:rsidR="003D293C" w:rsidRPr="003B11BD">
              <w:rPr>
                <w:noProof/>
                <w:sz w:val="16"/>
                <w:szCs w:val="16"/>
                <w:lang w:val="en-IE"/>
              </w:rPr>
              <w:t>.</w:t>
            </w:r>
          </w:p>
        </w:tc>
        <w:tc>
          <w:tcPr>
            <w:tcW w:w="1701" w:type="dxa"/>
            <w:tcBorders>
              <w:top w:val="single" w:sz="4" w:space="0" w:color="auto"/>
              <w:left w:val="single" w:sz="4" w:space="0" w:color="auto"/>
              <w:bottom w:val="single" w:sz="4" w:space="0" w:color="auto"/>
              <w:right w:val="single" w:sz="4" w:space="0" w:color="auto"/>
            </w:tcBorders>
          </w:tcPr>
          <w:p w14:paraId="14E30535" w14:textId="08D4FB3F" w:rsidR="00440B0E" w:rsidRPr="003B11BD" w:rsidRDefault="00CC3EB0" w:rsidP="00576305">
            <w:pPr>
              <w:spacing w:after="0"/>
              <w:ind w:left="-6" w:right="-6"/>
              <w:jc w:val="center"/>
              <w:rPr>
                <w:noProof/>
                <w:sz w:val="16"/>
                <w:szCs w:val="16"/>
                <w:lang w:val="en-IE"/>
              </w:rPr>
            </w:pPr>
            <w:r w:rsidRPr="003B11BD">
              <w:rPr>
                <w:noProof/>
                <w:sz w:val="16"/>
                <w:szCs w:val="16"/>
                <w:lang w:val="en-IE"/>
              </w:rPr>
              <w:t>(+)</w:t>
            </w:r>
            <w:r w:rsidR="003E7917" w:rsidRPr="003B11BD">
              <w:rPr>
                <w:noProof/>
                <w:sz w:val="16"/>
                <w:szCs w:val="16"/>
                <w:lang w:val="en-IE"/>
              </w:rPr>
              <w:t xml:space="preserve"> Somewhat lower costs of negotiations, as rules more coherent across MS</w:t>
            </w:r>
            <w:r w:rsidR="00770847" w:rsidRPr="003B11BD">
              <w:rPr>
                <w:noProof/>
                <w:sz w:val="16"/>
                <w:szCs w:val="16"/>
                <w:lang w:val="en-IE"/>
              </w:rPr>
              <w:t>.</w:t>
            </w:r>
          </w:p>
        </w:tc>
        <w:tc>
          <w:tcPr>
            <w:tcW w:w="2125" w:type="dxa"/>
            <w:tcBorders>
              <w:top w:val="single" w:sz="4" w:space="0" w:color="auto"/>
              <w:left w:val="single" w:sz="4" w:space="0" w:color="auto"/>
              <w:bottom w:val="single" w:sz="4" w:space="0" w:color="auto"/>
              <w:right w:val="single" w:sz="4" w:space="0" w:color="auto"/>
            </w:tcBorders>
          </w:tcPr>
          <w:p w14:paraId="0D18F137" w14:textId="65E5379D" w:rsidR="00440B0E" w:rsidRPr="003B11BD" w:rsidRDefault="00CC3EB0" w:rsidP="009E5071">
            <w:pPr>
              <w:spacing w:after="0"/>
              <w:ind w:left="-6" w:right="-6"/>
              <w:jc w:val="center"/>
              <w:rPr>
                <w:noProof/>
                <w:sz w:val="16"/>
                <w:szCs w:val="16"/>
                <w:lang w:val="en-IE"/>
              </w:rPr>
            </w:pPr>
            <w:r w:rsidRPr="003B11BD">
              <w:rPr>
                <w:noProof/>
                <w:sz w:val="16"/>
                <w:szCs w:val="16"/>
                <w:lang w:val="en-IE"/>
              </w:rPr>
              <w:t>(</w:t>
            </w:r>
            <w:r w:rsidR="00685E2B" w:rsidRPr="003B11BD">
              <w:rPr>
                <w:noProof/>
                <w:sz w:val="16"/>
                <w:szCs w:val="16"/>
                <w:lang w:val="en-IE"/>
              </w:rPr>
              <w:t>0/</w:t>
            </w:r>
            <w:r w:rsidRPr="003B11BD">
              <w:rPr>
                <w:noProof/>
                <w:sz w:val="16"/>
                <w:szCs w:val="16"/>
                <w:lang w:val="en-IE"/>
              </w:rPr>
              <w:t xml:space="preserve">+) </w:t>
            </w:r>
            <w:r w:rsidR="003E7917" w:rsidRPr="003B11BD">
              <w:rPr>
                <w:noProof/>
                <w:sz w:val="16"/>
                <w:szCs w:val="16"/>
                <w:lang w:val="en-IE"/>
              </w:rPr>
              <w:t xml:space="preserve">Potentially lower costs of implementing the </w:t>
            </w:r>
            <w:r w:rsidR="00E6068C" w:rsidRPr="003B11BD">
              <w:rPr>
                <w:noProof/>
                <w:sz w:val="16"/>
                <w:szCs w:val="16"/>
                <w:lang w:val="en-IE"/>
              </w:rPr>
              <w:t xml:space="preserve">compulsory licensing </w:t>
            </w:r>
            <w:r w:rsidR="003E7917" w:rsidRPr="003B11BD">
              <w:rPr>
                <w:noProof/>
                <w:sz w:val="16"/>
                <w:szCs w:val="16"/>
                <w:lang w:val="en-IE"/>
              </w:rPr>
              <w:t xml:space="preserve">as </w:t>
            </w:r>
            <w:r w:rsidR="00685E2B" w:rsidRPr="003B11BD">
              <w:rPr>
                <w:noProof/>
                <w:sz w:val="16"/>
                <w:szCs w:val="16"/>
                <w:lang w:val="en-IE"/>
              </w:rPr>
              <w:t>and b</w:t>
            </w:r>
            <w:r w:rsidR="003E7917" w:rsidRPr="003B11BD">
              <w:rPr>
                <w:noProof/>
                <w:sz w:val="16"/>
                <w:szCs w:val="16"/>
                <w:lang w:val="en-IE"/>
              </w:rPr>
              <w:t xml:space="preserve">etter exchange of information </w:t>
            </w:r>
            <w:r w:rsidR="00685E2B" w:rsidRPr="003B11BD">
              <w:rPr>
                <w:noProof/>
                <w:sz w:val="16"/>
                <w:szCs w:val="16"/>
                <w:lang w:val="en-IE"/>
              </w:rPr>
              <w:t xml:space="preserve">between MS, but cost of information exchange; cost of reporting to </w:t>
            </w:r>
            <w:r w:rsidR="00A9046E" w:rsidRPr="003B11BD">
              <w:rPr>
                <w:noProof/>
                <w:sz w:val="16"/>
                <w:szCs w:val="16"/>
                <w:lang w:val="en-IE"/>
              </w:rPr>
              <w:t xml:space="preserve">the </w:t>
            </w:r>
            <w:r w:rsidR="00685E2B" w:rsidRPr="003B11BD">
              <w:rPr>
                <w:noProof/>
                <w:sz w:val="16"/>
                <w:szCs w:val="16"/>
                <w:lang w:val="en-IE"/>
              </w:rPr>
              <w:t>EC</w:t>
            </w:r>
            <w:r w:rsidR="00F9094C" w:rsidRPr="003B11BD">
              <w:rPr>
                <w:noProof/>
                <w:sz w:val="16"/>
                <w:szCs w:val="16"/>
                <w:lang w:val="en-IE"/>
              </w:rPr>
              <w:t>.</w:t>
            </w:r>
          </w:p>
        </w:tc>
        <w:tc>
          <w:tcPr>
            <w:tcW w:w="1559" w:type="dxa"/>
            <w:tcBorders>
              <w:top w:val="single" w:sz="4" w:space="0" w:color="auto"/>
              <w:left w:val="single" w:sz="4" w:space="0" w:color="auto"/>
              <w:bottom w:val="single" w:sz="4" w:space="0" w:color="auto"/>
              <w:right w:val="single" w:sz="4" w:space="0" w:color="auto"/>
            </w:tcBorders>
          </w:tcPr>
          <w:p w14:paraId="40A23991" w14:textId="4C4C4BFC" w:rsidR="00440B0E" w:rsidRPr="003B11BD" w:rsidRDefault="00CC3EB0" w:rsidP="00576305">
            <w:pPr>
              <w:spacing w:after="0"/>
              <w:ind w:left="-6" w:right="-6"/>
              <w:jc w:val="center"/>
              <w:rPr>
                <w:noProof/>
                <w:sz w:val="16"/>
                <w:szCs w:val="16"/>
                <w:lang w:val="en-IE"/>
              </w:rPr>
            </w:pPr>
            <w:r w:rsidRPr="003B11BD">
              <w:rPr>
                <w:noProof/>
                <w:sz w:val="16"/>
                <w:szCs w:val="16"/>
                <w:lang w:val="en-IE"/>
              </w:rPr>
              <w:t>(+)</w:t>
            </w:r>
            <w:r w:rsidR="00685E2B" w:rsidRPr="003B11BD">
              <w:rPr>
                <w:noProof/>
                <w:sz w:val="16"/>
                <w:szCs w:val="16"/>
                <w:lang w:val="en-IE"/>
              </w:rPr>
              <w:t xml:space="preserve"> Marginally lower risk of delays or unavailability of critical products during crisis, as rules more coherent across MS.</w:t>
            </w:r>
          </w:p>
        </w:tc>
        <w:tc>
          <w:tcPr>
            <w:tcW w:w="1276" w:type="dxa"/>
            <w:tcBorders>
              <w:top w:val="single" w:sz="4" w:space="0" w:color="auto"/>
              <w:left w:val="single" w:sz="4" w:space="0" w:color="auto"/>
              <w:bottom w:val="single" w:sz="4" w:space="0" w:color="auto"/>
              <w:right w:val="single" w:sz="4" w:space="0" w:color="auto"/>
            </w:tcBorders>
          </w:tcPr>
          <w:p w14:paraId="6764F26F" w14:textId="5A279E83" w:rsidR="00685E2B" w:rsidRPr="003B11BD" w:rsidRDefault="00685E2B" w:rsidP="00576305">
            <w:pPr>
              <w:spacing w:after="0"/>
              <w:ind w:left="-6" w:right="-6"/>
              <w:jc w:val="center"/>
              <w:rPr>
                <w:noProof/>
                <w:sz w:val="16"/>
                <w:szCs w:val="16"/>
                <w:lang w:val="en-IE"/>
              </w:rPr>
            </w:pPr>
            <w:r w:rsidRPr="003B11BD">
              <w:rPr>
                <w:noProof/>
                <w:sz w:val="16"/>
                <w:szCs w:val="16"/>
                <w:lang w:val="en-IE"/>
              </w:rPr>
              <w:t xml:space="preserve">(+) Increased legal certainty and limited administrative savings for </w:t>
            </w:r>
            <w:r w:rsidR="002D606C" w:rsidRPr="003B11BD">
              <w:rPr>
                <w:noProof/>
                <w:sz w:val="16"/>
                <w:szCs w:val="16"/>
                <w:lang w:val="en-IE"/>
              </w:rPr>
              <w:t xml:space="preserve">non-EU </w:t>
            </w:r>
            <w:r w:rsidRPr="003B11BD">
              <w:rPr>
                <w:noProof/>
                <w:sz w:val="16"/>
                <w:szCs w:val="16"/>
                <w:lang w:val="en-IE"/>
              </w:rPr>
              <w:t>countries.</w:t>
            </w:r>
          </w:p>
        </w:tc>
      </w:tr>
      <w:tr w:rsidR="00440B0E" w:rsidRPr="003B11BD" w14:paraId="63F8D824" w14:textId="517FD5FF" w:rsidTr="34EF0D43">
        <w:trPr>
          <w:trHeight w:val="700"/>
        </w:trPr>
        <w:tc>
          <w:tcPr>
            <w:tcW w:w="393" w:type="dxa"/>
            <w:tcBorders>
              <w:top w:val="single" w:sz="4" w:space="0" w:color="auto"/>
              <w:left w:val="single" w:sz="4" w:space="0" w:color="auto"/>
              <w:bottom w:val="single" w:sz="4" w:space="0" w:color="auto"/>
              <w:right w:val="single" w:sz="4" w:space="0" w:color="auto"/>
            </w:tcBorders>
            <w:hideMark/>
          </w:tcPr>
          <w:p w14:paraId="4EC87FEA" w14:textId="0D9F98BE" w:rsidR="00440B0E" w:rsidRPr="003B11BD" w:rsidRDefault="00CC3EB0" w:rsidP="00AA0540">
            <w:pPr>
              <w:spacing w:after="0"/>
              <w:ind w:left="-52" w:right="-112" w:hanging="5"/>
              <w:jc w:val="left"/>
              <w:rPr>
                <w:b/>
                <w:noProof/>
                <w:sz w:val="16"/>
                <w:szCs w:val="16"/>
                <w:lang w:val="en-IE"/>
              </w:rPr>
            </w:pPr>
            <w:r w:rsidRPr="003B11BD">
              <w:rPr>
                <w:b/>
                <w:noProof/>
                <w:sz w:val="16"/>
                <w:szCs w:val="16"/>
                <w:lang w:val="en-IE"/>
              </w:rPr>
              <w:t>PO3</w:t>
            </w:r>
          </w:p>
        </w:tc>
        <w:tc>
          <w:tcPr>
            <w:tcW w:w="1701" w:type="dxa"/>
            <w:tcBorders>
              <w:top w:val="single" w:sz="4" w:space="0" w:color="auto"/>
              <w:left w:val="single" w:sz="4" w:space="0" w:color="auto"/>
              <w:bottom w:val="single" w:sz="4" w:space="0" w:color="auto"/>
              <w:right w:val="single" w:sz="4" w:space="0" w:color="auto"/>
            </w:tcBorders>
          </w:tcPr>
          <w:p w14:paraId="3DCD297C" w14:textId="0AEB9476" w:rsidR="00440B0E" w:rsidRPr="003B11BD" w:rsidRDefault="00C06053" w:rsidP="00770847">
            <w:pPr>
              <w:spacing w:after="0"/>
              <w:ind w:left="-6" w:right="-6"/>
              <w:jc w:val="center"/>
              <w:rPr>
                <w:noProof/>
                <w:sz w:val="16"/>
                <w:szCs w:val="16"/>
                <w:lang w:val="en-IE"/>
              </w:rPr>
            </w:pPr>
            <w:r w:rsidRPr="003B11BD">
              <w:rPr>
                <w:noProof/>
                <w:sz w:val="16"/>
                <w:szCs w:val="16"/>
                <w:lang w:val="en-IE"/>
              </w:rPr>
              <w:t>(</w:t>
            </w:r>
            <w:r w:rsidR="00770847" w:rsidRPr="003B11BD">
              <w:rPr>
                <w:noProof/>
                <w:sz w:val="16"/>
                <w:szCs w:val="16"/>
                <w:lang w:val="en-IE"/>
              </w:rPr>
              <w:t>+</w:t>
            </w:r>
            <w:r w:rsidRPr="003B11BD">
              <w:rPr>
                <w:noProof/>
                <w:sz w:val="16"/>
                <w:szCs w:val="16"/>
                <w:lang w:val="en-IE"/>
              </w:rPr>
              <w:t>) Lower costs of negotiations and improvement in legal certainty, but marginal loss of control over patent rights</w:t>
            </w:r>
            <w:r w:rsidR="000B4EC2" w:rsidRPr="003B11BD">
              <w:rPr>
                <w:noProof/>
                <w:sz w:val="16"/>
                <w:szCs w:val="16"/>
                <w:lang w:val="en-IE"/>
              </w:rPr>
              <w:t>,</w:t>
            </w:r>
            <w:r w:rsidRPr="003B11BD">
              <w:rPr>
                <w:noProof/>
                <w:sz w:val="16"/>
                <w:szCs w:val="16"/>
                <w:lang w:val="en-IE"/>
              </w:rPr>
              <w:t xml:space="preserve"> if harmonisation le</w:t>
            </w:r>
            <w:r w:rsidR="00AA0540" w:rsidRPr="003B11BD">
              <w:rPr>
                <w:noProof/>
                <w:sz w:val="16"/>
                <w:szCs w:val="16"/>
                <w:lang w:val="en-IE"/>
              </w:rPr>
              <w:t>ads to wider geographical scope</w:t>
            </w:r>
            <w:r w:rsidRPr="003B11BD">
              <w:rPr>
                <w:noProof/>
                <w:sz w:val="16"/>
                <w:szCs w:val="16"/>
                <w:lang w:val="en-IE"/>
              </w:rPr>
              <w:t>.</w:t>
            </w:r>
          </w:p>
        </w:tc>
        <w:tc>
          <w:tcPr>
            <w:tcW w:w="1701" w:type="dxa"/>
            <w:tcBorders>
              <w:top w:val="single" w:sz="4" w:space="0" w:color="auto"/>
              <w:left w:val="single" w:sz="4" w:space="0" w:color="auto"/>
              <w:bottom w:val="single" w:sz="4" w:space="0" w:color="auto"/>
              <w:right w:val="single" w:sz="4" w:space="0" w:color="auto"/>
            </w:tcBorders>
          </w:tcPr>
          <w:p w14:paraId="02BD3D1D" w14:textId="7D19BE99" w:rsidR="00440B0E" w:rsidRPr="003B11BD" w:rsidRDefault="00CC3EB0" w:rsidP="00576305">
            <w:pPr>
              <w:spacing w:after="0"/>
              <w:ind w:left="-6" w:right="-6"/>
              <w:jc w:val="center"/>
              <w:rPr>
                <w:noProof/>
                <w:sz w:val="16"/>
                <w:szCs w:val="16"/>
                <w:lang w:val="en-IE"/>
              </w:rPr>
            </w:pPr>
            <w:r w:rsidRPr="003B11BD">
              <w:rPr>
                <w:noProof/>
                <w:sz w:val="16"/>
                <w:szCs w:val="16"/>
                <w:lang w:val="en-IE"/>
              </w:rPr>
              <w:t>(+</w:t>
            </w:r>
            <w:r w:rsidR="00576305" w:rsidRPr="003B11BD">
              <w:rPr>
                <w:noProof/>
                <w:sz w:val="16"/>
                <w:szCs w:val="16"/>
                <w:lang w:val="en-IE"/>
              </w:rPr>
              <w:t xml:space="preserve"> </w:t>
            </w:r>
            <w:r w:rsidRPr="003B11BD">
              <w:rPr>
                <w:noProof/>
                <w:sz w:val="16"/>
                <w:szCs w:val="16"/>
                <w:lang w:val="en-IE"/>
              </w:rPr>
              <w:t>+)</w:t>
            </w:r>
            <w:r w:rsidR="00576305" w:rsidRPr="003B11BD">
              <w:rPr>
                <w:noProof/>
                <w:sz w:val="16"/>
                <w:szCs w:val="16"/>
                <w:lang w:val="en-IE"/>
              </w:rPr>
              <w:t xml:space="preserve"> Lower costs of negotiations and lower costs of adapting the manufacturing facilities if harmonisation leads to wider geographical scope. </w:t>
            </w:r>
          </w:p>
        </w:tc>
        <w:tc>
          <w:tcPr>
            <w:tcW w:w="2125" w:type="dxa"/>
            <w:tcBorders>
              <w:top w:val="single" w:sz="4" w:space="0" w:color="auto"/>
              <w:left w:val="single" w:sz="4" w:space="0" w:color="auto"/>
              <w:bottom w:val="single" w:sz="4" w:space="0" w:color="auto"/>
              <w:right w:val="single" w:sz="4" w:space="0" w:color="auto"/>
            </w:tcBorders>
          </w:tcPr>
          <w:p w14:paraId="41DDBC2F" w14:textId="638CB9C1" w:rsidR="00440B0E" w:rsidRPr="003B11BD" w:rsidRDefault="00CC3EB0" w:rsidP="003D293C">
            <w:pPr>
              <w:spacing w:after="0"/>
              <w:ind w:left="-6" w:right="-6"/>
              <w:jc w:val="center"/>
              <w:rPr>
                <w:noProof/>
                <w:sz w:val="16"/>
                <w:szCs w:val="16"/>
                <w:lang w:val="en-IE"/>
              </w:rPr>
            </w:pPr>
            <w:r w:rsidRPr="003B11BD">
              <w:rPr>
                <w:noProof/>
                <w:sz w:val="16"/>
                <w:szCs w:val="16"/>
                <w:lang w:val="en-IE"/>
              </w:rPr>
              <w:t>(+)</w:t>
            </w:r>
            <w:r w:rsidR="00576305" w:rsidRPr="003B11BD">
              <w:rPr>
                <w:noProof/>
                <w:sz w:val="16"/>
                <w:szCs w:val="16"/>
                <w:lang w:val="en-IE"/>
              </w:rPr>
              <w:t xml:space="preserve"> Lower costs of launching the CL, better exchange of information between MS</w:t>
            </w:r>
            <w:r w:rsidR="00053CC9" w:rsidRPr="003B11BD">
              <w:rPr>
                <w:noProof/>
                <w:sz w:val="16"/>
                <w:szCs w:val="16"/>
                <w:lang w:val="en-IE"/>
              </w:rPr>
              <w:t xml:space="preserve">, including </w:t>
            </w:r>
            <w:r w:rsidR="00E6068C" w:rsidRPr="003B11BD">
              <w:rPr>
                <w:noProof/>
                <w:sz w:val="16"/>
                <w:szCs w:val="16"/>
                <w:lang w:val="en-IE"/>
              </w:rPr>
              <w:t xml:space="preserve">compulsory licensing </w:t>
            </w:r>
            <w:r w:rsidR="00576305" w:rsidRPr="003B11BD">
              <w:rPr>
                <w:noProof/>
                <w:sz w:val="16"/>
                <w:szCs w:val="16"/>
                <w:lang w:val="en-IE"/>
              </w:rPr>
              <w:t xml:space="preserve">for export </w:t>
            </w:r>
            <w:r w:rsidR="00053CC9" w:rsidRPr="003B11BD">
              <w:rPr>
                <w:noProof/>
                <w:sz w:val="16"/>
                <w:szCs w:val="16"/>
                <w:lang w:val="en-IE"/>
              </w:rPr>
              <w:t xml:space="preserve">but cost of participating in </w:t>
            </w:r>
            <w:r w:rsidR="00E6068C" w:rsidRPr="003B11BD">
              <w:rPr>
                <w:noProof/>
                <w:sz w:val="16"/>
                <w:szCs w:val="16"/>
                <w:lang w:val="en-IE"/>
              </w:rPr>
              <w:t xml:space="preserve">compulsory licensing </w:t>
            </w:r>
            <w:r w:rsidR="00053CC9" w:rsidRPr="003B11BD">
              <w:rPr>
                <w:noProof/>
                <w:sz w:val="16"/>
                <w:szCs w:val="16"/>
                <w:lang w:val="en-IE"/>
              </w:rPr>
              <w:t>negotiations on non-harmonised aspects</w:t>
            </w:r>
            <w:r w:rsidR="001545F3" w:rsidRPr="003B11BD">
              <w:rPr>
                <w:noProof/>
                <w:sz w:val="16"/>
                <w:szCs w:val="16"/>
                <w:lang w:val="en-IE"/>
              </w:rPr>
              <w:t xml:space="preserve">, </w:t>
            </w:r>
            <w:r w:rsidR="00053CC9" w:rsidRPr="003B11BD">
              <w:rPr>
                <w:noProof/>
                <w:sz w:val="16"/>
                <w:szCs w:val="16"/>
                <w:lang w:val="en-IE"/>
              </w:rPr>
              <w:t xml:space="preserve">cost </w:t>
            </w:r>
            <w:r w:rsidR="003D293C" w:rsidRPr="003B11BD">
              <w:rPr>
                <w:noProof/>
                <w:sz w:val="16"/>
                <w:szCs w:val="16"/>
                <w:lang w:val="en-IE"/>
              </w:rPr>
              <w:t xml:space="preserve">related to </w:t>
            </w:r>
            <w:r w:rsidR="00053CC9" w:rsidRPr="003B11BD">
              <w:rPr>
                <w:noProof/>
                <w:sz w:val="16"/>
                <w:szCs w:val="16"/>
                <w:lang w:val="en-IE"/>
              </w:rPr>
              <w:t>the single contact point</w:t>
            </w:r>
            <w:r w:rsidR="000B088D" w:rsidRPr="003B11BD">
              <w:rPr>
                <w:noProof/>
                <w:sz w:val="16"/>
                <w:szCs w:val="16"/>
                <w:lang w:val="en-IE"/>
              </w:rPr>
              <w:t xml:space="preserve"> and</w:t>
            </w:r>
            <w:r w:rsidR="001545F3" w:rsidRPr="003B11BD">
              <w:rPr>
                <w:noProof/>
                <w:sz w:val="16"/>
                <w:szCs w:val="16"/>
                <w:lang w:val="en-IE"/>
              </w:rPr>
              <w:t xml:space="preserve"> </w:t>
            </w:r>
            <w:r w:rsidR="00053CC9" w:rsidRPr="003B11BD">
              <w:rPr>
                <w:noProof/>
                <w:sz w:val="16"/>
                <w:szCs w:val="16"/>
                <w:lang w:val="en-IE"/>
              </w:rPr>
              <w:t xml:space="preserve">cost of reporting to the EC </w:t>
            </w:r>
          </w:p>
        </w:tc>
        <w:tc>
          <w:tcPr>
            <w:tcW w:w="1559" w:type="dxa"/>
            <w:tcBorders>
              <w:top w:val="single" w:sz="4" w:space="0" w:color="auto"/>
              <w:left w:val="single" w:sz="4" w:space="0" w:color="auto"/>
              <w:bottom w:val="single" w:sz="4" w:space="0" w:color="auto"/>
              <w:right w:val="single" w:sz="4" w:space="0" w:color="auto"/>
            </w:tcBorders>
          </w:tcPr>
          <w:p w14:paraId="55294258" w14:textId="1CAF90C8" w:rsidR="00440B0E" w:rsidRPr="003B11BD" w:rsidRDefault="00CC3EB0" w:rsidP="0095315E">
            <w:pPr>
              <w:spacing w:after="0"/>
              <w:ind w:left="-6" w:right="-6"/>
              <w:jc w:val="center"/>
              <w:rPr>
                <w:noProof/>
                <w:sz w:val="16"/>
                <w:szCs w:val="16"/>
                <w:lang w:val="en-IE"/>
              </w:rPr>
            </w:pPr>
            <w:r w:rsidRPr="003B11BD">
              <w:rPr>
                <w:noProof/>
                <w:sz w:val="16"/>
                <w:szCs w:val="16"/>
                <w:lang w:val="en-IE"/>
              </w:rPr>
              <w:t>(+</w:t>
            </w:r>
            <w:r w:rsidR="0095315E" w:rsidRPr="003B11BD">
              <w:rPr>
                <w:noProof/>
                <w:sz w:val="16"/>
                <w:szCs w:val="16"/>
                <w:lang w:val="en-IE"/>
              </w:rPr>
              <w:t xml:space="preserve"> </w:t>
            </w:r>
            <w:r w:rsidRPr="003B11BD">
              <w:rPr>
                <w:noProof/>
                <w:sz w:val="16"/>
                <w:szCs w:val="16"/>
                <w:lang w:val="en-IE"/>
              </w:rPr>
              <w:t>+)</w:t>
            </w:r>
            <w:r w:rsidR="0095315E" w:rsidRPr="003B11BD">
              <w:rPr>
                <w:noProof/>
                <w:sz w:val="16"/>
                <w:szCs w:val="16"/>
                <w:lang w:val="en-IE"/>
              </w:rPr>
              <w:t xml:space="preserve"> Lower risk of delays or unavailability of critical products during crisis, as rules more coherent across MS.</w:t>
            </w:r>
          </w:p>
        </w:tc>
        <w:tc>
          <w:tcPr>
            <w:tcW w:w="1276" w:type="dxa"/>
            <w:tcBorders>
              <w:top w:val="single" w:sz="4" w:space="0" w:color="auto"/>
              <w:left w:val="single" w:sz="4" w:space="0" w:color="auto"/>
              <w:bottom w:val="single" w:sz="4" w:space="0" w:color="auto"/>
              <w:right w:val="single" w:sz="4" w:space="0" w:color="auto"/>
            </w:tcBorders>
          </w:tcPr>
          <w:p w14:paraId="6C49B150" w14:textId="04B8FA28" w:rsidR="0095315E" w:rsidRPr="003B11BD" w:rsidRDefault="0095315E" w:rsidP="00AF4AB5">
            <w:pPr>
              <w:spacing w:after="0"/>
              <w:ind w:left="-6" w:right="-6"/>
              <w:jc w:val="center"/>
              <w:rPr>
                <w:noProof/>
                <w:sz w:val="16"/>
                <w:szCs w:val="16"/>
                <w:lang w:val="en-IE"/>
              </w:rPr>
            </w:pPr>
            <w:r w:rsidRPr="003B11BD">
              <w:rPr>
                <w:noProof/>
                <w:sz w:val="16"/>
                <w:szCs w:val="16"/>
                <w:lang w:val="en-IE"/>
              </w:rPr>
              <w:t xml:space="preserve">(+ +) Increased legal certainty and administrative savings due to </w:t>
            </w:r>
            <w:r w:rsidR="00AF4AB5" w:rsidRPr="003B11BD">
              <w:rPr>
                <w:noProof/>
                <w:sz w:val="16"/>
                <w:szCs w:val="16"/>
                <w:lang w:val="en-IE"/>
              </w:rPr>
              <w:t xml:space="preserve">better </w:t>
            </w:r>
            <w:r w:rsidRPr="003B11BD">
              <w:rPr>
                <w:noProof/>
                <w:sz w:val="16"/>
                <w:szCs w:val="16"/>
                <w:lang w:val="en-IE"/>
              </w:rPr>
              <w:t>coordination at EU level.</w:t>
            </w:r>
          </w:p>
        </w:tc>
      </w:tr>
      <w:tr w:rsidR="00440B0E" w:rsidRPr="003B11BD" w14:paraId="699C5000" w14:textId="67561DAC" w:rsidTr="34EF0D43">
        <w:trPr>
          <w:trHeight w:val="1418"/>
        </w:trPr>
        <w:tc>
          <w:tcPr>
            <w:tcW w:w="393" w:type="dxa"/>
            <w:tcBorders>
              <w:top w:val="single" w:sz="4" w:space="0" w:color="auto"/>
              <w:left w:val="single" w:sz="4" w:space="0" w:color="auto"/>
              <w:bottom w:val="single" w:sz="4" w:space="0" w:color="auto"/>
              <w:right w:val="single" w:sz="4" w:space="0" w:color="auto"/>
            </w:tcBorders>
          </w:tcPr>
          <w:p w14:paraId="2823E895" w14:textId="5D6BE9AA" w:rsidR="00440B0E" w:rsidRPr="003B11BD" w:rsidRDefault="000A636B" w:rsidP="00AA0540">
            <w:pPr>
              <w:spacing w:after="0"/>
              <w:ind w:left="-52" w:right="-112" w:hanging="5"/>
              <w:jc w:val="left"/>
              <w:rPr>
                <w:b/>
                <w:noProof/>
                <w:sz w:val="16"/>
                <w:szCs w:val="18"/>
                <w:lang w:val="en-IE"/>
              </w:rPr>
            </w:pPr>
            <w:r w:rsidRPr="003B11BD">
              <w:rPr>
                <w:b/>
                <w:noProof/>
                <w:sz w:val="16"/>
                <w:szCs w:val="16"/>
                <w:lang w:val="en-IE"/>
              </w:rPr>
              <w:t>PO4</w:t>
            </w:r>
          </w:p>
        </w:tc>
        <w:tc>
          <w:tcPr>
            <w:tcW w:w="1701" w:type="dxa"/>
            <w:tcBorders>
              <w:top w:val="single" w:sz="4" w:space="0" w:color="auto"/>
              <w:left w:val="single" w:sz="4" w:space="0" w:color="auto"/>
              <w:bottom w:val="single" w:sz="4" w:space="0" w:color="auto"/>
              <w:right w:val="single" w:sz="4" w:space="0" w:color="auto"/>
            </w:tcBorders>
          </w:tcPr>
          <w:p w14:paraId="049E529B" w14:textId="3868105F" w:rsidR="00440B0E" w:rsidRPr="003B11BD" w:rsidRDefault="000A636B" w:rsidP="00937EC2">
            <w:pPr>
              <w:spacing w:after="0"/>
              <w:ind w:left="-6" w:right="-6"/>
              <w:jc w:val="center"/>
              <w:rPr>
                <w:noProof/>
                <w:sz w:val="16"/>
                <w:szCs w:val="16"/>
                <w:lang w:val="en-IE"/>
              </w:rPr>
            </w:pPr>
            <w:r w:rsidRPr="003B11BD">
              <w:rPr>
                <w:noProof/>
                <w:sz w:val="16"/>
                <w:szCs w:val="16"/>
                <w:lang w:val="en-IE"/>
              </w:rPr>
              <w:t>(</w:t>
            </w:r>
            <w:r w:rsidR="00770847" w:rsidRPr="003B11BD">
              <w:rPr>
                <w:noProof/>
                <w:sz w:val="16"/>
                <w:szCs w:val="16"/>
                <w:lang w:val="en-IE"/>
              </w:rPr>
              <w:t>+</w:t>
            </w:r>
            <w:r w:rsidRPr="003B11BD">
              <w:rPr>
                <w:noProof/>
                <w:sz w:val="16"/>
                <w:szCs w:val="16"/>
                <w:lang w:val="en-IE"/>
              </w:rPr>
              <w:t xml:space="preserve">) </w:t>
            </w:r>
            <w:r w:rsidR="00B333C9" w:rsidRPr="003B11BD">
              <w:rPr>
                <w:noProof/>
                <w:sz w:val="16"/>
                <w:szCs w:val="16"/>
                <w:lang w:val="en-IE"/>
              </w:rPr>
              <w:t>Significant l</w:t>
            </w:r>
            <w:r w:rsidRPr="003B11BD">
              <w:rPr>
                <w:noProof/>
                <w:sz w:val="16"/>
                <w:szCs w:val="16"/>
                <w:lang w:val="en-IE"/>
              </w:rPr>
              <w:t>ower costs of negotia</w:t>
            </w:r>
            <w:r w:rsidR="00B333C9" w:rsidRPr="003B11BD">
              <w:rPr>
                <w:noProof/>
                <w:sz w:val="16"/>
                <w:szCs w:val="16"/>
                <w:lang w:val="en-IE"/>
              </w:rPr>
              <w:t>tions and</w:t>
            </w:r>
            <w:r w:rsidRPr="003B11BD">
              <w:rPr>
                <w:noProof/>
                <w:sz w:val="16"/>
                <w:szCs w:val="16"/>
                <w:lang w:val="en-IE"/>
              </w:rPr>
              <w:t xml:space="preserve"> improvement in legal certainty but loss of control over patent rights</w:t>
            </w:r>
            <w:r w:rsidR="000B4EC2" w:rsidRPr="003B11BD">
              <w:rPr>
                <w:noProof/>
                <w:sz w:val="16"/>
                <w:szCs w:val="16"/>
                <w:lang w:val="en-IE"/>
              </w:rPr>
              <w:t>,</w:t>
            </w:r>
            <w:r w:rsidRPr="003B11BD">
              <w:rPr>
                <w:noProof/>
                <w:sz w:val="16"/>
                <w:szCs w:val="16"/>
                <w:lang w:val="en-IE"/>
              </w:rPr>
              <w:t xml:space="preserve"> if EU-level </w:t>
            </w:r>
            <w:r w:rsidR="00E6068C" w:rsidRPr="003B11BD">
              <w:rPr>
                <w:noProof/>
                <w:sz w:val="16"/>
                <w:szCs w:val="16"/>
                <w:lang w:val="en-IE"/>
              </w:rPr>
              <w:t xml:space="preserve">compulsory licensing </w:t>
            </w:r>
            <w:r w:rsidRPr="003B11BD">
              <w:rPr>
                <w:noProof/>
                <w:sz w:val="16"/>
                <w:szCs w:val="16"/>
                <w:lang w:val="en-IE"/>
              </w:rPr>
              <w:t>leads to wider geographical scope.</w:t>
            </w:r>
            <w:r w:rsidRPr="003B11BD" w:rsidDel="000A636B">
              <w:rPr>
                <w:noProof/>
                <w:sz w:val="16"/>
                <w:szCs w:val="16"/>
                <w:lang w:val="en-IE"/>
              </w:rPr>
              <w:t xml:space="preserve"> </w:t>
            </w:r>
          </w:p>
        </w:tc>
        <w:tc>
          <w:tcPr>
            <w:tcW w:w="1701" w:type="dxa"/>
            <w:tcBorders>
              <w:top w:val="single" w:sz="4" w:space="0" w:color="auto"/>
              <w:left w:val="single" w:sz="4" w:space="0" w:color="auto"/>
              <w:bottom w:val="single" w:sz="4" w:space="0" w:color="auto"/>
              <w:right w:val="single" w:sz="4" w:space="0" w:color="auto"/>
            </w:tcBorders>
          </w:tcPr>
          <w:p w14:paraId="48D3B9CF" w14:textId="6930D2E0" w:rsidR="00440B0E" w:rsidRPr="003B11BD" w:rsidRDefault="000A636B" w:rsidP="000A636B">
            <w:pPr>
              <w:spacing w:after="0"/>
              <w:ind w:left="-6" w:right="-6"/>
              <w:jc w:val="center"/>
              <w:rPr>
                <w:noProof/>
                <w:sz w:val="16"/>
                <w:szCs w:val="16"/>
                <w:lang w:val="en-IE"/>
              </w:rPr>
            </w:pPr>
            <w:r w:rsidRPr="003B11BD">
              <w:rPr>
                <w:noProof/>
                <w:sz w:val="16"/>
                <w:szCs w:val="16"/>
                <w:lang w:val="en-IE"/>
              </w:rPr>
              <w:t xml:space="preserve">(+ +) Lower costs of negotiations and lower costs of adapting the manufacturing facilities if EU-level </w:t>
            </w:r>
            <w:r w:rsidR="00E6068C" w:rsidRPr="003B11BD">
              <w:rPr>
                <w:noProof/>
                <w:sz w:val="16"/>
                <w:szCs w:val="16"/>
                <w:lang w:val="en-IE"/>
              </w:rPr>
              <w:t xml:space="preserve">compulsory licensing </w:t>
            </w:r>
            <w:r w:rsidRPr="003B11BD">
              <w:rPr>
                <w:noProof/>
                <w:sz w:val="16"/>
                <w:szCs w:val="16"/>
                <w:lang w:val="en-IE"/>
              </w:rPr>
              <w:t>leads to wider geographical scope.</w:t>
            </w:r>
          </w:p>
        </w:tc>
        <w:tc>
          <w:tcPr>
            <w:tcW w:w="2125" w:type="dxa"/>
            <w:tcBorders>
              <w:top w:val="single" w:sz="4" w:space="0" w:color="auto"/>
              <w:left w:val="single" w:sz="4" w:space="0" w:color="auto"/>
              <w:bottom w:val="single" w:sz="4" w:space="0" w:color="auto"/>
              <w:right w:val="single" w:sz="4" w:space="0" w:color="auto"/>
            </w:tcBorders>
          </w:tcPr>
          <w:p w14:paraId="7D8C0832" w14:textId="4892AFA3" w:rsidR="00440B0E" w:rsidRPr="003B11BD" w:rsidRDefault="000A636B" w:rsidP="004221C2">
            <w:pPr>
              <w:spacing w:after="0"/>
              <w:ind w:left="-6" w:right="-6"/>
              <w:jc w:val="center"/>
              <w:rPr>
                <w:noProof/>
                <w:sz w:val="16"/>
                <w:szCs w:val="16"/>
                <w:lang w:val="en-IE"/>
              </w:rPr>
            </w:pPr>
            <w:r w:rsidRPr="003B11BD">
              <w:rPr>
                <w:noProof/>
                <w:sz w:val="16"/>
                <w:szCs w:val="16"/>
                <w:lang w:val="en-IE"/>
              </w:rPr>
              <w:t xml:space="preserve">(+ +) Significantly lower costs of launching the CL, better exchange of information between MS, but cost </w:t>
            </w:r>
            <w:r w:rsidR="003D293C" w:rsidRPr="003B11BD">
              <w:rPr>
                <w:noProof/>
                <w:sz w:val="16"/>
                <w:szCs w:val="16"/>
                <w:lang w:val="en-IE"/>
              </w:rPr>
              <w:t>related to</w:t>
            </w:r>
            <w:r w:rsidRPr="003B11BD">
              <w:rPr>
                <w:noProof/>
                <w:sz w:val="16"/>
                <w:szCs w:val="16"/>
                <w:lang w:val="en-IE"/>
              </w:rPr>
              <w:t xml:space="preserve"> the single contact point</w:t>
            </w:r>
            <w:r w:rsidR="000B088D" w:rsidRPr="003B11BD">
              <w:rPr>
                <w:noProof/>
                <w:sz w:val="16"/>
                <w:szCs w:val="16"/>
                <w:lang w:val="en-IE"/>
              </w:rPr>
              <w:t xml:space="preserve"> and</w:t>
            </w:r>
            <w:r w:rsidRPr="003B11BD">
              <w:rPr>
                <w:noProof/>
                <w:sz w:val="16"/>
                <w:szCs w:val="16"/>
                <w:lang w:val="en-IE"/>
              </w:rPr>
              <w:t xml:space="preserve"> cost of reporting to the EC</w:t>
            </w:r>
            <w:r w:rsidR="00F9094C" w:rsidRPr="003B11BD">
              <w:rPr>
                <w:noProof/>
                <w:sz w:val="16"/>
                <w:szCs w:val="16"/>
                <w:lang w:val="en-IE"/>
              </w:rPr>
              <w:t>.</w:t>
            </w:r>
            <w:r w:rsidRPr="003B11BD">
              <w:rPr>
                <w:noProof/>
                <w:sz w:val="16"/>
                <w:szCs w:val="16"/>
                <w:lang w:val="en-IE"/>
              </w:rPr>
              <w:t xml:space="preserve"> </w:t>
            </w:r>
          </w:p>
        </w:tc>
        <w:tc>
          <w:tcPr>
            <w:tcW w:w="1559" w:type="dxa"/>
            <w:tcBorders>
              <w:top w:val="single" w:sz="4" w:space="0" w:color="auto"/>
              <w:left w:val="single" w:sz="4" w:space="0" w:color="auto"/>
              <w:bottom w:val="single" w:sz="4" w:space="0" w:color="auto"/>
              <w:right w:val="single" w:sz="4" w:space="0" w:color="auto"/>
            </w:tcBorders>
          </w:tcPr>
          <w:p w14:paraId="002369BE" w14:textId="6C62397C" w:rsidR="00440B0E" w:rsidRPr="003B11BD" w:rsidRDefault="000A636B" w:rsidP="003D293C">
            <w:pPr>
              <w:spacing w:after="0"/>
              <w:ind w:left="-6" w:right="-6"/>
              <w:jc w:val="center"/>
              <w:rPr>
                <w:noProof/>
                <w:sz w:val="16"/>
                <w:szCs w:val="16"/>
                <w:lang w:val="en-IE"/>
              </w:rPr>
            </w:pPr>
            <w:r w:rsidRPr="003B11BD">
              <w:rPr>
                <w:noProof/>
                <w:sz w:val="16"/>
                <w:szCs w:val="16"/>
                <w:lang w:val="en-IE"/>
              </w:rPr>
              <w:t>(+</w:t>
            </w:r>
            <w:r w:rsidR="003D293C" w:rsidRPr="003B11BD">
              <w:rPr>
                <w:noProof/>
                <w:sz w:val="16"/>
                <w:szCs w:val="16"/>
                <w:lang w:val="en-IE"/>
              </w:rPr>
              <w:t xml:space="preserve"> </w:t>
            </w:r>
            <w:r w:rsidRPr="003B11BD">
              <w:rPr>
                <w:noProof/>
                <w:sz w:val="16"/>
                <w:szCs w:val="16"/>
                <w:lang w:val="en-IE"/>
              </w:rPr>
              <w:t>+</w:t>
            </w:r>
            <w:r w:rsidR="003D293C" w:rsidRPr="003B11BD">
              <w:rPr>
                <w:noProof/>
                <w:sz w:val="16"/>
                <w:szCs w:val="16"/>
                <w:lang w:val="en-IE"/>
              </w:rPr>
              <w:t xml:space="preserve"> </w:t>
            </w:r>
            <w:r w:rsidRPr="003B11BD">
              <w:rPr>
                <w:noProof/>
                <w:sz w:val="16"/>
                <w:szCs w:val="16"/>
                <w:lang w:val="en-IE"/>
              </w:rPr>
              <w:t>+)</w:t>
            </w:r>
            <w:r w:rsidR="00F54251" w:rsidRPr="003B11BD">
              <w:rPr>
                <w:noProof/>
                <w:sz w:val="16"/>
                <w:szCs w:val="16"/>
                <w:lang w:val="en-IE"/>
              </w:rPr>
              <w:t xml:space="preserve"> Significantly lower risk of delays or unavailability of critical products during crisis, as rules coherent across</w:t>
            </w:r>
            <w:r w:rsidR="00AF4AB5" w:rsidRPr="003B11BD">
              <w:rPr>
                <w:noProof/>
                <w:sz w:val="16"/>
                <w:szCs w:val="16"/>
                <w:lang w:val="en-IE"/>
              </w:rPr>
              <w:t xml:space="preserve"> all</w:t>
            </w:r>
            <w:r w:rsidR="00F54251" w:rsidRPr="003B11BD">
              <w:rPr>
                <w:noProof/>
                <w:sz w:val="16"/>
                <w:szCs w:val="16"/>
                <w:lang w:val="en-IE"/>
              </w:rPr>
              <w:t xml:space="preserve"> MS.</w:t>
            </w:r>
          </w:p>
        </w:tc>
        <w:tc>
          <w:tcPr>
            <w:tcW w:w="1276" w:type="dxa"/>
            <w:tcBorders>
              <w:top w:val="single" w:sz="4" w:space="0" w:color="auto"/>
              <w:left w:val="single" w:sz="4" w:space="0" w:color="auto"/>
              <w:bottom w:val="single" w:sz="4" w:space="0" w:color="auto"/>
              <w:right w:val="single" w:sz="4" w:space="0" w:color="auto"/>
            </w:tcBorders>
          </w:tcPr>
          <w:p w14:paraId="36B3E621" w14:textId="1E1BC425" w:rsidR="00AF4AB5" w:rsidRPr="003B11BD" w:rsidRDefault="00AF4AB5" w:rsidP="000B4EC2">
            <w:pPr>
              <w:spacing w:after="0"/>
              <w:ind w:left="-6" w:right="-6"/>
              <w:jc w:val="center"/>
              <w:rPr>
                <w:noProof/>
                <w:sz w:val="16"/>
                <w:szCs w:val="16"/>
                <w:lang w:val="en-IE"/>
              </w:rPr>
            </w:pPr>
            <w:r w:rsidRPr="003B11BD">
              <w:rPr>
                <w:noProof/>
                <w:sz w:val="16"/>
                <w:szCs w:val="16"/>
                <w:lang w:val="en-IE"/>
              </w:rPr>
              <w:t>(+</w:t>
            </w:r>
            <w:r w:rsidR="003D293C" w:rsidRPr="003B11BD">
              <w:rPr>
                <w:noProof/>
                <w:sz w:val="16"/>
                <w:szCs w:val="16"/>
                <w:lang w:val="en-IE"/>
              </w:rPr>
              <w:t xml:space="preserve"> </w:t>
            </w:r>
            <w:r w:rsidRPr="003B11BD">
              <w:rPr>
                <w:noProof/>
                <w:sz w:val="16"/>
                <w:szCs w:val="16"/>
                <w:lang w:val="en-IE"/>
              </w:rPr>
              <w:t>+</w:t>
            </w:r>
            <w:r w:rsidR="003D293C" w:rsidRPr="003B11BD">
              <w:rPr>
                <w:noProof/>
                <w:sz w:val="16"/>
                <w:szCs w:val="16"/>
                <w:lang w:val="en-IE"/>
              </w:rPr>
              <w:t xml:space="preserve"> </w:t>
            </w:r>
            <w:r w:rsidRPr="003B11BD">
              <w:rPr>
                <w:noProof/>
                <w:sz w:val="16"/>
                <w:szCs w:val="16"/>
                <w:lang w:val="en-IE"/>
              </w:rPr>
              <w:t xml:space="preserve">+) Increased legal certainty and administrative savings </w:t>
            </w:r>
            <w:r w:rsidR="000B088D" w:rsidRPr="003B11BD">
              <w:rPr>
                <w:noProof/>
                <w:sz w:val="16"/>
                <w:szCs w:val="16"/>
                <w:lang w:val="en-IE"/>
              </w:rPr>
              <w:t>due to coordination at EU level</w:t>
            </w:r>
            <w:r w:rsidR="00F9094C" w:rsidRPr="003B11BD">
              <w:rPr>
                <w:noProof/>
                <w:sz w:val="16"/>
                <w:szCs w:val="16"/>
                <w:lang w:val="en-IE"/>
              </w:rPr>
              <w:t>.</w:t>
            </w:r>
          </w:p>
        </w:tc>
      </w:tr>
    </w:tbl>
    <w:p w14:paraId="0BD6CBCE" w14:textId="4D16D5BA" w:rsidR="00B80FA4" w:rsidRPr="003B11BD" w:rsidRDefault="00B80FA4" w:rsidP="00B80FA4">
      <w:pPr>
        <w:pStyle w:val="Caption"/>
        <w:rPr>
          <w:noProof/>
          <w:lang w:val="en-IE"/>
        </w:rPr>
      </w:pPr>
      <w:r w:rsidRPr="003B11BD">
        <w:rPr>
          <w:noProof/>
          <w:lang w:val="en-IE"/>
        </w:rPr>
        <w:t>Note: PO 1</w:t>
      </w:r>
      <w:r w:rsidR="00161ACE" w:rsidRPr="003B11BD">
        <w:rPr>
          <w:noProof/>
          <w:lang w:val="en-IE"/>
        </w:rPr>
        <w:t xml:space="preserve"> is</w:t>
      </w:r>
      <w:r w:rsidRPr="003B11BD">
        <w:rPr>
          <w:noProof/>
          <w:lang w:val="en-IE"/>
        </w:rPr>
        <w:t xml:space="preserve"> conditional on the implementation of recommendations by majority of MS.</w:t>
      </w:r>
    </w:p>
    <w:p w14:paraId="7FF7167D" w14:textId="496FEF15" w:rsidR="00006638" w:rsidRPr="003B11BD" w:rsidRDefault="00922E2D" w:rsidP="00006638">
      <w:pPr>
        <w:rPr>
          <w:noProof/>
          <w:lang w:val="en-IE"/>
        </w:rPr>
      </w:pPr>
      <w:r w:rsidRPr="003B11BD">
        <w:rPr>
          <w:noProof/>
          <w:lang w:val="en-IE"/>
        </w:rPr>
        <w:t>To comple</w:t>
      </w:r>
      <w:r w:rsidR="0025681B" w:rsidRPr="003B11BD">
        <w:rPr>
          <w:noProof/>
          <w:lang w:val="en-IE"/>
        </w:rPr>
        <w:t>ment</w:t>
      </w:r>
      <w:r w:rsidRPr="003B11BD">
        <w:rPr>
          <w:noProof/>
          <w:lang w:val="en-IE"/>
        </w:rPr>
        <w:t xml:space="preserve"> the o</w:t>
      </w:r>
      <w:r w:rsidR="00E74439" w:rsidRPr="003B11BD">
        <w:rPr>
          <w:noProof/>
          <w:lang w:val="en-IE"/>
        </w:rPr>
        <w:t>utline</w:t>
      </w:r>
      <w:r w:rsidRPr="003B11BD">
        <w:rPr>
          <w:noProof/>
          <w:lang w:val="en-IE"/>
        </w:rPr>
        <w:t xml:space="preserve"> of impa</w:t>
      </w:r>
      <w:r w:rsidR="0025681B" w:rsidRPr="003B11BD">
        <w:rPr>
          <w:noProof/>
          <w:lang w:val="en-IE"/>
        </w:rPr>
        <w:t>ct on</w:t>
      </w:r>
      <w:r w:rsidRPr="003B11BD">
        <w:rPr>
          <w:noProof/>
          <w:lang w:val="en-IE"/>
        </w:rPr>
        <w:t xml:space="preserve"> stakeholders, see also the SME test</w:t>
      </w:r>
      <w:r w:rsidR="0025681B" w:rsidRPr="003B11BD">
        <w:rPr>
          <w:noProof/>
          <w:lang w:val="en-IE"/>
        </w:rPr>
        <w:t xml:space="preserve"> (</w:t>
      </w:r>
      <w:r w:rsidR="00C2149B" w:rsidRPr="003B11BD">
        <w:rPr>
          <w:noProof/>
          <w:lang w:val="en-IE"/>
        </w:rPr>
        <w:t>Annex 8</w:t>
      </w:r>
      <w:r w:rsidR="0025681B" w:rsidRPr="003B11BD">
        <w:rPr>
          <w:noProof/>
          <w:lang w:val="en-IE"/>
        </w:rPr>
        <w:t>)</w:t>
      </w:r>
      <w:r w:rsidRPr="003B11BD">
        <w:rPr>
          <w:noProof/>
          <w:lang w:val="en-IE"/>
        </w:rPr>
        <w:t>.</w:t>
      </w:r>
      <w:bookmarkStart w:id="998" w:name="_Toc88245848"/>
      <w:bookmarkStart w:id="999" w:name="_Toc113028879"/>
      <w:bookmarkStart w:id="1000" w:name="_Toc112951462"/>
      <w:bookmarkStart w:id="1001" w:name="_Toc112949722"/>
      <w:bookmarkStart w:id="1002" w:name="_Toc112927389"/>
      <w:bookmarkStart w:id="1003" w:name="_Toc112876743"/>
      <w:bookmarkStart w:id="1004" w:name="_Toc112876500"/>
      <w:bookmarkStart w:id="1005" w:name="_Toc112698924"/>
      <w:bookmarkStart w:id="1006" w:name="_Toc111831920"/>
      <w:bookmarkStart w:id="1007" w:name="_Toc111669818"/>
      <w:bookmarkStart w:id="1008" w:name="_Toc108989410"/>
      <w:bookmarkStart w:id="1009" w:name="_Toc108115264"/>
      <w:bookmarkStart w:id="1010" w:name="_Toc108108972"/>
      <w:bookmarkStart w:id="1011" w:name="_Toc98766904"/>
      <w:bookmarkStart w:id="1012" w:name="_Toc98501763"/>
    </w:p>
    <w:p w14:paraId="7240D60A" w14:textId="70B384E9" w:rsidR="00006638" w:rsidRPr="003B11BD" w:rsidRDefault="00006638" w:rsidP="00006638">
      <w:pPr>
        <w:pStyle w:val="Heading2"/>
        <w:spacing w:line="22" w:lineRule="atLeast"/>
        <w:ind w:left="567" w:hanging="567"/>
        <w:rPr>
          <w:noProof/>
          <w:lang w:val="en-IE"/>
        </w:rPr>
      </w:pPr>
      <w:bookmarkStart w:id="1013" w:name="_Toc118026533"/>
      <w:bookmarkStart w:id="1014" w:name="_Toc121489629"/>
      <w:bookmarkStart w:id="1015" w:name="_Toc121496389"/>
      <w:bookmarkStart w:id="1016" w:name="_Toc121748043"/>
      <w:bookmarkStart w:id="1017" w:name="_Toc133435397"/>
      <w:r w:rsidRPr="003B11BD">
        <w:rPr>
          <w:noProof/>
          <w:lang w:val="en-IE"/>
        </w:rPr>
        <w:t>Coherence</w:t>
      </w:r>
      <w:bookmarkEnd w:id="998"/>
      <w:r w:rsidRPr="003B11BD">
        <w:rPr>
          <w:noProof/>
          <w:lang w:val="en-IE"/>
        </w:rPr>
        <w:t xml:space="preserve"> with other EU policies </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r w:rsidR="00B94EC0" w:rsidRPr="003B11BD">
        <w:rPr>
          <w:noProof/>
          <w:lang w:val="en-IE"/>
        </w:rPr>
        <w:t>and proportionality</w:t>
      </w:r>
      <w:bookmarkEnd w:id="1016"/>
      <w:bookmarkEnd w:id="1017"/>
    </w:p>
    <w:p w14:paraId="7BB01A79" w14:textId="6524979A" w:rsidR="00006638" w:rsidRPr="003B11BD" w:rsidRDefault="00642489" w:rsidP="006F756C">
      <w:pPr>
        <w:rPr>
          <w:noProof/>
          <w:lang w:val="en-IE"/>
        </w:rPr>
      </w:pPr>
      <w:r w:rsidRPr="003B11BD">
        <w:rPr>
          <w:noProof/>
          <w:lang w:val="en-IE"/>
        </w:rPr>
        <w:t>This initiative is fully coherent with other EU initiative</w:t>
      </w:r>
      <w:r w:rsidR="003B2844" w:rsidRPr="003B11BD">
        <w:rPr>
          <w:noProof/>
          <w:lang w:val="en-IE"/>
        </w:rPr>
        <w:t>s, especially those</w:t>
      </w:r>
      <w:r w:rsidRPr="003B11BD">
        <w:rPr>
          <w:noProof/>
          <w:lang w:val="en-IE"/>
        </w:rPr>
        <w:t xml:space="preserve"> aiming at improving the EU’s resilience to crises</w:t>
      </w:r>
      <w:r w:rsidR="003B2844" w:rsidRPr="003B11BD">
        <w:rPr>
          <w:noProof/>
          <w:lang w:val="en-IE"/>
        </w:rPr>
        <w:t xml:space="preserve"> (HERA, SMEI, etc.)</w:t>
      </w:r>
      <w:r w:rsidRPr="003B11BD">
        <w:rPr>
          <w:noProof/>
          <w:lang w:val="en-IE"/>
        </w:rPr>
        <w:t>. Coherence with EU crisis instrument is</w:t>
      </w:r>
      <w:r w:rsidR="00BF3791" w:rsidRPr="003B11BD">
        <w:rPr>
          <w:noProof/>
          <w:lang w:val="en-IE"/>
        </w:rPr>
        <w:t xml:space="preserve"> above all</w:t>
      </w:r>
      <w:r w:rsidRPr="003B11BD">
        <w:rPr>
          <w:noProof/>
          <w:lang w:val="en-IE"/>
        </w:rPr>
        <w:t xml:space="preserve"> ensured by making such instrument the trigger of an EU</w:t>
      </w:r>
      <w:r w:rsidR="003B2844" w:rsidRPr="003B11BD">
        <w:rPr>
          <w:noProof/>
          <w:lang w:val="en-IE"/>
        </w:rPr>
        <w:t>-</w:t>
      </w:r>
      <w:r w:rsidRPr="003B11BD">
        <w:rPr>
          <w:noProof/>
          <w:lang w:val="en-IE"/>
        </w:rPr>
        <w:t xml:space="preserve">level compulsory licence. In addition, this initiative provides that consultation of Member States and stakeholders must be carried out </w:t>
      </w:r>
      <w:r w:rsidR="00BF67F9" w:rsidRPr="003B11BD">
        <w:rPr>
          <w:noProof/>
          <w:lang w:val="en-IE"/>
        </w:rPr>
        <w:t>with</w:t>
      </w:r>
      <w:r w:rsidRPr="003B11BD">
        <w:rPr>
          <w:noProof/>
          <w:lang w:val="en-IE"/>
        </w:rPr>
        <w:t xml:space="preserve">in the relevant (advisory) bodies, </w:t>
      </w:r>
      <w:r w:rsidR="008304EE" w:rsidRPr="003B11BD">
        <w:rPr>
          <w:noProof/>
          <w:lang w:val="en-IE"/>
        </w:rPr>
        <w:t>as provided for by the r</w:t>
      </w:r>
      <w:r w:rsidR="00BF67F9" w:rsidRPr="003B11BD">
        <w:rPr>
          <w:noProof/>
          <w:lang w:val="en-IE"/>
        </w:rPr>
        <w:t>e</w:t>
      </w:r>
      <w:r w:rsidR="008304EE" w:rsidRPr="003B11BD">
        <w:rPr>
          <w:noProof/>
          <w:lang w:val="en-IE"/>
        </w:rPr>
        <w:t>levant</w:t>
      </w:r>
      <w:r w:rsidRPr="003B11BD">
        <w:rPr>
          <w:noProof/>
          <w:lang w:val="en-IE"/>
        </w:rPr>
        <w:t xml:space="preserve"> EU crisis instrument. </w:t>
      </w:r>
      <w:bookmarkStart w:id="1018" w:name="_Toc118026534"/>
      <w:bookmarkStart w:id="1019" w:name="_Toc113028880"/>
      <w:bookmarkStart w:id="1020" w:name="_Toc112951463"/>
      <w:bookmarkStart w:id="1021" w:name="_Toc112949723"/>
      <w:bookmarkStart w:id="1022" w:name="_Toc112927390"/>
      <w:bookmarkStart w:id="1023" w:name="_Toc112876744"/>
      <w:bookmarkStart w:id="1024" w:name="_Toc112876501"/>
      <w:bookmarkStart w:id="1025" w:name="_Toc112698925"/>
      <w:bookmarkStart w:id="1026" w:name="_Toc111831921"/>
      <w:bookmarkStart w:id="1027" w:name="_Toc111669824"/>
      <w:bookmarkStart w:id="1028" w:name="_Toc108989411"/>
      <w:bookmarkStart w:id="1029" w:name="_Toc108115265"/>
      <w:bookmarkStart w:id="1030" w:name="_Toc108108973"/>
      <w:bookmarkStart w:id="1031" w:name="_Toc98766905"/>
      <w:bookmarkStart w:id="1032" w:name="_Toc98501764"/>
      <w:bookmarkStart w:id="1033" w:name="_Toc88245849"/>
      <w:bookmarkStart w:id="1034" w:name="_Toc121489630"/>
      <w:bookmarkStart w:id="1035" w:name="_Toc121496390"/>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47D8D7FF" w14:textId="3CA4E7BD" w:rsidR="006F756C" w:rsidRPr="003B11BD" w:rsidRDefault="006F756C" w:rsidP="006F756C">
      <w:pPr>
        <w:rPr>
          <w:noProof/>
          <w:lang w:val="en-IE"/>
        </w:rPr>
      </w:pPr>
      <w:r w:rsidRPr="003B11BD">
        <w:rPr>
          <w:noProof/>
          <w:lang w:val="en-IE"/>
        </w:rPr>
        <w:t xml:space="preserve">As far as the proportionality is concerned, under PO1 </w:t>
      </w:r>
      <w:r w:rsidR="00B4494C" w:rsidRPr="003B11BD">
        <w:rPr>
          <w:noProof/>
          <w:lang w:val="en-IE"/>
        </w:rPr>
        <w:t>Member States</w:t>
      </w:r>
      <w:r w:rsidRPr="003B11BD">
        <w:rPr>
          <w:noProof/>
          <w:lang w:val="en-IE"/>
        </w:rPr>
        <w:t xml:space="preserve"> retain freedom to introduce or not the recommendation. Under PO2, </w:t>
      </w:r>
      <w:r w:rsidR="00E74439" w:rsidRPr="003B11BD">
        <w:rPr>
          <w:noProof/>
          <w:lang w:val="en-IE"/>
        </w:rPr>
        <w:t>h</w:t>
      </w:r>
      <w:r w:rsidRPr="003B11BD">
        <w:rPr>
          <w:noProof/>
          <w:lang w:val="en-IE"/>
        </w:rPr>
        <w:t xml:space="preserve">armonisation would be proportionate and limited to provisions essential to tackle a crisis. </w:t>
      </w:r>
      <w:r w:rsidR="00B4494C" w:rsidRPr="003B11BD">
        <w:rPr>
          <w:noProof/>
          <w:lang w:val="en-IE"/>
        </w:rPr>
        <w:t>Member States</w:t>
      </w:r>
      <w:r w:rsidRPr="003B11BD">
        <w:rPr>
          <w:noProof/>
          <w:lang w:val="en-IE"/>
        </w:rPr>
        <w:t xml:space="preserve"> </w:t>
      </w:r>
      <w:r w:rsidR="00B4494C" w:rsidRPr="003B11BD">
        <w:rPr>
          <w:noProof/>
          <w:lang w:val="en-IE"/>
        </w:rPr>
        <w:t xml:space="preserve">would </w:t>
      </w:r>
      <w:r w:rsidRPr="003B11BD">
        <w:rPr>
          <w:noProof/>
          <w:lang w:val="en-IE"/>
        </w:rPr>
        <w:t xml:space="preserve">retain competence for </w:t>
      </w:r>
      <w:r w:rsidR="00E6068C" w:rsidRPr="003B11BD">
        <w:rPr>
          <w:noProof/>
          <w:lang w:val="en-IE"/>
        </w:rPr>
        <w:t xml:space="preserve">compulsory licensing </w:t>
      </w:r>
      <w:r w:rsidRPr="003B11BD">
        <w:rPr>
          <w:noProof/>
          <w:lang w:val="en-IE"/>
        </w:rPr>
        <w:t>other than crisis management. The same would apply to PO3</w:t>
      </w:r>
      <w:r w:rsidR="00E74439" w:rsidRPr="003B11BD">
        <w:rPr>
          <w:noProof/>
          <w:lang w:val="en-IE"/>
        </w:rPr>
        <w:t>.</w:t>
      </w:r>
      <w:r w:rsidRPr="003B11BD">
        <w:rPr>
          <w:noProof/>
          <w:lang w:val="en-IE"/>
        </w:rPr>
        <w:t xml:space="preserve"> </w:t>
      </w:r>
      <w:r w:rsidR="00E74439" w:rsidRPr="003B11BD">
        <w:rPr>
          <w:noProof/>
          <w:lang w:val="en-IE"/>
        </w:rPr>
        <w:t xml:space="preserve">Under PO4, </w:t>
      </w:r>
      <w:r w:rsidR="00B4494C" w:rsidRPr="003B11BD">
        <w:rPr>
          <w:noProof/>
          <w:lang w:val="en-IE"/>
        </w:rPr>
        <w:t xml:space="preserve">Member </w:t>
      </w:r>
      <w:r w:rsidR="00E74439" w:rsidRPr="003B11BD">
        <w:rPr>
          <w:noProof/>
          <w:lang w:val="en-IE"/>
        </w:rPr>
        <w:t>States’</w:t>
      </w:r>
      <w:r w:rsidRPr="003B11BD">
        <w:rPr>
          <w:noProof/>
          <w:lang w:val="en-IE"/>
        </w:rPr>
        <w:t xml:space="preserve"> empowerment </w:t>
      </w:r>
      <w:r w:rsidR="00E74439" w:rsidRPr="003B11BD">
        <w:rPr>
          <w:noProof/>
          <w:lang w:val="en-IE"/>
        </w:rPr>
        <w:t xml:space="preserve">would be limited, but </w:t>
      </w:r>
      <w:r w:rsidRPr="003B11BD">
        <w:rPr>
          <w:noProof/>
          <w:lang w:val="en-IE"/>
        </w:rPr>
        <w:t xml:space="preserve">only in exceptional circumstances. </w:t>
      </w:r>
      <w:r w:rsidR="00E74439" w:rsidRPr="003B11BD">
        <w:rPr>
          <w:noProof/>
          <w:lang w:val="en-IE"/>
        </w:rPr>
        <w:t>T</w:t>
      </w:r>
      <w:r w:rsidRPr="003B11BD">
        <w:rPr>
          <w:noProof/>
          <w:lang w:val="en-IE"/>
        </w:rPr>
        <w:t xml:space="preserve">he EU-level </w:t>
      </w:r>
      <w:r w:rsidR="00E6068C" w:rsidRPr="003B11BD">
        <w:rPr>
          <w:noProof/>
          <w:lang w:val="en-IE"/>
        </w:rPr>
        <w:t xml:space="preserve">compulsory licensing </w:t>
      </w:r>
      <w:r w:rsidRPr="003B11BD">
        <w:rPr>
          <w:noProof/>
          <w:lang w:val="en-IE"/>
        </w:rPr>
        <w:t>rules would be proportionate and limited to provisions essential to tackle a cross-border crisis</w:t>
      </w:r>
      <w:r w:rsidR="00E74439" w:rsidRPr="003B11BD">
        <w:rPr>
          <w:noProof/>
          <w:lang w:val="en-IE"/>
        </w:rPr>
        <w:t>, while</w:t>
      </w:r>
      <w:r w:rsidRPr="003B11BD">
        <w:rPr>
          <w:noProof/>
          <w:lang w:val="en-IE"/>
        </w:rPr>
        <w:t xml:space="preserve"> </w:t>
      </w:r>
      <w:r w:rsidR="00B4494C" w:rsidRPr="003B11BD">
        <w:rPr>
          <w:noProof/>
          <w:lang w:val="en-IE"/>
        </w:rPr>
        <w:t>Member States</w:t>
      </w:r>
      <w:r w:rsidRPr="003B11BD">
        <w:rPr>
          <w:noProof/>
          <w:lang w:val="en-IE"/>
        </w:rPr>
        <w:t xml:space="preserve"> will be consulted in the relevant (advisory) bodies throughout the process.</w:t>
      </w:r>
    </w:p>
    <w:p w14:paraId="2DF4986F" w14:textId="01E0AEDE" w:rsidR="00006638" w:rsidRPr="003B11BD" w:rsidRDefault="00006638" w:rsidP="00006638">
      <w:pPr>
        <w:pStyle w:val="Heading1"/>
        <w:ind w:left="480" w:hanging="480"/>
        <w:rPr>
          <w:noProof/>
          <w:lang w:val="en-IE"/>
        </w:rPr>
      </w:pPr>
      <w:bookmarkStart w:id="1036" w:name="_Toc118026535"/>
      <w:bookmarkStart w:id="1037" w:name="_Toc113028881"/>
      <w:bookmarkStart w:id="1038" w:name="_Toc112951464"/>
      <w:bookmarkStart w:id="1039" w:name="_Toc112949724"/>
      <w:bookmarkStart w:id="1040" w:name="_Toc112927391"/>
      <w:bookmarkStart w:id="1041" w:name="_Toc112876745"/>
      <w:bookmarkStart w:id="1042" w:name="_Toc112876502"/>
      <w:bookmarkStart w:id="1043" w:name="_Toc112698926"/>
      <w:bookmarkStart w:id="1044" w:name="_Toc111831922"/>
      <w:bookmarkStart w:id="1045" w:name="_Toc111669825"/>
      <w:bookmarkStart w:id="1046" w:name="_Toc108989412"/>
      <w:bookmarkStart w:id="1047" w:name="_Toc108115266"/>
      <w:bookmarkStart w:id="1048" w:name="_Toc108108974"/>
      <w:bookmarkStart w:id="1049" w:name="_Toc98766906"/>
      <w:bookmarkStart w:id="1050" w:name="_Toc98501765"/>
      <w:bookmarkStart w:id="1051" w:name="_Toc36469552"/>
      <w:bookmarkStart w:id="1052" w:name="_Toc36469496"/>
      <w:bookmarkStart w:id="1053" w:name="_Toc121489631"/>
      <w:bookmarkStart w:id="1054" w:name="_Toc121496391"/>
      <w:bookmarkStart w:id="1055" w:name="_Toc121748044"/>
      <w:bookmarkStart w:id="1056" w:name="_Toc133435398"/>
      <w:r w:rsidRPr="003B11BD">
        <w:rPr>
          <w:noProof/>
          <w:lang w:val="en-IE"/>
        </w:rPr>
        <w:t>Preferred option</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3B176637" w14:textId="55A0957B" w:rsidR="00A56097" w:rsidRDefault="70BB3396" w:rsidP="34EF0D43">
      <w:pPr>
        <w:rPr>
          <w:noProof/>
          <w:lang w:val="en-IE"/>
        </w:rPr>
      </w:pPr>
      <w:r w:rsidRPr="003B11BD">
        <w:rPr>
          <w:noProof/>
          <w:lang w:val="en-IE"/>
        </w:rPr>
        <w:t xml:space="preserve">All the options considered in the impact assessment are expected to improve on the </w:t>
      </w:r>
      <w:r w:rsidRPr="003B11BD">
        <w:rPr>
          <w:i/>
          <w:iCs/>
          <w:noProof/>
          <w:lang w:val="en-IE"/>
        </w:rPr>
        <w:t>status quo</w:t>
      </w:r>
      <w:r w:rsidRPr="003B11BD">
        <w:rPr>
          <w:noProof/>
          <w:lang w:val="en-IE"/>
        </w:rPr>
        <w:t xml:space="preserve">, but to a varying extent. However, when considering the specific objectives, it appears that </w:t>
      </w:r>
      <w:r w:rsidRPr="003B11BD">
        <w:rPr>
          <w:b/>
          <w:bCs/>
          <w:noProof/>
          <w:lang w:val="en-IE"/>
        </w:rPr>
        <w:t xml:space="preserve">Option 4 </w:t>
      </w:r>
      <w:r w:rsidRPr="003B11BD">
        <w:rPr>
          <w:noProof/>
          <w:lang w:val="en-IE"/>
        </w:rPr>
        <w:t xml:space="preserve">would be the most effective </w:t>
      </w:r>
      <w:r w:rsidR="07AB5569" w:rsidRPr="003B11BD">
        <w:rPr>
          <w:noProof/>
          <w:lang w:val="en-IE"/>
        </w:rPr>
        <w:t xml:space="preserve">and </w:t>
      </w:r>
      <w:r w:rsidRPr="003B11BD">
        <w:rPr>
          <w:noProof/>
          <w:lang w:val="en-IE"/>
        </w:rPr>
        <w:t>efficient to achieve the objectives of this initiative</w:t>
      </w:r>
      <w:r w:rsidR="1C290424" w:rsidRPr="003B11BD">
        <w:rPr>
          <w:noProof/>
          <w:lang w:val="en-IE"/>
        </w:rPr>
        <w:t>.</w:t>
      </w:r>
      <w:r w:rsidR="1C290424" w:rsidRPr="003B11BD">
        <w:rPr>
          <w:b/>
          <w:bCs/>
          <w:noProof/>
          <w:lang w:val="en-IE"/>
        </w:rPr>
        <w:t xml:space="preserve"> </w:t>
      </w:r>
      <w:r w:rsidR="1C290424" w:rsidRPr="003B11BD">
        <w:rPr>
          <w:noProof/>
          <w:lang w:val="en-IE"/>
        </w:rPr>
        <w:t>The preferred option</w:t>
      </w:r>
      <w:r w:rsidR="1C290424" w:rsidRPr="003B11BD">
        <w:rPr>
          <w:noProof/>
          <w:color w:val="000000" w:themeColor="text1"/>
          <w:lang w:val="en-IE"/>
        </w:rPr>
        <w:t xml:space="preserve"> would </w:t>
      </w:r>
      <w:r w:rsidR="4328C0E1" w:rsidRPr="003B11BD">
        <w:rPr>
          <w:noProof/>
          <w:color w:val="000000" w:themeColor="text1"/>
          <w:lang w:val="en-IE"/>
        </w:rPr>
        <w:t xml:space="preserve">create </w:t>
      </w:r>
      <w:r w:rsidR="5A01B324" w:rsidRPr="003B11BD">
        <w:rPr>
          <w:noProof/>
          <w:lang w:val="en-IE"/>
        </w:rPr>
        <w:t>a</w:t>
      </w:r>
      <w:r w:rsidR="1C290424" w:rsidRPr="003B11BD">
        <w:rPr>
          <w:noProof/>
          <w:lang w:val="en-IE"/>
        </w:rPr>
        <w:t xml:space="preserve"> </w:t>
      </w:r>
      <w:r w:rsidR="5A01B324" w:rsidRPr="003B11BD">
        <w:rPr>
          <w:noProof/>
          <w:lang w:val="en-IE"/>
        </w:rPr>
        <w:t xml:space="preserve">single procedure </w:t>
      </w:r>
      <w:r w:rsidR="31EC787E" w:rsidRPr="003B11BD">
        <w:rPr>
          <w:noProof/>
          <w:lang w:val="en-IE"/>
        </w:rPr>
        <w:t>to grant a</w:t>
      </w:r>
      <w:r w:rsidR="7E47B016" w:rsidRPr="003B11BD">
        <w:rPr>
          <w:noProof/>
          <w:lang w:val="en-IE"/>
        </w:rPr>
        <w:t>n</w:t>
      </w:r>
      <w:r w:rsidR="31EC787E" w:rsidRPr="003B11BD">
        <w:rPr>
          <w:noProof/>
          <w:lang w:val="en-IE"/>
        </w:rPr>
        <w:t xml:space="preserve"> </w:t>
      </w:r>
      <w:r w:rsidR="554522C2" w:rsidRPr="003B11BD">
        <w:rPr>
          <w:noProof/>
          <w:lang w:val="en-IE"/>
        </w:rPr>
        <w:t xml:space="preserve">EU-level compulsory licence with </w:t>
      </w:r>
      <w:r w:rsidR="07CE47D4" w:rsidRPr="003B11BD">
        <w:rPr>
          <w:noProof/>
          <w:lang w:val="en-IE"/>
        </w:rPr>
        <w:t>adequate features to tackle a crisis</w:t>
      </w:r>
      <w:r w:rsidR="7E47B016" w:rsidRPr="003B11BD">
        <w:rPr>
          <w:noProof/>
          <w:lang w:val="en-IE"/>
        </w:rPr>
        <w:t xml:space="preserve">. </w:t>
      </w:r>
      <w:r w:rsidR="5CF8B9AD" w:rsidRPr="003B11BD">
        <w:rPr>
          <w:noProof/>
          <w:lang w:val="en-IE"/>
        </w:rPr>
        <w:t xml:space="preserve">The Commission </w:t>
      </w:r>
      <w:r w:rsidR="28B6D002" w:rsidRPr="003B11BD">
        <w:rPr>
          <w:noProof/>
          <w:lang w:val="en-IE"/>
        </w:rPr>
        <w:t>activation measure</w:t>
      </w:r>
      <w:r w:rsidR="5CF8B9AD" w:rsidRPr="003B11BD">
        <w:rPr>
          <w:noProof/>
          <w:lang w:val="en-IE"/>
        </w:rPr>
        <w:t xml:space="preserve"> would ensure that conditions are the same </w:t>
      </w:r>
      <w:r w:rsidR="07AB5569" w:rsidRPr="003B11BD">
        <w:rPr>
          <w:noProof/>
          <w:lang w:val="en-IE"/>
        </w:rPr>
        <w:t>across the EU</w:t>
      </w:r>
      <w:r w:rsidR="5CF8B9AD" w:rsidRPr="003B11BD">
        <w:rPr>
          <w:noProof/>
          <w:lang w:val="en-IE"/>
        </w:rPr>
        <w:t xml:space="preserve"> and would avoid national discrepancies likely to slow down or prevent a</w:t>
      </w:r>
      <w:r w:rsidR="572BFC64" w:rsidRPr="003B11BD">
        <w:rPr>
          <w:noProof/>
          <w:lang w:val="en-IE"/>
        </w:rPr>
        <w:t xml:space="preserve"> compulsory licensing from tackling</w:t>
      </w:r>
      <w:r w:rsidR="5CF8B9AD" w:rsidRPr="003B11BD">
        <w:rPr>
          <w:noProof/>
          <w:lang w:val="en-IE"/>
        </w:rPr>
        <w:t xml:space="preserve"> cross-border crises. </w:t>
      </w:r>
      <w:r w:rsidR="7E47B016" w:rsidRPr="003B11BD">
        <w:rPr>
          <w:noProof/>
          <w:lang w:val="en-IE"/>
        </w:rPr>
        <w:t xml:space="preserve">This </w:t>
      </w:r>
      <w:r w:rsidR="07CE47D4" w:rsidRPr="003B11BD">
        <w:rPr>
          <w:noProof/>
          <w:lang w:val="en-IE"/>
        </w:rPr>
        <w:t>single compulsory licence would be applicable in all relevant territories</w:t>
      </w:r>
      <w:r w:rsidR="5926377C" w:rsidRPr="003B11BD">
        <w:rPr>
          <w:noProof/>
          <w:lang w:val="en-IE"/>
        </w:rPr>
        <w:t>,</w:t>
      </w:r>
      <w:r w:rsidR="07CE47D4" w:rsidRPr="003B11BD">
        <w:rPr>
          <w:noProof/>
          <w:lang w:val="en-IE"/>
        </w:rPr>
        <w:t xml:space="preserve"> therefore covering </w:t>
      </w:r>
      <w:r w:rsidR="572BFC64" w:rsidRPr="003B11BD">
        <w:rPr>
          <w:noProof/>
          <w:lang w:val="en-IE"/>
        </w:rPr>
        <w:t xml:space="preserve">any </w:t>
      </w:r>
      <w:r w:rsidR="07CE47D4" w:rsidRPr="003B11BD">
        <w:rPr>
          <w:noProof/>
          <w:lang w:val="en-IE"/>
        </w:rPr>
        <w:t xml:space="preserve">cross-border </w:t>
      </w:r>
      <w:r w:rsidR="572BFC64" w:rsidRPr="003B11BD">
        <w:rPr>
          <w:noProof/>
          <w:lang w:val="en-IE"/>
        </w:rPr>
        <w:t>situation (i.e. would also cover smaller-scale crises, not affecting the whole EU)</w:t>
      </w:r>
      <w:r w:rsidR="5926377C" w:rsidRPr="003B11BD">
        <w:rPr>
          <w:noProof/>
          <w:lang w:val="en-IE"/>
        </w:rPr>
        <w:t>. T</w:t>
      </w:r>
      <w:r w:rsidR="07CE47D4" w:rsidRPr="003B11BD">
        <w:rPr>
          <w:noProof/>
          <w:lang w:val="en-IE"/>
        </w:rPr>
        <w:t>his</w:t>
      </w:r>
      <w:r w:rsidR="5926377C" w:rsidRPr="003B11BD">
        <w:rPr>
          <w:noProof/>
          <w:lang w:val="en-IE"/>
        </w:rPr>
        <w:t xml:space="preserve"> would be the case for</w:t>
      </w:r>
      <w:r w:rsidR="07CE47D4" w:rsidRPr="003B11BD">
        <w:rPr>
          <w:noProof/>
          <w:lang w:val="en-IE"/>
        </w:rPr>
        <w:t xml:space="preserve"> both the EU market and for export purposes</w:t>
      </w:r>
      <w:r w:rsidR="360A8161" w:rsidRPr="003B11BD">
        <w:rPr>
          <w:noProof/>
          <w:lang w:val="en-IE"/>
        </w:rPr>
        <w:t xml:space="preserve"> to </w:t>
      </w:r>
      <w:r w:rsidR="002D606C" w:rsidRPr="003B11BD">
        <w:rPr>
          <w:noProof/>
          <w:lang w:val="en-IE"/>
        </w:rPr>
        <w:t xml:space="preserve">non-EU </w:t>
      </w:r>
      <w:r w:rsidR="360A8161" w:rsidRPr="003B11BD">
        <w:rPr>
          <w:noProof/>
          <w:lang w:val="en-IE"/>
        </w:rPr>
        <w:t>countries</w:t>
      </w:r>
      <w:r w:rsidR="5926377C" w:rsidRPr="003B11BD">
        <w:rPr>
          <w:noProof/>
          <w:lang w:val="en-IE"/>
        </w:rPr>
        <w:t xml:space="preserve">. </w:t>
      </w:r>
      <w:r w:rsidR="49CD5228" w:rsidRPr="003B11BD">
        <w:rPr>
          <w:noProof/>
          <w:lang w:val="en-IE"/>
        </w:rPr>
        <w:t>C</w:t>
      </w:r>
      <w:r w:rsidR="07CE47D4" w:rsidRPr="003B11BD">
        <w:rPr>
          <w:noProof/>
          <w:lang w:val="en-IE"/>
        </w:rPr>
        <w:t>ohere</w:t>
      </w:r>
      <w:r w:rsidR="49CD5228" w:rsidRPr="003B11BD">
        <w:rPr>
          <w:noProof/>
          <w:lang w:val="en-IE"/>
        </w:rPr>
        <w:t>nce</w:t>
      </w:r>
      <w:r w:rsidR="07AB5569" w:rsidRPr="003B11BD">
        <w:rPr>
          <w:noProof/>
          <w:lang w:val="en-IE"/>
        </w:rPr>
        <w:t xml:space="preserve"> with EU crisis instruments </w:t>
      </w:r>
      <w:r w:rsidR="49CD5228" w:rsidRPr="003B11BD">
        <w:rPr>
          <w:noProof/>
          <w:lang w:val="en-IE"/>
        </w:rPr>
        <w:t>would be ensured</w:t>
      </w:r>
      <w:r w:rsidR="1E139760" w:rsidRPr="003B11BD">
        <w:rPr>
          <w:noProof/>
          <w:lang w:val="en-IE"/>
        </w:rPr>
        <w:t xml:space="preserve"> by the possibility to </w:t>
      </w:r>
      <w:r w:rsidR="572BFC64" w:rsidRPr="003B11BD">
        <w:rPr>
          <w:noProof/>
          <w:lang w:val="en-IE"/>
        </w:rPr>
        <w:t>refer to</w:t>
      </w:r>
      <w:r w:rsidR="1E139760" w:rsidRPr="003B11BD">
        <w:rPr>
          <w:noProof/>
          <w:lang w:val="en-IE"/>
        </w:rPr>
        <w:t xml:space="preserve"> a common</w:t>
      </w:r>
      <w:r w:rsidR="49CD5228" w:rsidRPr="003B11BD">
        <w:rPr>
          <w:noProof/>
          <w:lang w:val="en-IE"/>
        </w:rPr>
        <w:t xml:space="preserve"> </w:t>
      </w:r>
      <w:r w:rsidR="07CE47D4" w:rsidRPr="003B11BD">
        <w:rPr>
          <w:noProof/>
          <w:lang w:val="en-IE"/>
        </w:rPr>
        <w:t>trigger</w:t>
      </w:r>
      <w:r w:rsidR="572BFC64" w:rsidRPr="003B11BD">
        <w:rPr>
          <w:noProof/>
          <w:lang w:val="en-IE"/>
        </w:rPr>
        <w:t xml:space="preserve">, as well as </w:t>
      </w:r>
      <w:r w:rsidR="49CD5228" w:rsidRPr="003B11BD">
        <w:rPr>
          <w:noProof/>
          <w:lang w:val="en-IE"/>
        </w:rPr>
        <w:t xml:space="preserve">to </w:t>
      </w:r>
      <w:r w:rsidR="6E50FD8E" w:rsidRPr="003B11BD">
        <w:rPr>
          <w:noProof/>
          <w:lang w:val="en-IE"/>
        </w:rPr>
        <w:t xml:space="preserve">the </w:t>
      </w:r>
      <w:r w:rsidR="476B7282" w:rsidRPr="003B11BD">
        <w:rPr>
          <w:noProof/>
          <w:lang w:val="en-IE"/>
        </w:rPr>
        <w:t>(advisory) bodies set-up by th</w:t>
      </w:r>
      <w:r w:rsidR="49CD5228" w:rsidRPr="003B11BD">
        <w:rPr>
          <w:noProof/>
          <w:lang w:val="en-IE"/>
        </w:rPr>
        <w:t xml:space="preserve">e EU crisis </w:t>
      </w:r>
      <w:r w:rsidR="476B7282" w:rsidRPr="003B11BD">
        <w:rPr>
          <w:noProof/>
          <w:lang w:val="en-IE"/>
        </w:rPr>
        <w:t>instruments.</w:t>
      </w:r>
      <w:r w:rsidR="49CD5228" w:rsidRPr="003B11BD">
        <w:rPr>
          <w:noProof/>
          <w:lang w:val="en-IE"/>
        </w:rPr>
        <w:t xml:space="preserve"> </w:t>
      </w:r>
      <w:r w:rsidR="572BFC64" w:rsidRPr="003B11BD">
        <w:rPr>
          <w:noProof/>
          <w:lang w:val="en-IE"/>
        </w:rPr>
        <w:t>Alternatively, t</w:t>
      </w:r>
      <w:r w:rsidR="573D2FB3" w:rsidRPr="003B11BD">
        <w:rPr>
          <w:noProof/>
          <w:lang w:val="en-IE"/>
        </w:rPr>
        <w:t xml:space="preserve">he procedure could be initiated by </w:t>
      </w:r>
      <w:r w:rsidR="117A0557" w:rsidRPr="003B11BD">
        <w:rPr>
          <w:noProof/>
          <w:lang w:val="en-IE"/>
        </w:rPr>
        <w:t>Member State</w:t>
      </w:r>
      <w:r w:rsidR="63CA5A85" w:rsidRPr="003B11BD">
        <w:rPr>
          <w:noProof/>
          <w:lang w:val="en-IE"/>
        </w:rPr>
        <w:t>s</w:t>
      </w:r>
      <w:r w:rsidR="572BFC64" w:rsidRPr="003B11BD">
        <w:rPr>
          <w:noProof/>
          <w:lang w:val="en-IE"/>
        </w:rPr>
        <w:t xml:space="preserve"> affected by a crisis</w:t>
      </w:r>
      <w:r w:rsidR="117A0557" w:rsidRPr="003B11BD">
        <w:rPr>
          <w:noProof/>
          <w:lang w:val="en-IE"/>
        </w:rPr>
        <w:t xml:space="preserve">. </w:t>
      </w:r>
      <w:r w:rsidR="2EA5BEBE" w:rsidRPr="003B11BD">
        <w:rPr>
          <w:noProof/>
          <w:lang w:val="en-IE"/>
        </w:rPr>
        <w:t>Negotiations and coordination would be carried out at EU-level</w:t>
      </w:r>
      <w:r w:rsidR="08B502AB" w:rsidRPr="003B11BD">
        <w:rPr>
          <w:noProof/>
          <w:lang w:val="en-IE"/>
        </w:rPr>
        <w:t xml:space="preserve"> to ensure </w:t>
      </w:r>
      <w:r w:rsidR="4C9DB4A9" w:rsidRPr="003B11BD">
        <w:rPr>
          <w:noProof/>
          <w:lang w:val="en-IE"/>
        </w:rPr>
        <w:t>coherent approach across the EU.</w:t>
      </w:r>
      <w:r w:rsidR="00161123" w:rsidRPr="003B11BD">
        <w:rPr>
          <w:noProof/>
          <w:lang w:val="en-IE"/>
        </w:rPr>
        <w:t xml:space="preserve"> To prevent and stop any misuse of the compulsory licence</w:t>
      </w:r>
      <w:r w:rsidR="00161123" w:rsidRPr="003B11BD">
        <w:rPr>
          <w:rStyle w:val="FootnoteReference"/>
          <w:noProof/>
          <w:lang w:val="en-IE"/>
        </w:rPr>
        <w:footnoteReference w:id="141"/>
      </w:r>
      <w:r w:rsidR="00161123" w:rsidRPr="003B11BD">
        <w:rPr>
          <w:noProof/>
          <w:lang w:val="en-IE"/>
        </w:rPr>
        <w:t xml:space="preserve">, safeguards should be in place to allow the Commission to take appropriate measures including, if need be, the reduction of the remuneration </w:t>
      </w:r>
      <w:r w:rsidR="00C12A76" w:rsidRPr="003B11BD">
        <w:rPr>
          <w:noProof/>
          <w:lang w:val="en-IE"/>
        </w:rPr>
        <w:t xml:space="preserve">and </w:t>
      </w:r>
      <w:r w:rsidR="00161123" w:rsidRPr="003B11BD">
        <w:rPr>
          <w:noProof/>
          <w:lang w:val="en-IE"/>
        </w:rPr>
        <w:t>the termination of the compulsory licence to ensure that the conditions of the compulsory licence are respected. The measures taken by the Commission should be effective, proportionate and dissuasive.</w:t>
      </w:r>
      <w:r w:rsidR="4C9DB4A9" w:rsidRPr="003B11BD">
        <w:rPr>
          <w:noProof/>
          <w:color w:val="000000" w:themeColor="text1"/>
          <w:lang w:val="en-IE"/>
        </w:rPr>
        <w:t xml:space="preserve"> </w:t>
      </w:r>
      <w:r w:rsidR="1C290424" w:rsidRPr="003B11BD">
        <w:rPr>
          <w:noProof/>
          <w:color w:val="000000" w:themeColor="text1"/>
          <w:lang w:val="en-IE"/>
        </w:rPr>
        <w:t xml:space="preserve">The implementation of the preferred option would require adopting a new regulation establishing </w:t>
      </w:r>
      <w:r w:rsidR="5A01B324" w:rsidRPr="003B11BD">
        <w:rPr>
          <w:noProof/>
          <w:color w:val="000000" w:themeColor="text1"/>
          <w:lang w:val="en-IE"/>
        </w:rPr>
        <w:t xml:space="preserve">an EU-level </w:t>
      </w:r>
      <w:r w:rsidR="476B7282" w:rsidRPr="003B11BD">
        <w:rPr>
          <w:noProof/>
          <w:color w:val="000000" w:themeColor="text1"/>
          <w:lang w:val="en-IE"/>
        </w:rPr>
        <w:t>compulsory licence</w:t>
      </w:r>
      <w:r w:rsidR="00C54808" w:rsidRPr="003B11BD">
        <w:rPr>
          <w:noProof/>
          <w:color w:val="000000" w:themeColor="text1"/>
          <w:lang w:val="en-IE"/>
        </w:rPr>
        <w:t xml:space="preserve"> for crisis management</w:t>
      </w:r>
      <w:r w:rsidR="476B7282" w:rsidRPr="003B11BD">
        <w:rPr>
          <w:noProof/>
          <w:color w:val="000000" w:themeColor="text1"/>
          <w:lang w:val="en-IE"/>
        </w:rPr>
        <w:t>.</w:t>
      </w:r>
      <w:r w:rsidR="2C2B60B2" w:rsidRPr="003B11BD">
        <w:rPr>
          <w:noProof/>
          <w:lang w:val="en-IE"/>
        </w:rPr>
        <w:t xml:space="preserve"> </w:t>
      </w:r>
      <w:r w:rsidR="54A71FE1" w:rsidRPr="003B11BD">
        <w:rPr>
          <w:noProof/>
          <w:lang w:val="en-IE"/>
        </w:rPr>
        <w:t>PO4</w:t>
      </w:r>
      <w:r w:rsidR="1C290424" w:rsidRPr="003B11BD">
        <w:rPr>
          <w:noProof/>
          <w:lang w:val="en-IE"/>
        </w:rPr>
        <w:t xml:space="preserve"> is the most balanced and proportionate approach, which also takes account of the views and concerns of stakeholders. The preferred </w:t>
      </w:r>
      <w:r w:rsidR="64D3D8D0" w:rsidRPr="003B11BD">
        <w:rPr>
          <w:noProof/>
          <w:lang w:val="en-IE"/>
        </w:rPr>
        <w:t>option would address the identified problem</w:t>
      </w:r>
      <w:r w:rsidR="1C290424" w:rsidRPr="003B11BD">
        <w:rPr>
          <w:noProof/>
          <w:lang w:val="en-IE"/>
        </w:rPr>
        <w:t xml:space="preserve"> (</w:t>
      </w:r>
      <w:r w:rsidR="64D3D8D0" w:rsidRPr="003B11BD">
        <w:rPr>
          <w:noProof/>
          <w:lang w:val="en-IE"/>
        </w:rPr>
        <w:t xml:space="preserve">i.e. </w:t>
      </w:r>
      <w:r w:rsidR="0EF614A5" w:rsidRPr="003B11BD">
        <w:rPr>
          <w:noProof/>
          <w:lang w:val="en-IE"/>
        </w:rPr>
        <w:t>“</w:t>
      </w:r>
      <w:r w:rsidR="64D3D8D0" w:rsidRPr="003B11BD">
        <w:rPr>
          <w:i/>
          <w:iCs/>
          <w:noProof/>
          <w:lang w:val="en-IE"/>
        </w:rPr>
        <w:t>EU compulsory licensing rules not well suited to address cross-border crisis in a timely manner, due to uncoordinated procedures and decision-making, as well as inadequate territorial reach</w:t>
      </w:r>
      <w:r w:rsidR="0EF614A5" w:rsidRPr="003B11BD">
        <w:rPr>
          <w:noProof/>
          <w:lang w:val="en-IE"/>
        </w:rPr>
        <w:t>”</w:t>
      </w:r>
      <w:r w:rsidR="1C290424" w:rsidRPr="003B11BD">
        <w:rPr>
          <w:noProof/>
          <w:lang w:val="en-IE"/>
        </w:rPr>
        <w:t xml:space="preserve">). </w:t>
      </w:r>
    </w:p>
    <w:p w14:paraId="0C938506" w14:textId="77777777" w:rsidR="00256829" w:rsidRPr="003B11BD" w:rsidRDefault="00256829" w:rsidP="34EF0D43">
      <w:pPr>
        <w:rPr>
          <w:rFonts w:asciiTheme="minorHAnsi" w:hAnsiTheme="minorHAnsi" w:cstheme="minorBidi"/>
          <w:noProof/>
          <w:lang w:val="en-IE"/>
        </w:rPr>
      </w:pPr>
    </w:p>
    <w:p w14:paraId="36FF9B55" w14:textId="76AA663E" w:rsidR="00006638" w:rsidRPr="003B11BD" w:rsidRDefault="00006638" w:rsidP="00F70C72">
      <w:pPr>
        <w:pStyle w:val="Caption"/>
        <w:rPr>
          <w:noProof/>
          <w:lang w:val="en-IE"/>
        </w:rPr>
      </w:pPr>
      <w:r w:rsidRPr="003B11BD">
        <w:rPr>
          <w:noProof/>
          <w:lang w:val="en-IE"/>
        </w:rPr>
        <w:t xml:space="preserve">Table </w:t>
      </w:r>
      <w:r w:rsidR="00C6592A">
        <w:rPr>
          <w:noProof/>
          <w:lang w:val="en-IE"/>
        </w:rPr>
        <w:t>8</w:t>
      </w:r>
      <w:r w:rsidRPr="003B11BD">
        <w:rPr>
          <w:noProof/>
          <w:lang w:val="en-IE"/>
        </w:rPr>
        <w:t>: How the preferred option achieves the policy objectives?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961"/>
      </w:tblGrid>
      <w:tr w:rsidR="00006638" w:rsidRPr="003B11BD" w14:paraId="159BC4B0" w14:textId="77777777" w:rsidTr="003B11BD">
        <w:trPr>
          <w:trHeight w:val="294"/>
        </w:trPr>
        <w:tc>
          <w:tcPr>
            <w:tcW w:w="3544" w:type="dxa"/>
            <w:tcBorders>
              <w:top w:val="single" w:sz="4" w:space="0" w:color="auto"/>
              <w:left w:val="single" w:sz="4" w:space="0" w:color="auto"/>
              <w:bottom w:val="single" w:sz="4" w:space="0" w:color="auto"/>
              <w:right w:val="single" w:sz="4" w:space="0" w:color="auto"/>
            </w:tcBorders>
            <w:vAlign w:val="center"/>
            <w:hideMark/>
          </w:tcPr>
          <w:p w14:paraId="06F6E160" w14:textId="77777777" w:rsidR="00006638" w:rsidRPr="003B11BD" w:rsidRDefault="00006638" w:rsidP="00F03230">
            <w:pPr>
              <w:pStyle w:val="Size10"/>
              <w:rPr>
                <w:b/>
                <w:noProof/>
              </w:rPr>
            </w:pPr>
            <w:r w:rsidRPr="003B11BD">
              <w:rPr>
                <w:b/>
                <w:noProof/>
              </w:rPr>
              <w:t>Objective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830DD04" w14:textId="73671E27" w:rsidR="00006638" w:rsidRPr="003B11BD" w:rsidRDefault="00006638" w:rsidP="00F03230">
            <w:pPr>
              <w:pStyle w:val="Size10"/>
              <w:rPr>
                <w:b/>
                <w:noProof/>
              </w:rPr>
            </w:pPr>
            <w:r w:rsidRPr="003B11BD">
              <w:rPr>
                <w:b/>
                <w:noProof/>
              </w:rPr>
              <w:t xml:space="preserve">Preferred option: </w:t>
            </w:r>
            <w:r w:rsidR="00B86C94" w:rsidRPr="003B11BD">
              <w:rPr>
                <w:b/>
                <w:noProof/>
              </w:rPr>
              <w:t>PO 4 (EU-level CL)</w:t>
            </w:r>
          </w:p>
        </w:tc>
      </w:tr>
      <w:tr w:rsidR="00006638" w:rsidRPr="003B11BD" w14:paraId="148697C7" w14:textId="77777777" w:rsidTr="003B11BD">
        <w:trPr>
          <w:trHeight w:val="711"/>
        </w:trPr>
        <w:tc>
          <w:tcPr>
            <w:tcW w:w="3544" w:type="dxa"/>
            <w:tcBorders>
              <w:top w:val="single" w:sz="4" w:space="0" w:color="auto"/>
              <w:left w:val="single" w:sz="4" w:space="0" w:color="auto"/>
              <w:bottom w:val="single" w:sz="4" w:space="0" w:color="auto"/>
              <w:right w:val="single" w:sz="4" w:space="0" w:color="auto"/>
            </w:tcBorders>
          </w:tcPr>
          <w:p w14:paraId="13D54C70" w14:textId="3E83A6DA" w:rsidR="00006638" w:rsidRPr="003B11BD" w:rsidRDefault="00F70C72" w:rsidP="00BE6F28">
            <w:pPr>
              <w:pStyle w:val="Size10"/>
              <w:rPr>
                <w:noProof/>
              </w:rPr>
            </w:pPr>
            <w:r w:rsidRPr="003B11BD">
              <w:rPr>
                <w:noProof/>
              </w:rPr>
              <w:t xml:space="preserve">SO1: </w:t>
            </w:r>
            <w:r w:rsidR="00BE6F28" w:rsidRPr="003B11BD">
              <w:rPr>
                <w:noProof/>
              </w:rPr>
              <w:t>Improve</w:t>
            </w:r>
            <w:r w:rsidRPr="003B11BD">
              <w:rPr>
                <w:noProof/>
              </w:rPr>
              <w:t xml:space="preserve"> the key features of </w:t>
            </w:r>
            <w:r w:rsidR="000A569D" w:rsidRPr="003B11BD">
              <w:rPr>
                <w:noProof/>
              </w:rPr>
              <w:t>compulsory licensing</w:t>
            </w:r>
            <w:r w:rsidR="003B11BD" w:rsidRPr="003B11BD">
              <w:rPr>
                <w:noProof/>
              </w:rPr>
              <w:t>, such as the trigger, scope and conditions of compulsory licensing, as well as improve the coherence of compulsory licensing in the EU to improve its effectiveness and efficiency in a crisis</w:t>
            </w:r>
          </w:p>
        </w:tc>
        <w:tc>
          <w:tcPr>
            <w:tcW w:w="4961" w:type="dxa"/>
            <w:tcBorders>
              <w:top w:val="single" w:sz="4" w:space="0" w:color="auto"/>
              <w:left w:val="single" w:sz="4" w:space="0" w:color="auto"/>
              <w:bottom w:val="single" w:sz="4" w:space="0" w:color="auto"/>
              <w:right w:val="single" w:sz="4" w:space="0" w:color="auto"/>
            </w:tcBorders>
            <w:hideMark/>
          </w:tcPr>
          <w:p w14:paraId="78E21683" w14:textId="188F3579" w:rsidR="00006638" w:rsidRPr="003B11BD" w:rsidRDefault="007522D1" w:rsidP="00F03230">
            <w:pPr>
              <w:pStyle w:val="Size10"/>
              <w:rPr>
                <w:noProof/>
              </w:rPr>
            </w:pPr>
            <w:r w:rsidRPr="003B11BD">
              <w:rPr>
                <w:noProof/>
              </w:rPr>
              <w:t xml:space="preserve">PO4 would </w:t>
            </w:r>
            <w:r w:rsidR="00D64302" w:rsidRPr="003B11BD">
              <w:rPr>
                <w:noProof/>
              </w:rPr>
              <w:t>e</w:t>
            </w:r>
            <w:r w:rsidRPr="003B11BD">
              <w:rPr>
                <w:noProof/>
              </w:rPr>
              <w:t xml:space="preserve">nsure that optimal features are in place to guarantee a swift granting procedure </w:t>
            </w:r>
            <w:r w:rsidR="007976EA" w:rsidRPr="003B11BD">
              <w:rPr>
                <w:noProof/>
              </w:rPr>
              <w:t>in the event of a</w:t>
            </w:r>
            <w:r w:rsidRPr="003B11BD">
              <w:rPr>
                <w:noProof/>
              </w:rPr>
              <w:t xml:space="preserve"> cross-border crisis or a crisis affecting the </w:t>
            </w:r>
            <w:r w:rsidR="00D43F3F" w:rsidRPr="003B11BD">
              <w:rPr>
                <w:noProof/>
              </w:rPr>
              <w:t>Single Market</w:t>
            </w:r>
            <w:r w:rsidR="00894905" w:rsidRPr="003B11BD">
              <w:rPr>
                <w:noProof/>
              </w:rPr>
              <w:t>. As</w:t>
            </w:r>
            <w:r w:rsidRPr="003B11BD">
              <w:rPr>
                <w:noProof/>
              </w:rPr>
              <w:t xml:space="preserve"> it would create a single procedure at EU-level</w:t>
            </w:r>
            <w:r w:rsidR="00894905" w:rsidRPr="003B11BD">
              <w:rPr>
                <w:noProof/>
              </w:rPr>
              <w:t>, the</w:t>
            </w:r>
            <w:r w:rsidRPr="003B11BD">
              <w:rPr>
                <w:noProof/>
              </w:rPr>
              <w:t xml:space="preserve"> </w:t>
            </w:r>
            <w:r w:rsidR="00894905" w:rsidRPr="003B11BD">
              <w:rPr>
                <w:noProof/>
              </w:rPr>
              <w:t>c</w:t>
            </w:r>
            <w:r w:rsidRPr="003B11BD">
              <w:rPr>
                <w:noProof/>
              </w:rPr>
              <w:t xml:space="preserve">urrent fragmentation slowing down or preventing the use of compulsory licensing in crises would therefore be removed. </w:t>
            </w:r>
          </w:p>
        </w:tc>
      </w:tr>
      <w:tr w:rsidR="00B86C94" w:rsidRPr="003B11BD" w14:paraId="7496E357" w14:textId="77777777" w:rsidTr="003B11BD">
        <w:trPr>
          <w:trHeight w:val="24"/>
        </w:trPr>
        <w:tc>
          <w:tcPr>
            <w:tcW w:w="3544" w:type="dxa"/>
            <w:tcBorders>
              <w:top w:val="single" w:sz="4" w:space="0" w:color="auto"/>
              <w:left w:val="single" w:sz="4" w:space="0" w:color="auto"/>
              <w:bottom w:val="single" w:sz="4" w:space="0" w:color="auto"/>
              <w:right w:val="single" w:sz="4" w:space="0" w:color="auto"/>
            </w:tcBorders>
          </w:tcPr>
          <w:p w14:paraId="45FB15B8" w14:textId="5B741AC0" w:rsidR="00B86C94" w:rsidRPr="003B11BD" w:rsidRDefault="00B86C94" w:rsidP="003B11BD">
            <w:pPr>
              <w:pStyle w:val="Size10"/>
              <w:rPr>
                <w:noProof/>
              </w:rPr>
            </w:pPr>
            <w:r w:rsidRPr="003B11BD">
              <w:rPr>
                <w:noProof/>
              </w:rPr>
              <w:t xml:space="preserve">SO2: </w:t>
            </w:r>
            <w:r w:rsidR="003B11BD" w:rsidRPr="003B11BD">
              <w:rPr>
                <w:noProof/>
              </w:rPr>
              <w:t xml:space="preserve">Ensure that the territorial reach of a compulsory licence, incl. for export purposes, can accommodate the reality of cross-border value chains operating in the Single Market </w:t>
            </w:r>
          </w:p>
        </w:tc>
        <w:tc>
          <w:tcPr>
            <w:tcW w:w="4961" w:type="dxa"/>
            <w:tcBorders>
              <w:top w:val="single" w:sz="4" w:space="0" w:color="auto"/>
              <w:left w:val="single" w:sz="4" w:space="0" w:color="auto"/>
              <w:bottom w:val="single" w:sz="4" w:space="0" w:color="auto"/>
              <w:right w:val="single" w:sz="4" w:space="0" w:color="auto"/>
            </w:tcBorders>
          </w:tcPr>
          <w:p w14:paraId="4C7D0E35" w14:textId="045E0AD7" w:rsidR="00B86C94" w:rsidRPr="003B11BD" w:rsidRDefault="031EA29D" w:rsidP="00F03230">
            <w:pPr>
              <w:pStyle w:val="Size10"/>
              <w:rPr>
                <w:noProof/>
              </w:rPr>
            </w:pPr>
            <w:r w:rsidRPr="003B11BD">
              <w:rPr>
                <w:noProof/>
              </w:rPr>
              <w:t xml:space="preserve">PO4 would </w:t>
            </w:r>
            <w:r w:rsidR="18CF6589" w:rsidRPr="003B11BD">
              <w:rPr>
                <w:noProof/>
              </w:rPr>
              <w:t xml:space="preserve">establish </w:t>
            </w:r>
            <w:r w:rsidRPr="003B11BD">
              <w:rPr>
                <w:noProof/>
              </w:rPr>
              <w:t xml:space="preserve">a </w:t>
            </w:r>
            <w:r w:rsidR="00E6068C" w:rsidRPr="003B11BD">
              <w:rPr>
                <w:noProof/>
              </w:rPr>
              <w:t xml:space="preserve">compulsory licensing </w:t>
            </w:r>
            <w:r w:rsidRPr="003B11BD">
              <w:rPr>
                <w:noProof/>
              </w:rPr>
              <w:t>scheme</w:t>
            </w:r>
            <w:r w:rsidR="18CF6589" w:rsidRPr="003B11BD">
              <w:rPr>
                <w:noProof/>
              </w:rPr>
              <w:t xml:space="preserve"> in the EU</w:t>
            </w:r>
            <w:r w:rsidRPr="003B11BD">
              <w:rPr>
                <w:noProof/>
              </w:rPr>
              <w:t xml:space="preserve"> able to tackle cross-border crisis (including covering cross-border supply chains, </w:t>
            </w:r>
            <w:r w:rsidR="18CF6589" w:rsidRPr="003B11BD">
              <w:rPr>
                <w:noProof/>
              </w:rPr>
              <w:t xml:space="preserve">also </w:t>
            </w:r>
            <w:r w:rsidRPr="003B11BD">
              <w:rPr>
                <w:noProof/>
              </w:rPr>
              <w:t>for export purposes</w:t>
            </w:r>
            <w:r w:rsidR="4B3E86E6" w:rsidRPr="003B11BD">
              <w:rPr>
                <w:noProof/>
              </w:rPr>
              <w:t xml:space="preserve"> to </w:t>
            </w:r>
            <w:r w:rsidR="002D606C" w:rsidRPr="003B11BD">
              <w:rPr>
                <w:noProof/>
              </w:rPr>
              <w:t xml:space="preserve">non-EU </w:t>
            </w:r>
            <w:r w:rsidR="4B3E86E6" w:rsidRPr="003B11BD">
              <w:rPr>
                <w:noProof/>
              </w:rPr>
              <w:t>countries</w:t>
            </w:r>
            <w:r w:rsidRPr="003B11BD">
              <w:rPr>
                <w:noProof/>
              </w:rPr>
              <w:t>).</w:t>
            </w:r>
          </w:p>
        </w:tc>
      </w:tr>
      <w:tr w:rsidR="00006638" w:rsidRPr="003B11BD" w14:paraId="52FBAAF4" w14:textId="77777777" w:rsidTr="003B11BD">
        <w:trPr>
          <w:trHeight w:val="996"/>
        </w:trPr>
        <w:tc>
          <w:tcPr>
            <w:tcW w:w="3544" w:type="dxa"/>
            <w:tcBorders>
              <w:top w:val="single" w:sz="4" w:space="0" w:color="auto"/>
              <w:left w:val="single" w:sz="4" w:space="0" w:color="auto"/>
              <w:bottom w:val="single" w:sz="4" w:space="0" w:color="auto"/>
              <w:right w:val="single" w:sz="4" w:space="0" w:color="auto"/>
            </w:tcBorders>
          </w:tcPr>
          <w:p w14:paraId="0505A2F7" w14:textId="3A0988FA" w:rsidR="00006638" w:rsidRPr="003B11BD" w:rsidRDefault="00B86C94" w:rsidP="003B11BD">
            <w:pPr>
              <w:pStyle w:val="Size10"/>
              <w:rPr>
                <w:noProof/>
              </w:rPr>
            </w:pPr>
            <w:r w:rsidRPr="003B11BD">
              <w:rPr>
                <w:noProof/>
              </w:rPr>
              <w:t xml:space="preserve">SO3: </w:t>
            </w:r>
            <w:r w:rsidR="001C50FF" w:rsidRPr="003B11BD">
              <w:rPr>
                <w:noProof/>
              </w:rPr>
              <w:t>Support</w:t>
            </w:r>
            <w:r w:rsidRPr="003B11BD">
              <w:rPr>
                <w:noProof/>
              </w:rPr>
              <w:t xml:space="preserve"> EU </w:t>
            </w:r>
            <w:r w:rsidR="003B11BD" w:rsidRPr="003B11BD">
              <w:rPr>
                <w:noProof/>
              </w:rPr>
              <w:t>resilience by improving the coordination, streamlining the decision making and allowing compulsory licences to better complement EU action in crises, including for export purposes to non-EU countries</w:t>
            </w:r>
            <w:r w:rsidRPr="003B11BD">
              <w:rPr>
                <w:noProof/>
              </w:rPr>
              <w:t xml:space="preserve">  </w:t>
            </w:r>
          </w:p>
        </w:tc>
        <w:tc>
          <w:tcPr>
            <w:tcW w:w="4961" w:type="dxa"/>
            <w:tcBorders>
              <w:top w:val="single" w:sz="4" w:space="0" w:color="auto"/>
              <w:left w:val="single" w:sz="4" w:space="0" w:color="auto"/>
              <w:bottom w:val="single" w:sz="4" w:space="0" w:color="auto"/>
              <w:right w:val="single" w:sz="4" w:space="0" w:color="auto"/>
            </w:tcBorders>
          </w:tcPr>
          <w:p w14:paraId="4449818C" w14:textId="28AC87CF" w:rsidR="00006638" w:rsidRPr="003B11BD" w:rsidRDefault="00D64302" w:rsidP="00F03230">
            <w:pPr>
              <w:pStyle w:val="Size10"/>
              <w:rPr>
                <w:noProof/>
              </w:rPr>
            </w:pPr>
            <w:r w:rsidRPr="003B11BD">
              <w:rPr>
                <w:noProof/>
              </w:rPr>
              <w:t xml:space="preserve">PO4 would provide the EU with </w:t>
            </w:r>
            <w:r w:rsidR="000A569D" w:rsidRPr="003B11BD">
              <w:rPr>
                <w:noProof/>
              </w:rPr>
              <w:t>a</w:t>
            </w:r>
            <w:r w:rsidRPr="003B11BD">
              <w:rPr>
                <w:noProof/>
              </w:rPr>
              <w:t xml:space="preserve"> </w:t>
            </w:r>
            <w:r w:rsidR="00E6068C" w:rsidRPr="003B11BD">
              <w:rPr>
                <w:noProof/>
              </w:rPr>
              <w:t xml:space="preserve">compulsory licensing </w:t>
            </w:r>
            <w:r w:rsidRPr="003B11BD">
              <w:rPr>
                <w:noProof/>
              </w:rPr>
              <w:t>tool that could be used in support of EU crisis instrumen</w:t>
            </w:r>
            <w:r w:rsidR="001F5676" w:rsidRPr="003B11BD">
              <w:rPr>
                <w:noProof/>
              </w:rPr>
              <w:t>ts (as</w:t>
            </w:r>
            <w:r w:rsidRPr="003B11BD">
              <w:rPr>
                <w:noProof/>
              </w:rPr>
              <w:t xml:space="preserve"> incentive to voluntary agreement or as a last resort measure to replace</w:t>
            </w:r>
            <w:r w:rsidR="001F5676" w:rsidRPr="003B11BD">
              <w:rPr>
                <w:noProof/>
              </w:rPr>
              <w:t xml:space="preserve"> /</w:t>
            </w:r>
            <w:r w:rsidRPr="003B11BD">
              <w:rPr>
                <w:noProof/>
              </w:rPr>
              <w:t xml:space="preserve"> complement </w:t>
            </w:r>
            <w:r w:rsidR="001F5676" w:rsidRPr="003B11BD">
              <w:rPr>
                <w:noProof/>
              </w:rPr>
              <w:t>them</w:t>
            </w:r>
            <w:r w:rsidRPr="003B11BD">
              <w:rPr>
                <w:noProof/>
              </w:rPr>
              <w:t xml:space="preserve">). Coherence with </w:t>
            </w:r>
            <w:r w:rsidR="00894905" w:rsidRPr="003B11BD">
              <w:rPr>
                <w:noProof/>
              </w:rPr>
              <w:t xml:space="preserve">other </w:t>
            </w:r>
            <w:r w:rsidRPr="003B11BD">
              <w:rPr>
                <w:noProof/>
              </w:rPr>
              <w:t>EU crisis instrument</w:t>
            </w:r>
            <w:r w:rsidR="00894905" w:rsidRPr="003B11BD">
              <w:rPr>
                <w:noProof/>
              </w:rPr>
              <w:t>s</w:t>
            </w:r>
            <w:r w:rsidRPr="003B11BD">
              <w:rPr>
                <w:noProof/>
              </w:rPr>
              <w:t xml:space="preserve"> </w:t>
            </w:r>
            <w:r w:rsidR="00894905" w:rsidRPr="003B11BD">
              <w:rPr>
                <w:noProof/>
              </w:rPr>
              <w:t>would be</w:t>
            </w:r>
            <w:r w:rsidRPr="003B11BD">
              <w:rPr>
                <w:noProof/>
              </w:rPr>
              <w:t xml:space="preserve"> ensured by </w:t>
            </w:r>
            <w:r w:rsidR="007331BE" w:rsidRPr="003B11BD">
              <w:rPr>
                <w:noProof/>
              </w:rPr>
              <w:t xml:space="preserve">referring to </w:t>
            </w:r>
            <w:r w:rsidRPr="003B11BD">
              <w:rPr>
                <w:noProof/>
              </w:rPr>
              <w:t>such instrument</w:t>
            </w:r>
            <w:r w:rsidR="00894905" w:rsidRPr="003B11BD">
              <w:rPr>
                <w:noProof/>
              </w:rPr>
              <w:t>s</w:t>
            </w:r>
            <w:r w:rsidRPr="003B11BD">
              <w:rPr>
                <w:noProof/>
              </w:rPr>
              <w:t xml:space="preserve"> </w:t>
            </w:r>
            <w:r w:rsidR="007331BE" w:rsidRPr="003B11BD">
              <w:rPr>
                <w:noProof/>
              </w:rPr>
              <w:t xml:space="preserve">in order to </w:t>
            </w:r>
            <w:r w:rsidR="001F5676" w:rsidRPr="003B11BD">
              <w:rPr>
                <w:noProof/>
              </w:rPr>
              <w:t>the trigger an EU-</w:t>
            </w:r>
            <w:r w:rsidRPr="003B11BD">
              <w:rPr>
                <w:noProof/>
              </w:rPr>
              <w:t xml:space="preserve">level </w:t>
            </w:r>
            <w:r w:rsidR="00E6068C" w:rsidRPr="003B11BD">
              <w:rPr>
                <w:noProof/>
              </w:rPr>
              <w:t xml:space="preserve">compulsory licensing </w:t>
            </w:r>
            <w:r w:rsidR="00894905" w:rsidRPr="003B11BD">
              <w:rPr>
                <w:noProof/>
              </w:rPr>
              <w:t>(the exact</w:t>
            </w:r>
            <w:r w:rsidR="007331BE" w:rsidRPr="003B11BD">
              <w:rPr>
                <w:noProof/>
              </w:rPr>
              <w:t xml:space="preserve"> choice of instrument will depend on the type of crisis)</w:t>
            </w:r>
            <w:r w:rsidRPr="003B11BD">
              <w:rPr>
                <w:noProof/>
              </w:rPr>
              <w:t xml:space="preserve">. </w:t>
            </w:r>
            <w:r w:rsidR="00777FFE" w:rsidRPr="003B11BD">
              <w:rPr>
                <w:noProof/>
              </w:rPr>
              <w:t xml:space="preserve">PO4 </w:t>
            </w:r>
            <w:r w:rsidRPr="003B11BD">
              <w:rPr>
                <w:noProof/>
              </w:rPr>
              <w:t xml:space="preserve">would </w:t>
            </w:r>
            <w:r w:rsidR="007331BE" w:rsidRPr="003B11BD">
              <w:rPr>
                <w:noProof/>
              </w:rPr>
              <w:t xml:space="preserve">also </w:t>
            </w:r>
            <w:r w:rsidRPr="003B11BD">
              <w:rPr>
                <w:noProof/>
              </w:rPr>
              <w:t xml:space="preserve">support </w:t>
            </w:r>
            <w:r w:rsidR="002D606C" w:rsidRPr="003B11BD">
              <w:rPr>
                <w:noProof/>
              </w:rPr>
              <w:t xml:space="preserve">non-EU </w:t>
            </w:r>
            <w:r w:rsidRPr="003B11BD">
              <w:rPr>
                <w:noProof/>
              </w:rPr>
              <w:t xml:space="preserve">countries needing to rely on </w:t>
            </w:r>
            <w:r w:rsidR="00E6068C" w:rsidRPr="003B11BD">
              <w:rPr>
                <w:noProof/>
              </w:rPr>
              <w:t xml:space="preserve">compulsory licensing </w:t>
            </w:r>
            <w:r w:rsidRPr="003B11BD">
              <w:rPr>
                <w:noProof/>
              </w:rPr>
              <w:t>in the EU.</w:t>
            </w:r>
          </w:p>
        </w:tc>
      </w:tr>
    </w:tbl>
    <w:p w14:paraId="6C37B3D6" w14:textId="5C880E6E" w:rsidR="001F5676" w:rsidRPr="003B11BD" w:rsidRDefault="003A3407" w:rsidP="00F70C72">
      <w:pPr>
        <w:rPr>
          <w:noProof/>
          <w:lang w:val="en-IE"/>
        </w:rPr>
      </w:pPr>
      <w:r w:rsidRPr="003B11BD">
        <w:rPr>
          <w:noProof/>
          <w:color w:val="000000" w:themeColor="text1"/>
          <w:lang w:val="en-IE"/>
        </w:rPr>
        <w:br/>
      </w:r>
      <w:r w:rsidR="00B86C94" w:rsidRPr="003B11BD">
        <w:rPr>
          <w:noProof/>
          <w:color w:val="000000" w:themeColor="text1"/>
          <w:lang w:val="en-IE"/>
        </w:rPr>
        <w:t>T</w:t>
      </w:r>
      <w:r w:rsidR="001548C8" w:rsidRPr="003B11BD">
        <w:rPr>
          <w:noProof/>
          <w:color w:val="000000" w:themeColor="text1"/>
          <w:lang w:val="en-IE"/>
        </w:rPr>
        <w:t xml:space="preserve">he impacts </w:t>
      </w:r>
      <w:r w:rsidR="00B86C94" w:rsidRPr="003B11BD">
        <w:rPr>
          <w:noProof/>
          <w:color w:val="000000" w:themeColor="text1"/>
          <w:lang w:val="en-IE"/>
        </w:rPr>
        <w:t xml:space="preserve">of the preferred option </w:t>
      </w:r>
      <w:r w:rsidR="001548C8" w:rsidRPr="003B11BD">
        <w:rPr>
          <w:noProof/>
          <w:color w:val="000000" w:themeColor="text1"/>
          <w:lang w:val="en-IE"/>
        </w:rPr>
        <w:t xml:space="preserve">on stakeholders </w:t>
      </w:r>
      <w:r w:rsidR="00B86C94" w:rsidRPr="003B11BD">
        <w:rPr>
          <w:noProof/>
          <w:color w:val="000000" w:themeColor="text1"/>
          <w:lang w:val="en-IE"/>
        </w:rPr>
        <w:t xml:space="preserve">were discussed in section 6.4.4. They can be summarized as follows: </w:t>
      </w:r>
      <w:r w:rsidR="001548C8" w:rsidRPr="003B11BD">
        <w:rPr>
          <w:noProof/>
          <w:color w:val="000000" w:themeColor="text1"/>
          <w:lang w:val="en-IE"/>
        </w:rPr>
        <w:t xml:space="preserve">the </w:t>
      </w:r>
      <w:r w:rsidR="00F70C72" w:rsidRPr="003B11BD">
        <w:rPr>
          <w:noProof/>
          <w:color w:val="000000" w:themeColor="text1"/>
          <w:lang w:val="en-IE"/>
        </w:rPr>
        <w:t xml:space="preserve">preferred option </w:t>
      </w:r>
      <w:r w:rsidR="001548C8" w:rsidRPr="003B11BD">
        <w:rPr>
          <w:noProof/>
          <w:color w:val="000000" w:themeColor="text1"/>
          <w:lang w:val="en-IE"/>
        </w:rPr>
        <w:t>(PO4)</w:t>
      </w:r>
      <w:r w:rsidR="00B86C94" w:rsidRPr="003B11BD">
        <w:rPr>
          <w:noProof/>
          <w:color w:val="000000" w:themeColor="text1"/>
          <w:lang w:val="en-IE"/>
        </w:rPr>
        <w:t xml:space="preserve"> is more</w:t>
      </w:r>
      <w:r w:rsidR="00945575" w:rsidRPr="003B11BD">
        <w:rPr>
          <w:noProof/>
          <w:color w:val="000000" w:themeColor="text1"/>
          <w:lang w:val="en-IE"/>
        </w:rPr>
        <w:t xml:space="preserve"> effective as it </w:t>
      </w:r>
      <w:r w:rsidR="001151DF" w:rsidRPr="003B11BD">
        <w:rPr>
          <w:noProof/>
          <w:color w:val="000000" w:themeColor="text1"/>
          <w:lang w:val="en-IE"/>
        </w:rPr>
        <w:t>(i) remove</w:t>
      </w:r>
      <w:r w:rsidR="00B3785B" w:rsidRPr="003B11BD">
        <w:rPr>
          <w:noProof/>
          <w:color w:val="000000" w:themeColor="text1"/>
          <w:lang w:val="en-IE"/>
        </w:rPr>
        <w:t xml:space="preserve">s fragmentation and provides more </w:t>
      </w:r>
      <w:r w:rsidR="00945575" w:rsidRPr="003B11BD">
        <w:rPr>
          <w:noProof/>
          <w:color w:val="000000" w:themeColor="text1"/>
          <w:lang w:val="en-IE"/>
        </w:rPr>
        <w:t>clarity and coherence on the features of comp</w:t>
      </w:r>
      <w:r w:rsidR="001151DF" w:rsidRPr="003B11BD">
        <w:rPr>
          <w:noProof/>
          <w:color w:val="000000" w:themeColor="text1"/>
          <w:lang w:val="en-IE"/>
        </w:rPr>
        <w:t>ulsory licensing for crisis management; (ii) provides an adequate territorial reach able to cover cross-border crises and supply chains; (iii)</w:t>
      </w:r>
      <w:r w:rsidR="00B3785B" w:rsidRPr="003B11BD">
        <w:rPr>
          <w:noProof/>
          <w:color w:val="000000" w:themeColor="text1"/>
          <w:lang w:val="en-IE"/>
        </w:rPr>
        <w:t xml:space="preserve"> provides</w:t>
      </w:r>
      <w:r w:rsidR="003B5DCA" w:rsidRPr="003B11BD">
        <w:rPr>
          <w:noProof/>
          <w:color w:val="000000" w:themeColor="text1"/>
          <w:lang w:val="en-IE"/>
        </w:rPr>
        <w:t xml:space="preserve"> alignment with EU-crisis instruments. The impact on </w:t>
      </w:r>
      <w:r w:rsidR="00270487" w:rsidRPr="003B11BD">
        <w:rPr>
          <w:b/>
          <w:noProof/>
          <w:color w:val="000000" w:themeColor="text1"/>
          <w:lang w:val="en-IE"/>
        </w:rPr>
        <w:t>EU countries</w:t>
      </w:r>
      <w:r w:rsidR="003B5DCA" w:rsidRPr="003B11BD">
        <w:rPr>
          <w:noProof/>
          <w:color w:val="000000" w:themeColor="text1"/>
          <w:lang w:val="en-IE"/>
        </w:rPr>
        <w:t xml:space="preserve"> would be positive as it would increase </w:t>
      </w:r>
      <w:r w:rsidR="007179E5" w:rsidRPr="003B11BD">
        <w:rPr>
          <w:noProof/>
          <w:color w:val="000000" w:themeColor="text1"/>
          <w:lang w:val="en-IE"/>
        </w:rPr>
        <w:t>their</w:t>
      </w:r>
      <w:r w:rsidR="003B5DCA" w:rsidRPr="003B11BD">
        <w:rPr>
          <w:noProof/>
          <w:color w:val="000000" w:themeColor="text1"/>
          <w:lang w:val="en-IE"/>
        </w:rPr>
        <w:t xml:space="preserve"> ability to tackle cross-border crises in</w:t>
      </w:r>
      <w:r w:rsidR="00F9094C" w:rsidRPr="003B11BD">
        <w:rPr>
          <w:noProof/>
          <w:color w:val="000000" w:themeColor="text1"/>
          <w:lang w:val="en-IE"/>
        </w:rPr>
        <w:t xml:space="preserve"> a coherent and efficient way. </w:t>
      </w:r>
      <w:r w:rsidR="003B5DCA" w:rsidRPr="003B11BD">
        <w:rPr>
          <w:noProof/>
          <w:color w:val="000000" w:themeColor="text1"/>
          <w:lang w:val="en-IE"/>
        </w:rPr>
        <w:t xml:space="preserve">Member States would benefit from a reduction of </w:t>
      </w:r>
      <w:r w:rsidR="00314B12" w:rsidRPr="003B11BD">
        <w:rPr>
          <w:noProof/>
          <w:color w:val="000000" w:themeColor="text1"/>
          <w:lang w:val="en-IE"/>
        </w:rPr>
        <w:t xml:space="preserve">enforcement </w:t>
      </w:r>
      <w:r w:rsidR="003B5DCA" w:rsidRPr="003B11BD">
        <w:rPr>
          <w:noProof/>
          <w:color w:val="000000" w:themeColor="text1"/>
          <w:lang w:val="en-IE"/>
        </w:rPr>
        <w:t xml:space="preserve">cost as </w:t>
      </w:r>
      <w:r w:rsidR="00D82C53" w:rsidRPr="003B11BD">
        <w:rPr>
          <w:noProof/>
          <w:color w:val="000000" w:themeColor="text1"/>
          <w:lang w:val="en-IE"/>
        </w:rPr>
        <w:t xml:space="preserve">negotiation would be centralised at EU level. </w:t>
      </w:r>
      <w:r w:rsidR="00150955" w:rsidRPr="003B11BD">
        <w:rPr>
          <w:b/>
          <w:noProof/>
          <w:color w:val="000000" w:themeColor="text1"/>
          <w:lang w:val="en-IE"/>
        </w:rPr>
        <w:t>EU c</w:t>
      </w:r>
      <w:r w:rsidR="00D82C53" w:rsidRPr="003B11BD">
        <w:rPr>
          <w:b/>
          <w:noProof/>
          <w:color w:val="000000" w:themeColor="text1"/>
          <w:lang w:val="en-IE"/>
        </w:rPr>
        <w:t>itizens</w:t>
      </w:r>
      <w:r w:rsidR="00D82C53" w:rsidRPr="003B11BD">
        <w:rPr>
          <w:noProof/>
          <w:color w:val="000000" w:themeColor="text1"/>
          <w:lang w:val="en-IE"/>
        </w:rPr>
        <w:t xml:space="preserve"> would also benefit from th</w:t>
      </w:r>
      <w:r w:rsidR="00873EFE" w:rsidRPr="003B11BD">
        <w:rPr>
          <w:noProof/>
          <w:color w:val="000000" w:themeColor="text1"/>
          <w:lang w:val="en-IE"/>
        </w:rPr>
        <w:t>is initiative as it improve</w:t>
      </w:r>
      <w:r w:rsidR="00003505" w:rsidRPr="003B11BD">
        <w:rPr>
          <w:noProof/>
          <w:color w:val="000000" w:themeColor="text1"/>
          <w:lang w:val="en-IE"/>
        </w:rPr>
        <w:t>s the ability of the EU</w:t>
      </w:r>
      <w:r w:rsidR="00873EFE" w:rsidRPr="003B11BD">
        <w:rPr>
          <w:noProof/>
          <w:color w:val="000000" w:themeColor="text1"/>
          <w:lang w:val="en-IE"/>
        </w:rPr>
        <w:t xml:space="preserve"> to t</w:t>
      </w:r>
      <w:r w:rsidR="00150955" w:rsidRPr="003B11BD">
        <w:rPr>
          <w:noProof/>
          <w:color w:val="000000" w:themeColor="text1"/>
          <w:lang w:val="en-IE"/>
        </w:rPr>
        <w:t xml:space="preserve">ake full advantage of the </w:t>
      </w:r>
      <w:r w:rsidR="00D43F3F" w:rsidRPr="003B11BD">
        <w:rPr>
          <w:noProof/>
          <w:color w:val="000000" w:themeColor="text1"/>
          <w:lang w:val="en-IE"/>
        </w:rPr>
        <w:t>Single Market</w:t>
      </w:r>
      <w:r w:rsidR="00873EFE" w:rsidRPr="003B11BD">
        <w:rPr>
          <w:noProof/>
          <w:color w:val="000000" w:themeColor="text1"/>
          <w:lang w:val="en-IE"/>
        </w:rPr>
        <w:t xml:space="preserve"> and to provide access to critical goods in crises. </w:t>
      </w:r>
      <w:r w:rsidR="00150955" w:rsidRPr="003B11BD">
        <w:rPr>
          <w:noProof/>
          <w:color w:val="000000" w:themeColor="text1"/>
          <w:lang w:val="en-IE"/>
        </w:rPr>
        <w:t xml:space="preserve">For </w:t>
      </w:r>
      <w:r w:rsidR="00150955" w:rsidRPr="003B11BD">
        <w:rPr>
          <w:b/>
          <w:noProof/>
          <w:color w:val="000000" w:themeColor="text1"/>
          <w:lang w:val="en-IE"/>
        </w:rPr>
        <w:t>p</w:t>
      </w:r>
      <w:r w:rsidR="00873EFE" w:rsidRPr="003B11BD">
        <w:rPr>
          <w:b/>
          <w:noProof/>
          <w:color w:val="000000" w:themeColor="text1"/>
          <w:lang w:val="en-IE"/>
        </w:rPr>
        <w:t>atent owners</w:t>
      </w:r>
      <w:r w:rsidR="00150955" w:rsidRPr="003B11BD">
        <w:rPr>
          <w:b/>
          <w:noProof/>
          <w:color w:val="000000" w:themeColor="text1"/>
          <w:lang w:val="en-IE"/>
        </w:rPr>
        <w:t>,</w:t>
      </w:r>
      <w:r w:rsidR="00873EFE" w:rsidRPr="003B11BD">
        <w:rPr>
          <w:noProof/>
          <w:color w:val="000000" w:themeColor="text1"/>
          <w:lang w:val="en-IE"/>
        </w:rPr>
        <w:t xml:space="preserve"> </w:t>
      </w:r>
      <w:r w:rsidR="00150955" w:rsidRPr="003B11BD">
        <w:rPr>
          <w:noProof/>
          <w:color w:val="000000" w:themeColor="text1"/>
          <w:lang w:val="en-IE"/>
        </w:rPr>
        <w:t>t</w:t>
      </w:r>
      <w:r w:rsidR="0078795E" w:rsidRPr="003B11BD">
        <w:rPr>
          <w:noProof/>
          <w:color w:val="000000" w:themeColor="text1"/>
          <w:lang w:val="en-IE"/>
        </w:rPr>
        <w:t xml:space="preserve">his initiative would indeed remove </w:t>
      </w:r>
      <w:r w:rsidR="00E6068C" w:rsidRPr="003B11BD">
        <w:rPr>
          <w:noProof/>
          <w:color w:val="000000" w:themeColor="text1"/>
          <w:lang w:val="en-IE"/>
        </w:rPr>
        <w:t xml:space="preserve">compulsory licensing </w:t>
      </w:r>
      <w:r w:rsidR="00003505" w:rsidRPr="003B11BD">
        <w:rPr>
          <w:noProof/>
          <w:color w:val="000000" w:themeColor="text1"/>
          <w:lang w:val="en-IE"/>
        </w:rPr>
        <w:t>fragmentation in the EU and costs associated with</w:t>
      </w:r>
      <w:r w:rsidR="0078795E" w:rsidRPr="003B11BD">
        <w:rPr>
          <w:noProof/>
          <w:color w:val="000000" w:themeColor="text1"/>
          <w:lang w:val="en-IE"/>
        </w:rPr>
        <w:t xml:space="preserve"> the participation in multiple </w:t>
      </w:r>
      <w:r w:rsidR="00150955" w:rsidRPr="003B11BD">
        <w:rPr>
          <w:noProof/>
          <w:color w:val="000000" w:themeColor="text1"/>
          <w:lang w:val="en-IE"/>
        </w:rPr>
        <w:t>national procedures</w:t>
      </w:r>
      <w:r w:rsidR="0078795E" w:rsidRPr="003B11BD">
        <w:rPr>
          <w:noProof/>
          <w:color w:val="000000" w:themeColor="text1"/>
          <w:lang w:val="en-IE"/>
        </w:rPr>
        <w:t xml:space="preserve">. However, </w:t>
      </w:r>
      <w:r w:rsidR="007976EA" w:rsidRPr="003B11BD">
        <w:rPr>
          <w:noProof/>
          <w:color w:val="000000" w:themeColor="text1"/>
          <w:lang w:val="en-IE"/>
        </w:rPr>
        <w:t>in the event of a</w:t>
      </w:r>
      <w:r w:rsidR="00917D55" w:rsidRPr="003B11BD">
        <w:rPr>
          <w:noProof/>
          <w:color w:val="000000" w:themeColor="text1"/>
          <w:lang w:val="en-IE"/>
        </w:rPr>
        <w:t xml:space="preserve"> broader geographical scope of a CL, wider loss of control over patent rights</w:t>
      </w:r>
      <w:r w:rsidR="00E915B0" w:rsidRPr="003B11BD">
        <w:rPr>
          <w:noProof/>
          <w:color w:val="000000" w:themeColor="text1"/>
          <w:lang w:val="en-IE"/>
        </w:rPr>
        <w:t>.</w:t>
      </w:r>
      <w:r w:rsidR="00917D55" w:rsidRPr="003B11BD">
        <w:rPr>
          <w:noProof/>
          <w:color w:val="000000" w:themeColor="text1"/>
          <w:lang w:val="en-IE"/>
        </w:rPr>
        <w:t xml:space="preserve"> </w:t>
      </w:r>
      <w:r w:rsidR="00A22F06" w:rsidRPr="003B11BD">
        <w:rPr>
          <w:noProof/>
          <w:color w:val="000000" w:themeColor="text1"/>
          <w:lang w:val="en-IE"/>
        </w:rPr>
        <w:t>This impact is however limited as compulsory licensing is an exceptional measure. In addition, patent owner</w:t>
      </w:r>
      <w:r w:rsidR="00003505" w:rsidRPr="003B11BD">
        <w:rPr>
          <w:noProof/>
          <w:color w:val="000000" w:themeColor="text1"/>
          <w:lang w:val="en-IE"/>
        </w:rPr>
        <w:t>s</w:t>
      </w:r>
      <w:r w:rsidR="00A22F06" w:rsidRPr="003B11BD">
        <w:rPr>
          <w:noProof/>
          <w:color w:val="000000" w:themeColor="text1"/>
          <w:lang w:val="en-IE"/>
        </w:rPr>
        <w:t xml:space="preserve"> would still benefit from a remuneration and the limitation of their right would be for a definite </w:t>
      </w:r>
      <w:r w:rsidR="00D51E89" w:rsidRPr="003B11BD">
        <w:rPr>
          <w:noProof/>
          <w:color w:val="000000" w:themeColor="text1"/>
          <w:lang w:val="en-IE"/>
        </w:rPr>
        <w:t>period</w:t>
      </w:r>
      <w:r w:rsidR="00A01FDD" w:rsidRPr="003B11BD">
        <w:rPr>
          <w:noProof/>
          <w:color w:val="000000" w:themeColor="text1"/>
          <w:lang w:val="en-IE"/>
        </w:rPr>
        <w:t>. In addition, this solution would generally only apply once voluntary agreements were not available.</w:t>
      </w:r>
      <w:r w:rsidR="00003505" w:rsidRPr="003B11BD">
        <w:rPr>
          <w:noProof/>
          <w:color w:val="000000" w:themeColor="text1"/>
          <w:lang w:val="en-IE"/>
        </w:rPr>
        <w:t xml:space="preserve"> </w:t>
      </w:r>
      <w:r w:rsidR="00003505" w:rsidRPr="003B11BD">
        <w:rPr>
          <w:b/>
          <w:noProof/>
          <w:color w:val="000000" w:themeColor="text1"/>
          <w:lang w:val="en-IE"/>
        </w:rPr>
        <w:t>P</w:t>
      </w:r>
      <w:r w:rsidR="00003505" w:rsidRPr="003B11BD" w:rsidDel="00703A67">
        <w:rPr>
          <w:b/>
          <w:noProof/>
          <w:lang w:val="en-IE"/>
        </w:rPr>
        <w:t>otential licensees</w:t>
      </w:r>
      <w:r w:rsidR="00003505" w:rsidRPr="003B11BD" w:rsidDel="00703A67">
        <w:rPr>
          <w:noProof/>
          <w:lang w:val="en-IE"/>
        </w:rPr>
        <w:t xml:space="preserve"> would benefit from </w:t>
      </w:r>
      <w:r w:rsidR="00E915B0" w:rsidRPr="003B11BD">
        <w:rPr>
          <w:noProof/>
          <w:lang w:val="en-IE"/>
        </w:rPr>
        <w:t xml:space="preserve">administrative savings due to </w:t>
      </w:r>
      <w:r w:rsidR="00003505" w:rsidRPr="003B11BD" w:rsidDel="00703A67">
        <w:rPr>
          <w:noProof/>
          <w:lang w:val="en-IE"/>
        </w:rPr>
        <w:t>the centralised procedur</w:t>
      </w:r>
      <w:r w:rsidR="00E915B0" w:rsidRPr="003B11BD">
        <w:rPr>
          <w:noProof/>
          <w:lang w:val="en-IE"/>
        </w:rPr>
        <w:t>e</w:t>
      </w:r>
      <w:r w:rsidR="00003505" w:rsidRPr="003B11BD" w:rsidDel="00703A67">
        <w:rPr>
          <w:noProof/>
          <w:lang w:val="en-IE"/>
        </w:rPr>
        <w:t xml:space="preserve"> </w:t>
      </w:r>
      <w:r w:rsidR="00E915B0" w:rsidRPr="003B11BD">
        <w:rPr>
          <w:noProof/>
          <w:lang w:val="en-IE"/>
        </w:rPr>
        <w:t>and</w:t>
      </w:r>
      <w:r w:rsidR="00003505" w:rsidRPr="003B11BD" w:rsidDel="00703A67">
        <w:rPr>
          <w:noProof/>
          <w:lang w:val="en-IE"/>
        </w:rPr>
        <w:t xml:space="preserve"> economies of </w:t>
      </w:r>
      <w:r w:rsidR="00E915B0" w:rsidRPr="003B11BD">
        <w:rPr>
          <w:noProof/>
          <w:lang w:val="en-IE"/>
        </w:rPr>
        <w:t xml:space="preserve">scale </w:t>
      </w:r>
      <w:r w:rsidR="007D7CA8" w:rsidRPr="003B11BD">
        <w:rPr>
          <w:noProof/>
          <w:lang w:val="en-IE"/>
        </w:rPr>
        <w:t xml:space="preserve">if its results in </w:t>
      </w:r>
      <w:r w:rsidR="007D7CA8" w:rsidRPr="003B11BD" w:rsidDel="00703A67">
        <w:rPr>
          <w:noProof/>
          <w:lang w:val="en-IE"/>
        </w:rPr>
        <w:t>wide</w:t>
      </w:r>
      <w:r w:rsidR="007D7CA8" w:rsidRPr="003B11BD">
        <w:rPr>
          <w:noProof/>
          <w:lang w:val="en-IE"/>
        </w:rPr>
        <w:t>r</w:t>
      </w:r>
      <w:r w:rsidR="007D7CA8" w:rsidRPr="003B11BD" w:rsidDel="00703A67">
        <w:rPr>
          <w:noProof/>
          <w:lang w:val="en-IE"/>
        </w:rPr>
        <w:t xml:space="preserve"> territorial scope</w:t>
      </w:r>
      <w:r w:rsidR="00E915B0" w:rsidRPr="003B11BD">
        <w:rPr>
          <w:noProof/>
          <w:lang w:val="en-IE"/>
        </w:rPr>
        <w:t xml:space="preserve"> of the CL</w:t>
      </w:r>
      <w:r w:rsidR="00003505" w:rsidRPr="003B11BD">
        <w:rPr>
          <w:noProof/>
          <w:lang w:val="en-IE"/>
        </w:rPr>
        <w:t>.</w:t>
      </w:r>
      <w:r w:rsidR="00003505" w:rsidRPr="003B11BD">
        <w:rPr>
          <w:noProof/>
          <w:color w:val="000000" w:themeColor="text1"/>
          <w:lang w:val="en-IE"/>
        </w:rPr>
        <w:t xml:space="preserve"> </w:t>
      </w:r>
      <w:r w:rsidR="00EF1136" w:rsidRPr="003B11BD">
        <w:rPr>
          <w:b/>
          <w:noProof/>
          <w:lang w:val="en-IE"/>
        </w:rPr>
        <w:t>Non-EU</w:t>
      </w:r>
      <w:r w:rsidR="00003505" w:rsidRPr="003B11BD" w:rsidDel="00703A67">
        <w:rPr>
          <w:b/>
          <w:noProof/>
          <w:lang w:val="en-IE"/>
        </w:rPr>
        <w:t xml:space="preserve"> countries</w:t>
      </w:r>
      <w:r w:rsidR="00003505" w:rsidRPr="003B11BD" w:rsidDel="00703A67">
        <w:rPr>
          <w:noProof/>
          <w:lang w:val="en-IE"/>
        </w:rPr>
        <w:t xml:space="preserve"> would also benefit from this </w:t>
      </w:r>
      <w:r w:rsidR="00003505" w:rsidRPr="003B11BD">
        <w:rPr>
          <w:noProof/>
          <w:lang w:val="en-IE"/>
        </w:rPr>
        <w:t>initiative</w:t>
      </w:r>
      <w:r w:rsidR="00003505" w:rsidRPr="003B11BD" w:rsidDel="00703A67">
        <w:rPr>
          <w:noProof/>
          <w:lang w:val="en-IE"/>
        </w:rPr>
        <w:t xml:space="preserve"> as </w:t>
      </w:r>
      <w:r w:rsidR="00E915B0" w:rsidRPr="003B11BD">
        <w:rPr>
          <w:noProof/>
          <w:lang w:val="en-IE"/>
        </w:rPr>
        <w:t>it</w:t>
      </w:r>
      <w:r w:rsidR="00E915B0" w:rsidRPr="003B11BD" w:rsidDel="00703A67">
        <w:rPr>
          <w:noProof/>
          <w:lang w:val="en-IE"/>
        </w:rPr>
        <w:t xml:space="preserve"> </w:t>
      </w:r>
      <w:r w:rsidR="00E915B0" w:rsidRPr="003B11BD">
        <w:rPr>
          <w:noProof/>
          <w:lang w:val="en-IE"/>
        </w:rPr>
        <w:t>sh</w:t>
      </w:r>
      <w:r w:rsidR="00003505" w:rsidRPr="003B11BD" w:rsidDel="00703A67">
        <w:rPr>
          <w:noProof/>
          <w:lang w:val="en-IE"/>
        </w:rPr>
        <w:t xml:space="preserve">ould </w:t>
      </w:r>
      <w:r w:rsidR="00E915B0" w:rsidRPr="003B11BD">
        <w:rPr>
          <w:noProof/>
          <w:lang w:val="en-IE"/>
        </w:rPr>
        <w:t xml:space="preserve">facilitate access to </w:t>
      </w:r>
      <w:r w:rsidR="00003505" w:rsidRPr="003B11BD" w:rsidDel="00703A67">
        <w:rPr>
          <w:noProof/>
          <w:lang w:val="en-IE"/>
        </w:rPr>
        <w:t>a compulsory licence covering a cross-border supply chain.</w:t>
      </w:r>
      <w:r w:rsidR="001F5676" w:rsidRPr="003B11BD">
        <w:rPr>
          <w:noProof/>
          <w:lang w:val="en-IE"/>
        </w:rPr>
        <w:t xml:space="preserve"> </w:t>
      </w:r>
    </w:p>
    <w:p w14:paraId="4F1B4B3C" w14:textId="1D910615" w:rsidR="000146A6" w:rsidRPr="003B11BD" w:rsidRDefault="000146A6" w:rsidP="00F70C72">
      <w:pPr>
        <w:rPr>
          <w:noProof/>
          <w:color w:val="000000" w:themeColor="text1"/>
          <w:lang w:val="en-IE"/>
        </w:rPr>
      </w:pPr>
      <w:r w:rsidRPr="003B11BD">
        <w:rPr>
          <w:noProof/>
          <w:color w:val="000000" w:themeColor="text1"/>
          <w:lang w:val="en-IE"/>
        </w:rPr>
        <w:t xml:space="preserve">Finally, the EU-level </w:t>
      </w:r>
      <w:r w:rsidR="00E6068C" w:rsidRPr="003B11BD">
        <w:rPr>
          <w:noProof/>
          <w:color w:val="000000" w:themeColor="text1"/>
          <w:lang w:val="en-IE"/>
        </w:rPr>
        <w:t xml:space="preserve">compulsory licensing </w:t>
      </w:r>
      <w:r w:rsidRPr="003B11BD">
        <w:rPr>
          <w:noProof/>
          <w:color w:val="000000" w:themeColor="text1"/>
          <w:lang w:val="en-IE"/>
        </w:rPr>
        <w:t xml:space="preserve">rules would be proportionate and limited to provisions essential to tackle a cross-border crisis. The EU level </w:t>
      </w:r>
      <w:r w:rsidR="00E6068C" w:rsidRPr="003B11BD">
        <w:rPr>
          <w:noProof/>
          <w:color w:val="000000" w:themeColor="text1"/>
          <w:lang w:val="en-IE"/>
        </w:rPr>
        <w:t xml:space="preserve">compulsory licensing </w:t>
      </w:r>
      <w:r w:rsidRPr="003B11BD">
        <w:rPr>
          <w:noProof/>
          <w:color w:val="000000" w:themeColor="text1"/>
          <w:lang w:val="en-IE"/>
        </w:rPr>
        <w:t xml:space="preserve">decision would limit </w:t>
      </w:r>
      <w:r w:rsidR="00B4494C" w:rsidRPr="003B11BD">
        <w:rPr>
          <w:noProof/>
          <w:color w:val="000000" w:themeColor="text1"/>
          <w:lang w:val="en-IE"/>
        </w:rPr>
        <w:t>Member States</w:t>
      </w:r>
      <w:r w:rsidRPr="003B11BD">
        <w:rPr>
          <w:noProof/>
          <w:color w:val="000000" w:themeColor="text1"/>
          <w:lang w:val="en-IE"/>
        </w:rPr>
        <w:t xml:space="preserve"> empowerment only in exceptional circumstances. </w:t>
      </w:r>
      <w:r w:rsidR="00B4494C" w:rsidRPr="003B11BD">
        <w:rPr>
          <w:noProof/>
          <w:color w:val="000000" w:themeColor="text1"/>
          <w:lang w:val="en-IE"/>
        </w:rPr>
        <w:t>Member States</w:t>
      </w:r>
      <w:r w:rsidRPr="003B11BD">
        <w:rPr>
          <w:noProof/>
          <w:color w:val="000000" w:themeColor="text1"/>
          <w:lang w:val="en-IE"/>
        </w:rPr>
        <w:t xml:space="preserve"> retain competence for </w:t>
      </w:r>
      <w:r w:rsidR="00E6068C" w:rsidRPr="003B11BD">
        <w:rPr>
          <w:noProof/>
          <w:color w:val="000000" w:themeColor="text1"/>
          <w:lang w:val="en-IE"/>
        </w:rPr>
        <w:t xml:space="preserve">compulsory licensing </w:t>
      </w:r>
      <w:r w:rsidRPr="003B11BD">
        <w:rPr>
          <w:noProof/>
          <w:color w:val="000000" w:themeColor="text1"/>
          <w:lang w:val="en-IE"/>
        </w:rPr>
        <w:t>other than cross-border crisis managemen</w:t>
      </w:r>
      <w:r w:rsidR="00B4494C" w:rsidRPr="003B11BD">
        <w:rPr>
          <w:noProof/>
          <w:color w:val="000000" w:themeColor="text1"/>
          <w:lang w:val="en-IE"/>
        </w:rPr>
        <w:t xml:space="preserve">t and </w:t>
      </w:r>
      <w:r w:rsidRPr="003B11BD">
        <w:rPr>
          <w:noProof/>
          <w:color w:val="000000" w:themeColor="text1"/>
          <w:lang w:val="en-IE"/>
        </w:rPr>
        <w:t>will be consulted in the relevant (advisory) bodies throughout the process.</w:t>
      </w:r>
    </w:p>
    <w:p w14:paraId="0CA59936" w14:textId="5D0C1E7F" w:rsidR="000B1EDB" w:rsidRPr="003B11BD" w:rsidRDefault="00006638" w:rsidP="000B1EDB">
      <w:pPr>
        <w:pStyle w:val="Heading2"/>
        <w:rPr>
          <w:noProof/>
          <w:lang w:val="en-IE"/>
        </w:rPr>
      </w:pPr>
      <w:bookmarkStart w:id="1057" w:name="_Toc118026536"/>
      <w:bookmarkStart w:id="1058" w:name="_Toc113028882"/>
      <w:bookmarkStart w:id="1059" w:name="_Toc112951465"/>
      <w:bookmarkStart w:id="1060" w:name="_Toc112949725"/>
      <w:bookmarkStart w:id="1061" w:name="_Toc112927392"/>
      <w:bookmarkStart w:id="1062" w:name="_Toc112876746"/>
      <w:bookmarkStart w:id="1063" w:name="_Toc112876503"/>
      <w:bookmarkStart w:id="1064" w:name="_Toc112698927"/>
      <w:bookmarkStart w:id="1065" w:name="_Toc111831923"/>
      <w:bookmarkStart w:id="1066" w:name="_Toc111669826"/>
      <w:bookmarkStart w:id="1067" w:name="_Toc108989413"/>
      <w:bookmarkStart w:id="1068" w:name="_Toc108115267"/>
      <w:bookmarkStart w:id="1069" w:name="_Toc108108975"/>
      <w:bookmarkStart w:id="1070" w:name="_Toc98766907"/>
      <w:bookmarkStart w:id="1071" w:name="_Toc98501766"/>
      <w:bookmarkStart w:id="1072" w:name="_Toc36469554"/>
      <w:bookmarkStart w:id="1073" w:name="_Toc121489632"/>
      <w:bookmarkStart w:id="1074" w:name="_Toc121496392"/>
      <w:bookmarkStart w:id="1075" w:name="_Toc121748045"/>
      <w:bookmarkStart w:id="1076" w:name="_Toc133435399"/>
      <w:r w:rsidRPr="003B11BD">
        <w:rPr>
          <w:noProof/>
          <w:lang w:val="en-IE"/>
        </w:rPr>
        <w:t xml:space="preserve">REFIT </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rsidR="000B1EDB" w:rsidRPr="003B11BD">
        <w:rPr>
          <w:noProof/>
          <w:lang w:val="en-IE"/>
        </w:rPr>
        <w:t>and the application of the ‘one in, one out’ approach</w:t>
      </w:r>
      <w:bookmarkEnd w:id="1076"/>
    </w:p>
    <w:p w14:paraId="7A12E9A2" w14:textId="45CD1420" w:rsidR="00006638" w:rsidRPr="003B11BD" w:rsidRDefault="00DF4EEB" w:rsidP="00006638">
      <w:pPr>
        <w:rPr>
          <w:noProof/>
          <w:lang w:val="en-IE"/>
        </w:rPr>
      </w:pPr>
      <w:r w:rsidRPr="003B11BD">
        <w:rPr>
          <w:noProof/>
          <w:lang w:val="en-IE"/>
        </w:rPr>
        <w:t xml:space="preserve">This preferred </w:t>
      </w:r>
      <w:r w:rsidR="00C07F65" w:rsidRPr="003B11BD">
        <w:rPr>
          <w:noProof/>
          <w:lang w:val="en-IE"/>
        </w:rPr>
        <w:t>P</w:t>
      </w:r>
      <w:r w:rsidRPr="003B11BD">
        <w:rPr>
          <w:noProof/>
          <w:lang w:val="en-IE"/>
        </w:rPr>
        <w:t xml:space="preserve">O4 foresees the establishment of a new legal instrument where an EU-level </w:t>
      </w:r>
      <w:r w:rsidR="00E6068C" w:rsidRPr="003B11BD">
        <w:rPr>
          <w:noProof/>
          <w:lang w:val="en-IE"/>
        </w:rPr>
        <w:t xml:space="preserve">compulsory licensing </w:t>
      </w:r>
      <w:r w:rsidRPr="003B11BD">
        <w:rPr>
          <w:noProof/>
          <w:lang w:val="en-IE"/>
        </w:rPr>
        <w:t xml:space="preserve">could be granted in a </w:t>
      </w:r>
      <w:r w:rsidR="003204D3" w:rsidRPr="003B11BD">
        <w:rPr>
          <w:noProof/>
          <w:lang w:val="en-IE"/>
        </w:rPr>
        <w:t xml:space="preserve">cross-border </w:t>
      </w:r>
      <w:r w:rsidRPr="003B11BD">
        <w:rPr>
          <w:noProof/>
          <w:lang w:val="en-IE"/>
        </w:rPr>
        <w:t xml:space="preserve">crisis using a single procedure instead of several national procedures. </w:t>
      </w:r>
    </w:p>
    <w:p w14:paraId="4299E3F6" w14:textId="547547F8" w:rsidR="00006638" w:rsidRPr="003B11BD" w:rsidRDefault="00006638" w:rsidP="00006638">
      <w:pPr>
        <w:pStyle w:val="Caption"/>
        <w:keepNext/>
        <w:rPr>
          <w:noProof/>
          <w:lang w:val="en-IE"/>
        </w:rPr>
      </w:pPr>
      <w:r w:rsidRPr="003B11BD">
        <w:rPr>
          <w:noProof/>
          <w:lang w:val="en-IE"/>
        </w:rPr>
        <w:t xml:space="preserve">Table </w:t>
      </w:r>
      <w:r w:rsidR="00C6592A">
        <w:rPr>
          <w:noProof/>
          <w:lang w:val="en-IE"/>
        </w:rPr>
        <w:t>9</w:t>
      </w:r>
      <w:r w:rsidRPr="003B11BD">
        <w:rPr>
          <w:noProof/>
          <w:lang w:val="en-IE"/>
        </w:rPr>
        <w:t>: REFIT – cost savings</w:t>
      </w:r>
      <w:r w:rsidR="00F1145C" w:rsidRPr="003B11BD">
        <w:rPr>
          <w:noProof/>
          <w:lang w:val="en-IE"/>
        </w:rPr>
        <w:t xml:space="preserve"> related to the preferred option (PO4)</w:t>
      </w:r>
    </w:p>
    <w:tbl>
      <w:tblPr>
        <w:tblStyle w:val="CV13"/>
        <w:tblW w:w="8897" w:type="dxa"/>
        <w:tblLayout w:type="fixed"/>
        <w:tblLook w:val="04A0" w:firstRow="1" w:lastRow="0" w:firstColumn="1" w:lastColumn="0" w:noHBand="0" w:noVBand="1"/>
      </w:tblPr>
      <w:tblGrid>
        <w:gridCol w:w="1951"/>
        <w:gridCol w:w="2126"/>
        <w:gridCol w:w="4820"/>
      </w:tblGrid>
      <w:tr w:rsidR="00A5022B" w:rsidRPr="003B11BD" w14:paraId="6391A7E9" w14:textId="77777777" w:rsidTr="00AE00C8">
        <w:trPr>
          <w:trHeight w:val="218"/>
        </w:trPr>
        <w:tc>
          <w:tcPr>
            <w:tcW w:w="1951" w:type="dxa"/>
            <w:hideMark/>
          </w:tcPr>
          <w:p w14:paraId="25385BDE" w14:textId="77777777" w:rsidR="00006638" w:rsidRPr="003B11BD" w:rsidRDefault="00006638" w:rsidP="00F03230">
            <w:pPr>
              <w:pStyle w:val="Size10"/>
              <w:rPr>
                <w:b/>
                <w:noProof/>
              </w:rPr>
            </w:pPr>
            <w:r w:rsidRPr="003B11BD">
              <w:rPr>
                <w:b/>
                <w:noProof/>
              </w:rPr>
              <w:t>Description</w:t>
            </w:r>
          </w:p>
        </w:tc>
        <w:tc>
          <w:tcPr>
            <w:tcW w:w="2126" w:type="dxa"/>
            <w:hideMark/>
          </w:tcPr>
          <w:p w14:paraId="7E291C7A" w14:textId="77777777" w:rsidR="00006638" w:rsidRPr="003B11BD" w:rsidRDefault="00006638" w:rsidP="00F03230">
            <w:pPr>
              <w:pStyle w:val="Size10"/>
              <w:rPr>
                <w:b/>
                <w:noProof/>
              </w:rPr>
            </w:pPr>
            <w:r w:rsidRPr="003B11BD">
              <w:rPr>
                <w:b/>
                <w:noProof/>
              </w:rPr>
              <w:t>Amount</w:t>
            </w:r>
          </w:p>
        </w:tc>
        <w:tc>
          <w:tcPr>
            <w:tcW w:w="4820" w:type="dxa"/>
            <w:hideMark/>
          </w:tcPr>
          <w:p w14:paraId="0A366371" w14:textId="77777777" w:rsidR="00006638" w:rsidRPr="003B11BD" w:rsidRDefault="00006638" w:rsidP="00F03230">
            <w:pPr>
              <w:pStyle w:val="Size10"/>
              <w:rPr>
                <w:b/>
                <w:noProof/>
              </w:rPr>
            </w:pPr>
            <w:r w:rsidRPr="003B11BD">
              <w:rPr>
                <w:b/>
                <w:noProof/>
              </w:rPr>
              <w:t>Comments</w:t>
            </w:r>
          </w:p>
        </w:tc>
      </w:tr>
      <w:tr w:rsidR="0042136A" w:rsidRPr="003B11BD" w14:paraId="13F97DC3" w14:textId="77777777" w:rsidTr="00AE00C8">
        <w:tc>
          <w:tcPr>
            <w:tcW w:w="1951" w:type="dxa"/>
          </w:tcPr>
          <w:p w14:paraId="65E388E2" w14:textId="41B91C01" w:rsidR="00006638" w:rsidRPr="003B11BD" w:rsidRDefault="00D967DB" w:rsidP="00F03230">
            <w:pPr>
              <w:pStyle w:val="Size10"/>
              <w:rPr>
                <w:noProof/>
              </w:rPr>
            </w:pPr>
            <w:r w:rsidRPr="003B11BD">
              <w:rPr>
                <w:noProof/>
              </w:rPr>
              <w:t>Savings for patent holders</w:t>
            </w:r>
            <w:r w:rsidR="00011D9D" w:rsidRPr="003B11BD">
              <w:rPr>
                <w:noProof/>
              </w:rPr>
              <w:t xml:space="preserve"> </w:t>
            </w:r>
            <w:r w:rsidR="007D7CA8" w:rsidRPr="003B11BD">
              <w:rPr>
                <w:noProof/>
              </w:rPr>
              <w:t xml:space="preserve">and manufacturers </w:t>
            </w:r>
            <w:r w:rsidR="00563BC6" w:rsidRPr="003B11BD">
              <w:rPr>
                <w:noProof/>
              </w:rPr>
              <w:t>(</w:t>
            </w:r>
            <w:r w:rsidR="007D7CA8" w:rsidRPr="003B11BD">
              <w:rPr>
                <w:noProof/>
              </w:rPr>
              <w:t>potential licensees</w:t>
            </w:r>
            <w:r w:rsidR="00563BC6" w:rsidRPr="003B11BD">
              <w:rPr>
                <w:noProof/>
              </w:rPr>
              <w:t>)</w:t>
            </w:r>
            <w:r w:rsidR="00011D9D" w:rsidRPr="003B11BD">
              <w:rPr>
                <w:noProof/>
              </w:rPr>
              <w:t>.</w:t>
            </w:r>
          </w:p>
        </w:tc>
        <w:tc>
          <w:tcPr>
            <w:tcW w:w="2126" w:type="dxa"/>
          </w:tcPr>
          <w:p w14:paraId="65072DE0" w14:textId="0714CF9C" w:rsidR="00006638" w:rsidRPr="003B11BD" w:rsidRDefault="00D967DB" w:rsidP="00526B5C">
            <w:pPr>
              <w:pStyle w:val="Size10"/>
              <w:rPr>
                <w:noProof/>
              </w:rPr>
            </w:pPr>
            <w:r w:rsidRPr="003B11BD">
              <w:rPr>
                <w:noProof/>
              </w:rPr>
              <w:t>75%-80%</w:t>
            </w:r>
            <w:r w:rsidR="00AE00C8" w:rsidRPr="003B11BD">
              <w:rPr>
                <w:noProof/>
              </w:rPr>
              <w:t xml:space="preserve"> less</w:t>
            </w:r>
            <w:r w:rsidRPr="003B11BD">
              <w:rPr>
                <w:noProof/>
              </w:rPr>
              <w:t xml:space="preserve"> resources </w:t>
            </w:r>
            <w:r w:rsidR="00AE00C8" w:rsidRPr="003B11BD">
              <w:rPr>
                <w:noProof/>
              </w:rPr>
              <w:t>than in the baseline</w:t>
            </w:r>
            <w:r w:rsidR="00526B5C" w:rsidRPr="003B11BD">
              <w:rPr>
                <w:noProof/>
              </w:rPr>
              <w:t xml:space="preserve">, </w:t>
            </w:r>
            <w:r w:rsidR="007976EA" w:rsidRPr="003B11BD">
              <w:rPr>
                <w:noProof/>
              </w:rPr>
              <w:t>in the event of a</w:t>
            </w:r>
            <w:r w:rsidR="00AE00C8" w:rsidRPr="003B11BD">
              <w:rPr>
                <w:noProof/>
              </w:rPr>
              <w:t xml:space="preserve"> </w:t>
            </w:r>
            <w:r w:rsidR="007E6428" w:rsidRPr="003B11BD">
              <w:rPr>
                <w:noProof/>
              </w:rPr>
              <w:t xml:space="preserve">cross-border </w:t>
            </w:r>
            <w:r w:rsidR="00AE00C8" w:rsidRPr="003B11BD">
              <w:rPr>
                <w:noProof/>
              </w:rPr>
              <w:t>crisis</w:t>
            </w:r>
          </w:p>
        </w:tc>
        <w:tc>
          <w:tcPr>
            <w:tcW w:w="4820" w:type="dxa"/>
          </w:tcPr>
          <w:p w14:paraId="5F77DA2B" w14:textId="016FA61B" w:rsidR="00006638" w:rsidRPr="003B11BD" w:rsidRDefault="00D967DB" w:rsidP="00F03230">
            <w:pPr>
              <w:pStyle w:val="Size10"/>
              <w:rPr>
                <w:noProof/>
              </w:rPr>
            </w:pPr>
            <w:r w:rsidRPr="003B11BD">
              <w:rPr>
                <w:noProof/>
              </w:rPr>
              <w:t xml:space="preserve">The </w:t>
            </w:r>
            <w:r w:rsidR="00E6068C" w:rsidRPr="003B11BD">
              <w:rPr>
                <w:noProof/>
              </w:rPr>
              <w:t xml:space="preserve">compulsory licensing </w:t>
            </w:r>
            <w:r w:rsidRPr="003B11BD">
              <w:rPr>
                <w:noProof/>
              </w:rPr>
              <w:t xml:space="preserve">negotiations would take place only once at the EU-level instead of fragmented and overlapping processes in several </w:t>
            </w:r>
            <w:r w:rsidR="005E4F9D" w:rsidRPr="003B11BD">
              <w:rPr>
                <w:noProof/>
              </w:rPr>
              <w:t>EU countries</w:t>
            </w:r>
            <w:r w:rsidR="00037D80" w:rsidRPr="003B11BD">
              <w:rPr>
                <w:noProof/>
              </w:rPr>
              <w:t xml:space="preserve"> </w:t>
            </w:r>
            <w:r w:rsidRPr="003B11BD">
              <w:rPr>
                <w:noProof/>
              </w:rPr>
              <w:t xml:space="preserve">(or instead of </w:t>
            </w:r>
            <w:r w:rsidR="00F9094C" w:rsidRPr="003B11BD">
              <w:rPr>
                <w:noProof/>
              </w:rPr>
              <w:t>ca.</w:t>
            </w:r>
            <w:r w:rsidRPr="003B11BD">
              <w:rPr>
                <w:noProof/>
              </w:rPr>
              <w:t xml:space="preserve"> 4-5 procedures in each jurisdiction that could be needed otherwise). </w:t>
            </w:r>
          </w:p>
        </w:tc>
      </w:tr>
      <w:tr w:rsidR="0042136A" w:rsidRPr="003B11BD" w14:paraId="64C19382" w14:textId="77777777" w:rsidTr="00AE00C8">
        <w:tc>
          <w:tcPr>
            <w:tcW w:w="1951" w:type="dxa"/>
          </w:tcPr>
          <w:p w14:paraId="655A6905" w14:textId="54A22FBE" w:rsidR="00006638" w:rsidRPr="003B11BD" w:rsidRDefault="00D967DB" w:rsidP="00F03230">
            <w:pPr>
              <w:pStyle w:val="Size10"/>
              <w:rPr>
                <w:noProof/>
              </w:rPr>
            </w:pPr>
            <w:r w:rsidRPr="003B11BD">
              <w:rPr>
                <w:noProof/>
              </w:rPr>
              <w:t>Savings for MS administrations</w:t>
            </w:r>
            <w:r w:rsidR="00011D9D" w:rsidRPr="003B11BD">
              <w:rPr>
                <w:noProof/>
              </w:rPr>
              <w:t>.</w:t>
            </w:r>
          </w:p>
        </w:tc>
        <w:tc>
          <w:tcPr>
            <w:tcW w:w="2126" w:type="dxa"/>
          </w:tcPr>
          <w:p w14:paraId="587BD415" w14:textId="35E29D63" w:rsidR="00006638" w:rsidRPr="003B11BD" w:rsidRDefault="007D7CA8" w:rsidP="00F03230">
            <w:pPr>
              <w:pStyle w:val="Size10"/>
              <w:rPr>
                <w:noProof/>
              </w:rPr>
            </w:pPr>
            <w:r w:rsidRPr="003B11BD">
              <w:rPr>
                <w:noProof/>
              </w:rPr>
              <w:t>Impossible to estimate precisely</w:t>
            </w:r>
          </w:p>
        </w:tc>
        <w:tc>
          <w:tcPr>
            <w:tcW w:w="4820" w:type="dxa"/>
          </w:tcPr>
          <w:p w14:paraId="21841FB8" w14:textId="08EB2DCA" w:rsidR="00006638" w:rsidRPr="003B11BD" w:rsidRDefault="002162A7" w:rsidP="002162A7">
            <w:pPr>
              <w:pStyle w:val="Size10"/>
              <w:rPr>
                <w:noProof/>
              </w:rPr>
            </w:pPr>
            <w:r w:rsidRPr="003B11BD">
              <w:rPr>
                <w:noProof/>
              </w:rPr>
              <w:t xml:space="preserve">Cost of running </w:t>
            </w:r>
            <w:r w:rsidR="00E6068C" w:rsidRPr="003B11BD">
              <w:rPr>
                <w:noProof/>
              </w:rPr>
              <w:t xml:space="preserve">compulsory licensing </w:t>
            </w:r>
            <w:r w:rsidRPr="003B11BD">
              <w:rPr>
                <w:noProof/>
              </w:rPr>
              <w:t xml:space="preserve">negotiations </w:t>
            </w:r>
            <w:r w:rsidR="00BB1FD6" w:rsidRPr="003B11BD">
              <w:rPr>
                <w:noProof/>
              </w:rPr>
              <w:t>are expected to</w:t>
            </w:r>
            <w:r w:rsidR="007D7CA8" w:rsidRPr="003B11BD">
              <w:rPr>
                <w:noProof/>
              </w:rPr>
              <w:t xml:space="preserve"> decrease</w:t>
            </w:r>
            <w:r w:rsidR="00BB1FD6" w:rsidRPr="003B11BD">
              <w:rPr>
                <w:noProof/>
              </w:rPr>
              <w:t>,</w:t>
            </w:r>
            <w:r w:rsidR="007D7CA8" w:rsidRPr="003B11BD">
              <w:rPr>
                <w:noProof/>
              </w:rPr>
              <w:t xml:space="preserve"> as </w:t>
            </w:r>
            <w:r w:rsidRPr="003B11BD">
              <w:rPr>
                <w:noProof/>
              </w:rPr>
              <w:t xml:space="preserve">resources </w:t>
            </w:r>
            <w:r w:rsidR="00BB1FD6" w:rsidRPr="003B11BD">
              <w:rPr>
                <w:noProof/>
              </w:rPr>
              <w:t xml:space="preserve">would be </w:t>
            </w:r>
            <w:r w:rsidRPr="003B11BD">
              <w:rPr>
                <w:noProof/>
              </w:rPr>
              <w:t>shared at EU-level</w:t>
            </w:r>
            <w:r w:rsidR="007D7CA8" w:rsidRPr="003B11BD">
              <w:rPr>
                <w:noProof/>
              </w:rPr>
              <w:t xml:space="preserve">. </w:t>
            </w:r>
          </w:p>
        </w:tc>
      </w:tr>
    </w:tbl>
    <w:p w14:paraId="77C12962" w14:textId="5741F266" w:rsidR="00006638" w:rsidRPr="003B11BD" w:rsidRDefault="000B1EDB" w:rsidP="00006638">
      <w:pPr>
        <w:rPr>
          <w:noProof/>
          <w:lang w:val="en-IE"/>
        </w:rPr>
      </w:pPr>
      <w:r w:rsidRPr="003B11BD">
        <w:rPr>
          <w:noProof/>
          <w:lang w:val="en-IE"/>
        </w:rPr>
        <w:br/>
      </w:r>
      <w:r w:rsidR="0013635B" w:rsidRPr="003B11BD">
        <w:rPr>
          <w:noProof/>
          <w:lang w:val="en-IE"/>
        </w:rPr>
        <w:t xml:space="preserve">In </w:t>
      </w:r>
      <w:r w:rsidR="00037D80" w:rsidRPr="003B11BD">
        <w:rPr>
          <w:noProof/>
          <w:lang w:val="en-IE"/>
        </w:rPr>
        <w:t xml:space="preserve">the event </w:t>
      </w:r>
      <w:r w:rsidR="00FD20D7" w:rsidRPr="003B11BD">
        <w:rPr>
          <w:noProof/>
          <w:lang w:val="en-IE"/>
        </w:rPr>
        <w:t xml:space="preserve">of </w:t>
      </w:r>
      <w:r w:rsidR="00F1145C" w:rsidRPr="003B11BD">
        <w:rPr>
          <w:noProof/>
          <w:lang w:val="en-IE"/>
        </w:rPr>
        <w:t xml:space="preserve">an </w:t>
      </w:r>
      <w:r w:rsidR="00FD20D7" w:rsidRPr="003B11BD">
        <w:rPr>
          <w:noProof/>
          <w:lang w:val="en-IE"/>
        </w:rPr>
        <w:t>unforeseen future crisis, PO4</w:t>
      </w:r>
      <w:r w:rsidR="0013635B" w:rsidRPr="003B11BD">
        <w:rPr>
          <w:noProof/>
          <w:lang w:val="en-IE"/>
        </w:rPr>
        <w:t xml:space="preserve"> would lower the costs of participation in </w:t>
      </w:r>
      <w:r w:rsidR="00E6068C" w:rsidRPr="003B11BD">
        <w:rPr>
          <w:noProof/>
          <w:lang w:val="en-IE"/>
        </w:rPr>
        <w:t xml:space="preserve">compulsory licensing </w:t>
      </w:r>
      <w:r w:rsidR="00FD20D7" w:rsidRPr="003B11BD">
        <w:rPr>
          <w:noProof/>
          <w:lang w:val="en-IE"/>
        </w:rPr>
        <w:t>negotiations incurred by</w:t>
      </w:r>
      <w:r w:rsidR="007D7CA8" w:rsidRPr="003B11BD">
        <w:rPr>
          <w:noProof/>
          <w:lang w:val="en-IE"/>
        </w:rPr>
        <w:t xml:space="preserve"> patent</w:t>
      </w:r>
      <w:r w:rsidR="0013635B" w:rsidRPr="003B11BD">
        <w:rPr>
          <w:noProof/>
          <w:lang w:val="en-IE"/>
        </w:rPr>
        <w:t xml:space="preserve"> holders</w:t>
      </w:r>
      <w:r w:rsidR="007D7CA8" w:rsidRPr="003B11BD">
        <w:rPr>
          <w:noProof/>
          <w:lang w:val="en-IE"/>
        </w:rPr>
        <w:t>, manufacturers</w:t>
      </w:r>
      <w:r w:rsidR="00C07F65" w:rsidRPr="003B11BD">
        <w:rPr>
          <w:noProof/>
          <w:lang w:val="en-IE"/>
        </w:rPr>
        <w:t xml:space="preserve"> and </w:t>
      </w:r>
      <w:r w:rsidR="00FD20D7" w:rsidRPr="003B11BD">
        <w:rPr>
          <w:noProof/>
          <w:lang w:val="en-IE"/>
        </w:rPr>
        <w:t>Member States</w:t>
      </w:r>
      <w:r w:rsidR="00037D80" w:rsidRPr="003B11BD">
        <w:rPr>
          <w:noProof/>
          <w:lang w:val="en-IE"/>
        </w:rPr>
        <w:t xml:space="preserve"> (notwithstanding the identification of some minor administrative costs of reporting, which</w:t>
      </w:r>
      <w:r w:rsidR="001E6967" w:rsidRPr="003B11BD">
        <w:rPr>
          <w:noProof/>
          <w:lang w:val="en-IE"/>
        </w:rPr>
        <w:t xml:space="preserve"> may be</w:t>
      </w:r>
      <w:r w:rsidR="00037D80" w:rsidRPr="003B11BD">
        <w:rPr>
          <w:noProof/>
          <w:lang w:val="en-IE"/>
        </w:rPr>
        <w:t xml:space="preserve"> incurred by Member States and thus do not fall under the ‘one-in one-out’ </w:t>
      </w:r>
      <w:r w:rsidR="003C6513" w:rsidRPr="003B11BD">
        <w:rPr>
          <w:noProof/>
          <w:lang w:val="en-IE"/>
        </w:rPr>
        <w:t>approach</w:t>
      </w:r>
      <w:r w:rsidR="00037D80" w:rsidRPr="003B11BD">
        <w:rPr>
          <w:noProof/>
          <w:lang w:val="en-IE"/>
        </w:rPr>
        <w:t xml:space="preserve">). </w:t>
      </w:r>
      <w:r w:rsidR="00FD20D7" w:rsidRPr="003B11BD">
        <w:rPr>
          <w:noProof/>
          <w:lang w:val="en-IE"/>
        </w:rPr>
        <w:t xml:space="preserve">As far as the </w:t>
      </w:r>
      <w:r w:rsidR="007D7CA8" w:rsidRPr="003B11BD">
        <w:rPr>
          <w:noProof/>
          <w:lang w:val="en-IE"/>
        </w:rPr>
        <w:t>firms</w:t>
      </w:r>
      <w:r w:rsidR="00FD20D7" w:rsidRPr="003B11BD">
        <w:rPr>
          <w:noProof/>
          <w:lang w:val="en-IE"/>
        </w:rPr>
        <w:t xml:space="preserve"> are concerned, </w:t>
      </w:r>
      <w:r w:rsidR="00C07F65" w:rsidRPr="003B11BD">
        <w:rPr>
          <w:noProof/>
          <w:lang w:val="en-IE"/>
        </w:rPr>
        <w:t>such</w:t>
      </w:r>
      <w:r w:rsidR="00FD20D7" w:rsidRPr="003B11BD">
        <w:rPr>
          <w:noProof/>
          <w:lang w:val="en-IE"/>
        </w:rPr>
        <w:t xml:space="preserve"> costs could be lower by roughly 75% to 80% when compared to the </w:t>
      </w:r>
      <w:r w:rsidR="00FD20D7" w:rsidRPr="003B11BD">
        <w:rPr>
          <w:i/>
          <w:noProof/>
          <w:lang w:val="en-IE"/>
        </w:rPr>
        <w:t>status quo</w:t>
      </w:r>
      <w:r w:rsidR="00FD20D7" w:rsidRPr="003B11BD">
        <w:rPr>
          <w:noProof/>
          <w:lang w:val="en-IE"/>
        </w:rPr>
        <w:t xml:space="preserve"> scenario</w:t>
      </w:r>
      <w:r w:rsidR="007D7CA8" w:rsidRPr="003B11BD">
        <w:rPr>
          <w:noProof/>
          <w:lang w:val="en-IE"/>
        </w:rPr>
        <w:t xml:space="preserve"> (</w:t>
      </w:r>
      <w:r w:rsidR="00917D55" w:rsidRPr="003B11BD">
        <w:rPr>
          <w:noProof/>
          <w:lang w:val="en-IE"/>
        </w:rPr>
        <w:t xml:space="preserve">i.e. </w:t>
      </w:r>
      <w:r w:rsidR="0094733D" w:rsidRPr="003B11BD">
        <w:rPr>
          <w:noProof/>
          <w:lang w:val="en-IE"/>
        </w:rPr>
        <w:t xml:space="preserve">based on a hypothetical </w:t>
      </w:r>
      <w:r w:rsidR="00526B5C" w:rsidRPr="003B11BD">
        <w:rPr>
          <w:noProof/>
          <w:lang w:val="en-IE"/>
        </w:rPr>
        <w:t xml:space="preserve">situation where a single </w:t>
      </w:r>
      <w:r w:rsidR="00E6068C" w:rsidRPr="003B11BD">
        <w:rPr>
          <w:noProof/>
          <w:lang w:val="en-IE"/>
        </w:rPr>
        <w:t xml:space="preserve">compulsory licensing </w:t>
      </w:r>
      <w:r w:rsidR="007D7CA8" w:rsidRPr="003B11BD">
        <w:rPr>
          <w:noProof/>
          <w:lang w:val="en-IE"/>
        </w:rPr>
        <w:t>procedure would replace 4-5 procedures in each jurisdiction)</w:t>
      </w:r>
      <w:r w:rsidR="00FD20D7" w:rsidRPr="003B11BD">
        <w:rPr>
          <w:noProof/>
          <w:lang w:val="en-IE"/>
        </w:rPr>
        <w:t xml:space="preserve">. </w:t>
      </w:r>
      <w:r w:rsidR="007D7CA8" w:rsidRPr="003B11BD">
        <w:rPr>
          <w:noProof/>
          <w:lang w:val="en-IE"/>
        </w:rPr>
        <w:t xml:space="preserve">For Member States, if national </w:t>
      </w:r>
      <w:r w:rsidR="00E6068C" w:rsidRPr="003B11BD">
        <w:rPr>
          <w:noProof/>
          <w:lang w:val="en-IE"/>
        </w:rPr>
        <w:t xml:space="preserve">compulsory licensing </w:t>
      </w:r>
      <w:r w:rsidR="007D7CA8" w:rsidRPr="003B11BD">
        <w:rPr>
          <w:noProof/>
          <w:lang w:val="en-IE"/>
        </w:rPr>
        <w:t xml:space="preserve">negotiations were to be replaced by the EU-level negotiations, the </w:t>
      </w:r>
      <w:r w:rsidR="00314B12">
        <w:rPr>
          <w:noProof/>
          <w:lang w:val="en-IE"/>
        </w:rPr>
        <w:t xml:space="preserve">compliance and </w:t>
      </w:r>
      <w:r w:rsidR="009E5071" w:rsidRPr="003B11BD">
        <w:rPr>
          <w:noProof/>
          <w:lang w:val="en-IE"/>
        </w:rPr>
        <w:t xml:space="preserve">enforcement </w:t>
      </w:r>
      <w:r w:rsidR="007D7CA8" w:rsidRPr="003B11BD">
        <w:rPr>
          <w:noProof/>
          <w:lang w:val="en-IE"/>
        </w:rPr>
        <w:t>cost might stay unchanged or actually drop as the same effort would be shared among several countries. T</w:t>
      </w:r>
      <w:r w:rsidR="00FD20D7" w:rsidRPr="003B11BD">
        <w:rPr>
          <w:noProof/>
          <w:lang w:val="en-IE"/>
        </w:rPr>
        <w:t xml:space="preserve">he </w:t>
      </w:r>
      <w:r w:rsidR="0013635B" w:rsidRPr="003B11BD">
        <w:rPr>
          <w:noProof/>
          <w:lang w:val="en-IE"/>
        </w:rPr>
        <w:t xml:space="preserve">exact </w:t>
      </w:r>
      <w:r w:rsidR="00FD20D7" w:rsidRPr="003B11BD">
        <w:rPr>
          <w:noProof/>
          <w:lang w:val="en-IE"/>
        </w:rPr>
        <w:t xml:space="preserve">monetary value </w:t>
      </w:r>
      <w:r w:rsidR="00C07F65" w:rsidRPr="003B11BD">
        <w:rPr>
          <w:noProof/>
          <w:lang w:val="en-IE"/>
        </w:rPr>
        <w:t xml:space="preserve">of cost savings for stakeholders </w:t>
      </w:r>
      <w:r w:rsidR="00FD20D7" w:rsidRPr="003B11BD">
        <w:rPr>
          <w:noProof/>
          <w:lang w:val="en-IE"/>
        </w:rPr>
        <w:t>is</w:t>
      </w:r>
      <w:r w:rsidR="0013635B" w:rsidRPr="003B11BD">
        <w:rPr>
          <w:noProof/>
          <w:lang w:val="en-IE"/>
        </w:rPr>
        <w:t xml:space="preserve"> not possible to </w:t>
      </w:r>
      <w:r w:rsidR="00FD20D7" w:rsidRPr="003B11BD">
        <w:rPr>
          <w:noProof/>
          <w:lang w:val="en-IE"/>
        </w:rPr>
        <w:t>provide</w:t>
      </w:r>
      <w:r w:rsidR="0013635B" w:rsidRPr="003B11BD">
        <w:rPr>
          <w:noProof/>
          <w:lang w:val="en-IE"/>
        </w:rPr>
        <w:t xml:space="preserve"> due to scarcity of such events and also </w:t>
      </w:r>
      <w:r w:rsidR="00C07F65" w:rsidRPr="003B11BD">
        <w:rPr>
          <w:noProof/>
          <w:lang w:val="en-IE"/>
        </w:rPr>
        <w:t>because the</w:t>
      </w:r>
      <w:r w:rsidR="0013635B" w:rsidRPr="003B11BD">
        <w:rPr>
          <w:noProof/>
          <w:lang w:val="en-IE"/>
        </w:rPr>
        <w:t xml:space="preserve"> type of future potential crisis and it</w:t>
      </w:r>
      <w:r w:rsidR="00FD20D7" w:rsidRPr="003B11BD">
        <w:rPr>
          <w:noProof/>
          <w:lang w:val="en-IE"/>
        </w:rPr>
        <w:t>s</w:t>
      </w:r>
      <w:r w:rsidR="0013635B" w:rsidRPr="003B11BD">
        <w:rPr>
          <w:noProof/>
          <w:lang w:val="en-IE"/>
        </w:rPr>
        <w:t xml:space="preserve"> scale</w:t>
      </w:r>
      <w:r w:rsidR="00C07F65" w:rsidRPr="003B11BD">
        <w:rPr>
          <w:noProof/>
          <w:lang w:val="en-IE"/>
        </w:rPr>
        <w:t xml:space="preserve"> is unknown</w:t>
      </w:r>
      <w:r w:rsidR="0013635B" w:rsidRPr="003B11BD">
        <w:rPr>
          <w:noProof/>
          <w:lang w:val="en-IE"/>
        </w:rPr>
        <w:t xml:space="preserve">. Additionally, as the new instrument should be used only during major crisis affecting the EU and as the last resort </w:t>
      </w:r>
      <w:r w:rsidR="00ED49E6" w:rsidRPr="003B11BD">
        <w:rPr>
          <w:noProof/>
          <w:lang w:val="en-IE"/>
        </w:rPr>
        <w:t>measure</w:t>
      </w:r>
      <w:r w:rsidR="0013635B" w:rsidRPr="003B11BD">
        <w:rPr>
          <w:noProof/>
          <w:lang w:val="en-IE"/>
        </w:rPr>
        <w:t xml:space="preserve">, </w:t>
      </w:r>
      <w:r w:rsidR="00C07F65" w:rsidRPr="003B11BD">
        <w:rPr>
          <w:noProof/>
          <w:lang w:val="en-IE"/>
        </w:rPr>
        <w:t xml:space="preserve">hence </w:t>
      </w:r>
      <w:r w:rsidR="0013635B" w:rsidRPr="003B11BD">
        <w:rPr>
          <w:noProof/>
          <w:lang w:val="en-IE"/>
        </w:rPr>
        <w:t xml:space="preserve">its expected frequency is also very low. </w:t>
      </w:r>
    </w:p>
    <w:p w14:paraId="485D95DA" w14:textId="7B4B21FC" w:rsidR="00006638" w:rsidRPr="003B11BD" w:rsidRDefault="00006638" w:rsidP="00006638">
      <w:pPr>
        <w:pStyle w:val="Heading1"/>
        <w:ind w:left="480" w:hanging="480"/>
        <w:rPr>
          <w:noProof/>
          <w:lang w:val="en-IE"/>
        </w:rPr>
      </w:pPr>
      <w:bookmarkStart w:id="1077" w:name="_Toc118026538"/>
      <w:bookmarkStart w:id="1078" w:name="_Toc113028884"/>
      <w:bookmarkStart w:id="1079" w:name="_Toc112951467"/>
      <w:bookmarkStart w:id="1080" w:name="_Toc112949727"/>
      <w:bookmarkStart w:id="1081" w:name="_Toc112927394"/>
      <w:bookmarkStart w:id="1082" w:name="_Toc112876748"/>
      <w:bookmarkStart w:id="1083" w:name="_Toc112876505"/>
      <w:bookmarkStart w:id="1084" w:name="_Toc112698929"/>
      <w:bookmarkStart w:id="1085" w:name="_Toc111831924"/>
      <w:bookmarkStart w:id="1086" w:name="_Toc111669827"/>
      <w:bookmarkStart w:id="1087" w:name="_Toc108989414"/>
      <w:bookmarkStart w:id="1088" w:name="_Toc108115268"/>
      <w:bookmarkStart w:id="1089" w:name="_Toc108108976"/>
      <w:bookmarkStart w:id="1090" w:name="_Toc98766908"/>
      <w:bookmarkStart w:id="1091" w:name="_Toc98501767"/>
      <w:bookmarkStart w:id="1092" w:name="_Toc36469555"/>
      <w:bookmarkStart w:id="1093" w:name="_Toc36469497"/>
      <w:bookmarkStart w:id="1094" w:name="_Toc121489634"/>
      <w:bookmarkStart w:id="1095" w:name="_Toc121496394"/>
      <w:bookmarkStart w:id="1096" w:name="_Toc121748047"/>
      <w:bookmarkStart w:id="1097" w:name="_Toc133435400"/>
      <w:r w:rsidRPr="003B11BD">
        <w:rPr>
          <w:noProof/>
          <w:lang w:val="en-IE"/>
        </w:rPr>
        <w:t>How will actual impacts be monitored and evaluated?</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4D4B4712" w14:textId="34571950" w:rsidR="002F2155" w:rsidRPr="003B11BD" w:rsidRDefault="00006638" w:rsidP="002F2155">
      <w:pPr>
        <w:rPr>
          <w:noProof/>
          <w:lang w:val="en-IE"/>
        </w:rPr>
      </w:pPr>
      <w:r w:rsidRPr="003B11BD">
        <w:rPr>
          <w:rFonts w:eastAsia="Times New Roman"/>
          <w:noProof/>
          <w:lang w:val="en-IE" w:eastAsia="en-GB"/>
        </w:rPr>
        <w:t xml:space="preserve">The legislation to be proposed would include a provision requiring an </w:t>
      </w:r>
      <w:r w:rsidR="00BE6F28" w:rsidRPr="003B11BD">
        <w:rPr>
          <w:rFonts w:eastAsia="Times New Roman"/>
          <w:noProof/>
          <w:lang w:val="en-IE" w:eastAsia="en-GB"/>
        </w:rPr>
        <w:t xml:space="preserve">evaluation report </w:t>
      </w:r>
      <w:r w:rsidR="005D025C" w:rsidRPr="003B11BD">
        <w:rPr>
          <w:noProof/>
          <w:lang w:val="en-IE"/>
        </w:rPr>
        <w:t>five years after the granting of the first EU-level compulsory licence</w:t>
      </w:r>
      <w:r w:rsidR="198FAD99" w:rsidRPr="003B11BD">
        <w:rPr>
          <w:rFonts w:eastAsia="Times New Roman"/>
          <w:noProof/>
          <w:lang w:val="en-IE" w:eastAsia="en-GB"/>
        </w:rPr>
        <w:t>.</w:t>
      </w:r>
      <w:r w:rsidRPr="003B11BD">
        <w:rPr>
          <w:rFonts w:eastAsia="Times New Roman"/>
          <w:noProof/>
          <w:lang w:val="en-IE" w:eastAsia="en-GB"/>
        </w:rPr>
        <w:t xml:space="preserve"> </w:t>
      </w:r>
      <w:r w:rsidR="0013635B" w:rsidRPr="003B11BD">
        <w:rPr>
          <w:noProof/>
          <w:lang w:val="en-IE"/>
        </w:rPr>
        <w:t xml:space="preserve">The preferred option obliges Member States to inform the </w:t>
      </w:r>
      <w:r w:rsidR="00A9046E" w:rsidRPr="003B11BD">
        <w:rPr>
          <w:noProof/>
          <w:lang w:val="en-IE"/>
        </w:rPr>
        <w:t>Commission</w:t>
      </w:r>
      <w:r w:rsidR="0013635B" w:rsidRPr="003B11BD">
        <w:rPr>
          <w:noProof/>
          <w:lang w:val="en-IE"/>
        </w:rPr>
        <w:t xml:space="preserve"> when they are considering granting and when they have granted a compulsory licence for crisis management</w:t>
      </w:r>
      <w:r w:rsidR="00D1334B" w:rsidRPr="003B11BD">
        <w:rPr>
          <w:noProof/>
          <w:lang w:val="en-IE"/>
        </w:rPr>
        <w:t>,</w:t>
      </w:r>
      <w:r w:rsidR="0013635B" w:rsidRPr="003B11BD">
        <w:rPr>
          <w:noProof/>
          <w:lang w:val="en-IE"/>
        </w:rPr>
        <w:t xml:space="preserve"> as well as providing information on the compulsory licence (i.e</w:t>
      </w:r>
      <w:r w:rsidR="00D1334B" w:rsidRPr="003B11BD">
        <w:rPr>
          <w:noProof/>
          <w:lang w:val="en-IE"/>
        </w:rPr>
        <w:t xml:space="preserve">. transparency obligation </w:t>
      </w:r>
      <w:r w:rsidR="0013635B" w:rsidRPr="003B11BD">
        <w:rPr>
          <w:noProof/>
          <w:lang w:val="en-IE"/>
        </w:rPr>
        <w:t xml:space="preserve">on the subject matter of the compulsory licence, the manufacturer, </w:t>
      </w:r>
      <w:r w:rsidR="002A73BA" w:rsidRPr="003B11BD">
        <w:rPr>
          <w:noProof/>
          <w:lang w:val="en-IE"/>
        </w:rPr>
        <w:t xml:space="preserve">the conditions, </w:t>
      </w:r>
      <w:r w:rsidR="0013635B" w:rsidRPr="003B11BD">
        <w:rPr>
          <w:noProof/>
          <w:lang w:val="en-IE"/>
        </w:rPr>
        <w:t>etc.).</w:t>
      </w:r>
      <w:r w:rsidR="00D1334B" w:rsidRPr="003B11BD">
        <w:rPr>
          <w:noProof/>
          <w:lang w:val="en-IE"/>
        </w:rPr>
        <w:t xml:space="preserve"> </w:t>
      </w:r>
      <w:r w:rsidR="6F51F75B" w:rsidRPr="003B11BD">
        <w:rPr>
          <w:noProof/>
          <w:lang w:val="en-IE"/>
        </w:rPr>
        <w:t>As discussed in section</w:t>
      </w:r>
      <w:r w:rsidR="45F4F4C3" w:rsidRPr="003B11BD">
        <w:rPr>
          <w:noProof/>
          <w:lang w:val="en-IE"/>
        </w:rPr>
        <w:t xml:space="preserve"> 1.3.</w:t>
      </w:r>
      <w:r w:rsidR="6F51F75B" w:rsidRPr="003B11BD">
        <w:rPr>
          <w:noProof/>
          <w:lang w:val="en-IE"/>
        </w:rPr>
        <w:t xml:space="preserve">, </w:t>
      </w:r>
      <w:r w:rsidR="45F4F4C3" w:rsidRPr="003B11BD">
        <w:rPr>
          <w:noProof/>
          <w:lang w:val="en-IE"/>
        </w:rPr>
        <w:t>t</w:t>
      </w:r>
      <w:r w:rsidR="5B90FA2E" w:rsidRPr="003B11BD">
        <w:rPr>
          <w:noProof/>
          <w:lang w:val="en-IE"/>
        </w:rPr>
        <w:t xml:space="preserve">he </w:t>
      </w:r>
      <w:r w:rsidR="0013635B" w:rsidRPr="003B11BD">
        <w:rPr>
          <w:noProof/>
          <w:lang w:val="en-IE"/>
        </w:rPr>
        <w:t xml:space="preserve">recourse to </w:t>
      </w:r>
      <w:r w:rsidR="00E6068C" w:rsidRPr="003B11BD">
        <w:rPr>
          <w:noProof/>
          <w:lang w:val="en-IE"/>
        </w:rPr>
        <w:t xml:space="preserve">compulsory licensing </w:t>
      </w:r>
      <w:r w:rsidR="0013635B" w:rsidRPr="003B11BD">
        <w:rPr>
          <w:noProof/>
          <w:lang w:val="en-IE"/>
        </w:rPr>
        <w:t>is expected to be rare as it will be triggered by exceptional circumstances. As a consequence</w:t>
      </w:r>
      <w:r w:rsidR="002F2155" w:rsidRPr="003B11BD">
        <w:rPr>
          <w:noProof/>
          <w:lang w:val="en-IE"/>
        </w:rPr>
        <w:t xml:space="preserve">, the overall number of </w:t>
      </w:r>
      <w:r w:rsidR="009956E5" w:rsidRPr="003B11BD">
        <w:rPr>
          <w:noProof/>
          <w:lang w:val="en-IE"/>
        </w:rPr>
        <w:t>compulsory licences</w:t>
      </w:r>
      <w:r w:rsidR="002F2155" w:rsidRPr="003B11BD">
        <w:rPr>
          <w:noProof/>
          <w:lang w:val="en-IE"/>
        </w:rPr>
        <w:t xml:space="preserve"> issued on the basis of the proposed instrument is expected to be low</w:t>
      </w:r>
      <w:r w:rsidR="0013635B" w:rsidRPr="003B11BD">
        <w:rPr>
          <w:rStyle w:val="FootnoteReference"/>
          <w:noProof/>
          <w:lang w:val="en-IE"/>
        </w:rPr>
        <w:footnoteReference w:id="142"/>
      </w:r>
      <w:r w:rsidR="0013635B" w:rsidRPr="003B11BD">
        <w:rPr>
          <w:noProof/>
          <w:lang w:val="en-IE"/>
        </w:rPr>
        <w:t>,</w:t>
      </w:r>
      <w:r w:rsidR="002F2155" w:rsidRPr="003B11BD">
        <w:rPr>
          <w:noProof/>
          <w:lang w:val="en-IE"/>
        </w:rPr>
        <w:t xml:space="preserve"> which subsequently means that monitoring of the basic descriptive indicators would not require setting up of additional systems for data collection and monitoring</w:t>
      </w:r>
      <w:r w:rsidR="0013635B" w:rsidRPr="003B11BD">
        <w:rPr>
          <w:noProof/>
          <w:lang w:val="en-IE"/>
        </w:rPr>
        <w:t xml:space="preserve"> (the collection and processing of information can be done manually)</w:t>
      </w:r>
      <w:r w:rsidR="002F2155" w:rsidRPr="003B11BD">
        <w:rPr>
          <w:noProof/>
          <w:lang w:val="en-IE"/>
        </w:rPr>
        <w:t>.</w:t>
      </w:r>
    </w:p>
    <w:p w14:paraId="51B922F5" w14:textId="4847A43F" w:rsidR="00006638" w:rsidRPr="003B11BD" w:rsidRDefault="00006638" w:rsidP="00006638">
      <w:pPr>
        <w:pStyle w:val="Caption"/>
        <w:keepNext/>
        <w:rPr>
          <w:noProof/>
          <w:lang w:val="en-IE"/>
        </w:rPr>
      </w:pPr>
      <w:r w:rsidRPr="003B11BD">
        <w:rPr>
          <w:noProof/>
          <w:lang w:val="en-IE"/>
        </w:rPr>
        <w:t xml:space="preserve">Table </w:t>
      </w:r>
      <w:r w:rsidR="00C6592A">
        <w:rPr>
          <w:noProof/>
          <w:lang w:val="en-IE"/>
        </w:rPr>
        <w:t>10</w:t>
      </w:r>
      <w:r w:rsidRPr="003B11BD">
        <w:rPr>
          <w:noProof/>
          <w:lang w:val="en-IE"/>
        </w:rPr>
        <w:t>: Monitoring indicators</w:t>
      </w:r>
    </w:p>
    <w:tbl>
      <w:tblPr>
        <w:tblStyle w:val="TableGrid"/>
        <w:tblW w:w="8789" w:type="dxa"/>
        <w:tblInd w:w="-34" w:type="dxa"/>
        <w:tblLook w:val="04A0" w:firstRow="1" w:lastRow="0" w:firstColumn="1" w:lastColumn="0" w:noHBand="0" w:noVBand="1"/>
      </w:tblPr>
      <w:tblGrid>
        <w:gridCol w:w="4537"/>
        <w:gridCol w:w="4252"/>
      </w:tblGrid>
      <w:tr w:rsidR="005F4208" w:rsidRPr="003B11BD" w14:paraId="406CB56F" w14:textId="77777777" w:rsidTr="00861F80">
        <w:trPr>
          <w:cantSplit/>
        </w:trPr>
        <w:tc>
          <w:tcPr>
            <w:tcW w:w="4537" w:type="dxa"/>
            <w:tcBorders>
              <w:top w:val="single" w:sz="4" w:space="0" w:color="auto"/>
              <w:left w:val="single" w:sz="4" w:space="0" w:color="auto"/>
              <w:bottom w:val="single" w:sz="4" w:space="0" w:color="auto"/>
              <w:right w:val="single" w:sz="4" w:space="0" w:color="auto"/>
            </w:tcBorders>
            <w:hideMark/>
          </w:tcPr>
          <w:p w14:paraId="0C71C440" w14:textId="77777777" w:rsidR="00006638" w:rsidRPr="003B11BD" w:rsidRDefault="00006638" w:rsidP="00F03230">
            <w:pPr>
              <w:pStyle w:val="Size10"/>
              <w:rPr>
                <w:b/>
                <w:noProof/>
              </w:rPr>
            </w:pPr>
            <w:r w:rsidRPr="003B11BD">
              <w:rPr>
                <w:b/>
                <w:noProof/>
              </w:rPr>
              <w:t>Indicators</w:t>
            </w:r>
          </w:p>
        </w:tc>
        <w:tc>
          <w:tcPr>
            <w:tcW w:w="4252" w:type="dxa"/>
            <w:tcBorders>
              <w:top w:val="single" w:sz="4" w:space="0" w:color="auto"/>
              <w:left w:val="single" w:sz="4" w:space="0" w:color="auto"/>
              <w:bottom w:val="single" w:sz="4" w:space="0" w:color="auto"/>
              <w:right w:val="single" w:sz="4" w:space="0" w:color="auto"/>
            </w:tcBorders>
            <w:hideMark/>
          </w:tcPr>
          <w:p w14:paraId="03827FC7" w14:textId="77777777" w:rsidR="00006638" w:rsidRPr="003B11BD" w:rsidRDefault="00006638" w:rsidP="00F03230">
            <w:pPr>
              <w:pStyle w:val="Size10"/>
              <w:rPr>
                <w:b/>
                <w:noProof/>
              </w:rPr>
            </w:pPr>
            <w:r w:rsidRPr="003B11BD">
              <w:rPr>
                <w:b/>
                <w:noProof/>
              </w:rPr>
              <w:t>Sources of information</w:t>
            </w:r>
          </w:p>
        </w:tc>
      </w:tr>
      <w:tr w:rsidR="005F4208" w:rsidRPr="003B11BD" w14:paraId="3702648E" w14:textId="77777777" w:rsidTr="00861F80">
        <w:trPr>
          <w:cantSplit/>
        </w:trPr>
        <w:tc>
          <w:tcPr>
            <w:tcW w:w="4537" w:type="dxa"/>
            <w:tcBorders>
              <w:top w:val="single" w:sz="4" w:space="0" w:color="auto"/>
              <w:left w:val="single" w:sz="4" w:space="0" w:color="auto"/>
              <w:bottom w:val="single" w:sz="4" w:space="0" w:color="auto"/>
              <w:right w:val="single" w:sz="4" w:space="0" w:color="auto"/>
            </w:tcBorders>
          </w:tcPr>
          <w:p w14:paraId="6BF5EAF3" w14:textId="3966CA20" w:rsidR="00FF144E" w:rsidRPr="003B11BD" w:rsidRDefault="00D1334B" w:rsidP="00F03230">
            <w:pPr>
              <w:pStyle w:val="Size10"/>
              <w:rPr>
                <w:noProof/>
              </w:rPr>
            </w:pPr>
            <w:r w:rsidRPr="003B11BD">
              <w:rPr>
                <w:i/>
                <w:noProof/>
              </w:rPr>
              <w:t xml:space="preserve">Objective 1. </w:t>
            </w:r>
            <w:r w:rsidR="00E6068C" w:rsidRPr="003B11BD">
              <w:rPr>
                <w:i/>
                <w:noProof/>
              </w:rPr>
              <w:t xml:space="preserve">Improve the </w:t>
            </w:r>
            <w:r w:rsidRPr="003B11BD">
              <w:rPr>
                <w:i/>
                <w:noProof/>
              </w:rPr>
              <w:t>key features</w:t>
            </w:r>
            <w:r w:rsidR="00E6068C" w:rsidRPr="003B11BD">
              <w:rPr>
                <w:i/>
                <w:noProof/>
              </w:rPr>
              <w:t xml:space="preserve"> of compulsory licensing</w:t>
            </w:r>
            <w:r w:rsidRPr="003B11BD">
              <w:rPr>
                <w:i/>
                <w:noProof/>
              </w:rPr>
              <w:t>:</w:t>
            </w:r>
            <w:r w:rsidRPr="003B11BD">
              <w:rPr>
                <w:noProof/>
              </w:rPr>
              <w:t xml:space="preserve"> </w:t>
            </w:r>
          </w:p>
          <w:p w14:paraId="3D97D427" w14:textId="47DD761B" w:rsidR="00006638" w:rsidRPr="003B11BD" w:rsidRDefault="004A10C5" w:rsidP="00F03230">
            <w:pPr>
              <w:pStyle w:val="Size10"/>
              <w:rPr>
                <w:noProof/>
              </w:rPr>
            </w:pPr>
            <w:r w:rsidRPr="003B11BD">
              <w:rPr>
                <w:noProof/>
              </w:rPr>
              <w:t xml:space="preserve">Perceptions about </w:t>
            </w:r>
            <w:r w:rsidR="004443BC" w:rsidRPr="003B11BD">
              <w:rPr>
                <w:noProof/>
              </w:rPr>
              <w:t xml:space="preserve">the </w:t>
            </w:r>
            <w:r w:rsidR="00664528">
              <w:rPr>
                <w:noProof/>
              </w:rPr>
              <w:t>new compulsory licensing</w:t>
            </w:r>
            <w:r w:rsidR="000454D8" w:rsidRPr="003B11BD">
              <w:rPr>
                <w:noProof/>
              </w:rPr>
              <w:t xml:space="preserve"> system when compared with the </w:t>
            </w:r>
            <w:r w:rsidR="000454D8" w:rsidRPr="003B11BD">
              <w:rPr>
                <w:i/>
                <w:noProof/>
              </w:rPr>
              <w:t>status quo</w:t>
            </w:r>
            <w:r w:rsidR="004443BC" w:rsidRPr="003B11BD">
              <w:rPr>
                <w:noProof/>
              </w:rPr>
              <w:t>, especially with regards to its efficiency</w:t>
            </w:r>
            <w:r w:rsidRPr="003B11BD">
              <w:rPr>
                <w:noProof/>
              </w:rPr>
              <w:t xml:space="preserve"> (e.g. duration as compared to the baseline)</w:t>
            </w:r>
            <w:r w:rsidR="004443BC" w:rsidRPr="003B11BD">
              <w:rPr>
                <w:noProof/>
              </w:rPr>
              <w:t>, clarity</w:t>
            </w:r>
            <w:r w:rsidR="00D1334B" w:rsidRPr="003B11BD">
              <w:rPr>
                <w:noProof/>
              </w:rPr>
              <w:t>.</w:t>
            </w:r>
          </w:p>
        </w:tc>
        <w:tc>
          <w:tcPr>
            <w:tcW w:w="4252" w:type="dxa"/>
            <w:tcBorders>
              <w:top w:val="single" w:sz="4" w:space="0" w:color="auto"/>
              <w:left w:val="single" w:sz="4" w:space="0" w:color="auto"/>
              <w:bottom w:val="single" w:sz="4" w:space="0" w:color="auto"/>
              <w:right w:val="single" w:sz="4" w:space="0" w:color="auto"/>
            </w:tcBorders>
          </w:tcPr>
          <w:p w14:paraId="124332D9" w14:textId="231C97E9" w:rsidR="00006638" w:rsidRPr="003B11BD" w:rsidRDefault="000454D8" w:rsidP="00F03230">
            <w:pPr>
              <w:pStyle w:val="Size10"/>
              <w:rPr>
                <w:noProof/>
              </w:rPr>
            </w:pPr>
            <w:r w:rsidRPr="003B11BD">
              <w:rPr>
                <w:noProof/>
              </w:rPr>
              <w:t xml:space="preserve">Online survey using </w:t>
            </w:r>
            <w:r w:rsidR="006D5DF7" w:rsidRPr="003B11BD">
              <w:rPr>
                <w:noProof/>
              </w:rPr>
              <w:t>similar</w:t>
            </w:r>
            <w:r w:rsidR="00861F80" w:rsidRPr="003B11BD">
              <w:rPr>
                <w:noProof/>
              </w:rPr>
              <w:t xml:space="preserve"> questions as the OPC (</w:t>
            </w:r>
            <w:r w:rsidRPr="003B11BD">
              <w:rPr>
                <w:noProof/>
              </w:rPr>
              <w:t>to be carried out 3 years after entry into force</w:t>
            </w:r>
            <w:r w:rsidR="00861F80" w:rsidRPr="003B11BD">
              <w:rPr>
                <w:noProof/>
              </w:rPr>
              <w:t xml:space="preserve">); </w:t>
            </w:r>
            <w:r w:rsidR="005E4F9D" w:rsidRPr="003B11BD">
              <w:rPr>
                <w:noProof/>
              </w:rPr>
              <w:t xml:space="preserve">EU countries </w:t>
            </w:r>
            <w:r w:rsidR="00861F80" w:rsidRPr="003B11BD">
              <w:rPr>
                <w:noProof/>
              </w:rPr>
              <w:t>reporting; Information collected in the context of the work of crisis advisory bodies</w:t>
            </w:r>
            <w:r w:rsidR="004A10C5" w:rsidRPr="003B11BD">
              <w:rPr>
                <w:noProof/>
              </w:rPr>
              <w:t>.</w:t>
            </w:r>
          </w:p>
        </w:tc>
      </w:tr>
      <w:tr w:rsidR="005F4208" w:rsidRPr="003B11BD" w14:paraId="2F25D38A" w14:textId="77777777" w:rsidTr="00861F80">
        <w:trPr>
          <w:cantSplit/>
        </w:trPr>
        <w:tc>
          <w:tcPr>
            <w:tcW w:w="4537" w:type="dxa"/>
            <w:tcBorders>
              <w:top w:val="single" w:sz="4" w:space="0" w:color="auto"/>
              <w:left w:val="single" w:sz="4" w:space="0" w:color="auto"/>
              <w:bottom w:val="single" w:sz="4" w:space="0" w:color="auto"/>
              <w:right w:val="single" w:sz="4" w:space="0" w:color="auto"/>
            </w:tcBorders>
          </w:tcPr>
          <w:p w14:paraId="46A7E400" w14:textId="7143DA85" w:rsidR="00FF144E" w:rsidRPr="003B11BD" w:rsidRDefault="00D1334B" w:rsidP="00F03230">
            <w:pPr>
              <w:pStyle w:val="Size10"/>
              <w:rPr>
                <w:noProof/>
              </w:rPr>
            </w:pPr>
            <w:r w:rsidRPr="003B11BD">
              <w:rPr>
                <w:i/>
                <w:noProof/>
              </w:rPr>
              <w:t xml:space="preserve">Objective 2. </w:t>
            </w:r>
            <w:r w:rsidR="00A94F37" w:rsidRPr="003B11BD">
              <w:rPr>
                <w:i/>
                <w:noProof/>
              </w:rPr>
              <w:t>Territorial reach</w:t>
            </w:r>
            <w:r w:rsidRPr="003B11BD">
              <w:rPr>
                <w:i/>
                <w:noProof/>
              </w:rPr>
              <w:t xml:space="preserve"> </w:t>
            </w:r>
            <w:r w:rsidR="00933D80" w:rsidRPr="003B11BD">
              <w:rPr>
                <w:i/>
                <w:noProof/>
              </w:rPr>
              <w:t>of compulsory licensing</w:t>
            </w:r>
            <w:r w:rsidRPr="003B11BD">
              <w:rPr>
                <w:i/>
                <w:noProof/>
              </w:rPr>
              <w:t>:</w:t>
            </w:r>
            <w:r w:rsidRPr="003B11BD">
              <w:rPr>
                <w:noProof/>
              </w:rPr>
              <w:t xml:space="preserve"> </w:t>
            </w:r>
          </w:p>
          <w:p w14:paraId="11B2CBC9" w14:textId="17C91DAE" w:rsidR="00FF144E" w:rsidRPr="003B11BD" w:rsidRDefault="000454D8" w:rsidP="00F03230">
            <w:pPr>
              <w:pStyle w:val="Size10"/>
              <w:rPr>
                <w:noProof/>
              </w:rPr>
            </w:pPr>
            <w:r w:rsidRPr="003B11BD">
              <w:rPr>
                <w:noProof/>
              </w:rPr>
              <w:t xml:space="preserve">Number of </w:t>
            </w:r>
            <w:r w:rsidR="00933D80" w:rsidRPr="003B11BD">
              <w:rPr>
                <w:noProof/>
              </w:rPr>
              <w:t xml:space="preserve">compulsory licensing </w:t>
            </w:r>
            <w:r w:rsidRPr="003B11BD">
              <w:rPr>
                <w:noProof/>
              </w:rPr>
              <w:t xml:space="preserve">cases </w:t>
            </w:r>
            <w:r w:rsidR="00BE133D" w:rsidRPr="003B11BD">
              <w:rPr>
                <w:noProof/>
              </w:rPr>
              <w:t>where there is a cross-border element</w:t>
            </w:r>
            <w:r w:rsidR="00186C29" w:rsidRPr="003B11BD">
              <w:rPr>
                <w:noProof/>
              </w:rPr>
              <w:t xml:space="preserve">; </w:t>
            </w:r>
          </w:p>
          <w:p w14:paraId="3A6FB9F3" w14:textId="5F088BF3" w:rsidR="00006638" w:rsidRPr="003B11BD" w:rsidRDefault="00CA1C8C" w:rsidP="00F03230">
            <w:pPr>
              <w:pStyle w:val="Size10"/>
              <w:rPr>
                <w:noProof/>
              </w:rPr>
            </w:pPr>
            <w:r w:rsidRPr="003B11BD">
              <w:rPr>
                <w:noProof/>
              </w:rPr>
              <w:t>N</w:t>
            </w:r>
            <w:r w:rsidR="00186C29" w:rsidRPr="003B11BD">
              <w:rPr>
                <w:noProof/>
              </w:rPr>
              <w:t xml:space="preserve">umber of </w:t>
            </w:r>
            <w:r w:rsidR="005E4F9D" w:rsidRPr="003B11BD">
              <w:rPr>
                <w:noProof/>
              </w:rPr>
              <w:t xml:space="preserve">EU countries </w:t>
            </w:r>
            <w:r w:rsidR="00186C29" w:rsidRPr="003B11BD">
              <w:rPr>
                <w:noProof/>
              </w:rPr>
              <w:t>covered</w:t>
            </w:r>
            <w:r w:rsidR="004A10C5" w:rsidRPr="003B11BD">
              <w:rPr>
                <w:noProof/>
              </w:rPr>
              <w:t xml:space="preserve"> by </w:t>
            </w:r>
            <w:r w:rsidR="00933D80" w:rsidRPr="003B11BD">
              <w:rPr>
                <w:noProof/>
              </w:rPr>
              <w:t>compulsory licensing</w:t>
            </w:r>
            <w:r w:rsidR="004A10C5" w:rsidRPr="003B11BD">
              <w:rPr>
                <w:noProof/>
              </w:rPr>
              <w:t xml:space="preserve"> granted under the new system</w:t>
            </w:r>
            <w:r w:rsidR="00186C29" w:rsidRPr="003B11BD">
              <w:rPr>
                <w:noProof/>
              </w:rPr>
              <w:t>.</w:t>
            </w:r>
            <w:r w:rsidR="000454D8" w:rsidRPr="003B11BD">
              <w:rPr>
                <w:noProof/>
              </w:rPr>
              <w:t xml:space="preserve"> </w:t>
            </w:r>
          </w:p>
        </w:tc>
        <w:tc>
          <w:tcPr>
            <w:tcW w:w="4252" w:type="dxa"/>
            <w:tcBorders>
              <w:top w:val="single" w:sz="4" w:space="0" w:color="auto"/>
              <w:left w:val="single" w:sz="4" w:space="0" w:color="auto"/>
              <w:bottom w:val="single" w:sz="4" w:space="0" w:color="auto"/>
              <w:right w:val="single" w:sz="4" w:space="0" w:color="auto"/>
            </w:tcBorders>
          </w:tcPr>
          <w:p w14:paraId="0CC65B50" w14:textId="7EBCDB4E" w:rsidR="00006638" w:rsidRPr="003B11BD" w:rsidRDefault="000454D8" w:rsidP="00F03230">
            <w:pPr>
              <w:pStyle w:val="Size10"/>
              <w:rPr>
                <w:noProof/>
              </w:rPr>
            </w:pPr>
            <w:r w:rsidRPr="003B11BD">
              <w:rPr>
                <w:noProof/>
              </w:rPr>
              <w:t>ECJ</w:t>
            </w:r>
            <w:r w:rsidR="00BE133D" w:rsidRPr="003B11BD">
              <w:rPr>
                <w:noProof/>
              </w:rPr>
              <w:t>, WTO and EU national case law</w:t>
            </w:r>
            <w:r w:rsidR="00ED1B34" w:rsidRPr="003B11BD">
              <w:rPr>
                <w:noProof/>
              </w:rPr>
              <w:t>;</w:t>
            </w:r>
          </w:p>
          <w:p w14:paraId="6B3D7106" w14:textId="5AD58231" w:rsidR="00006638" w:rsidRPr="003B11BD" w:rsidRDefault="005E4F9D" w:rsidP="00F03230">
            <w:pPr>
              <w:pStyle w:val="Size10"/>
              <w:rPr>
                <w:noProof/>
              </w:rPr>
            </w:pPr>
            <w:r w:rsidRPr="003B11BD">
              <w:rPr>
                <w:noProof/>
              </w:rPr>
              <w:t xml:space="preserve">EU countries </w:t>
            </w:r>
            <w:r w:rsidR="00186C29" w:rsidRPr="003B11BD">
              <w:rPr>
                <w:noProof/>
              </w:rPr>
              <w:t>reporting; Information collected in the context of the work of crisis advisory bodies</w:t>
            </w:r>
          </w:p>
        </w:tc>
      </w:tr>
      <w:tr w:rsidR="005F4208" w:rsidRPr="003B11BD" w14:paraId="37AEE8F3" w14:textId="77777777" w:rsidTr="00861F80">
        <w:trPr>
          <w:cantSplit/>
        </w:trPr>
        <w:tc>
          <w:tcPr>
            <w:tcW w:w="4537" w:type="dxa"/>
            <w:tcBorders>
              <w:top w:val="single" w:sz="4" w:space="0" w:color="auto"/>
              <w:left w:val="single" w:sz="4" w:space="0" w:color="auto"/>
              <w:bottom w:val="single" w:sz="4" w:space="0" w:color="auto"/>
              <w:right w:val="single" w:sz="4" w:space="0" w:color="auto"/>
            </w:tcBorders>
            <w:hideMark/>
          </w:tcPr>
          <w:p w14:paraId="6ACD95A2" w14:textId="77777777" w:rsidR="00FF144E" w:rsidRPr="003B11BD" w:rsidRDefault="00D1334B" w:rsidP="00F03230">
            <w:pPr>
              <w:pStyle w:val="Size10"/>
              <w:rPr>
                <w:noProof/>
              </w:rPr>
            </w:pPr>
            <w:r w:rsidRPr="003B11BD">
              <w:rPr>
                <w:i/>
                <w:noProof/>
              </w:rPr>
              <w:t>Objective 3. Support EU resilience:</w:t>
            </w:r>
            <w:r w:rsidRPr="003B11BD">
              <w:rPr>
                <w:noProof/>
              </w:rPr>
              <w:t xml:space="preserve"> </w:t>
            </w:r>
          </w:p>
          <w:p w14:paraId="2A4BCE70" w14:textId="202443E5" w:rsidR="00006638" w:rsidRPr="003B11BD" w:rsidRDefault="00756867" w:rsidP="00F03230">
            <w:pPr>
              <w:pStyle w:val="Size10"/>
              <w:rPr>
                <w:noProof/>
              </w:rPr>
            </w:pPr>
            <w:r w:rsidRPr="003B11BD">
              <w:rPr>
                <w:noProof/>
              </w:rPr>
              <w:t>Use</w:t>
            </w:r>
            <w:r w:rsidR="00731C10" w:rsidRPr="003B11BD">
              <w:rPr>
                <w:noProof/>
              </w:rPr>
              <w:t xml:space="preserve"> or absence of use</w:t>
            </w:r>
            <w:r w:rsidRPr="003B11BD">
              <w:rPr>
                <w:noProof/>
              </w:rPr>
              <w:t xml:space="preserve"> of </w:t>
            </w:r>
            <w:r w:rsidR="00933D80" w:rsidRPr="003B11BD">
              <w:rPr>
                <w:noProof/>
              </w:rPr>
              <w:t>compulsory licensing</w:t>
            </w:r>
            <w:r w:rsidRPr="003B11BD">
              <w:rPr>
                <w:noProof/>
              </w:rPr>
              <w:t xml:space="preserve"> in the context of EU crisis </w:t>
            </w:r>
            <w:r w:rsidR="00731C10" w:rsidRPr="003B11BD">
              <w:rPr>
                <w:noProof/>
              </w:rPr>
              <w:t>instruments</w:t>
            </w:r>
            <w:r w:rsidR="00D1334B" w:rsidRPr="003B11BD">
              <w:rPr>
                <w:noProof/>
              </w:rPr>
              <w:t>;</w:t>
            </w:r>
            <w:r w:rsidR="00B60984" w:rsidRPr="003B11BD">
              <w:rPr>
                <w:noProof/>
              </w:rPr>
              <w:t xml:space="preserve"> </w:t>
            </w:r>
          </w:p>
        </w:tc>
        <w:tc>
          <w:tcPr>
            <w:tcW w:w="4252" w:type="dxa"/>
            <w:tcBorders>
              <w:top w:val="single" w:sz="4" w:space="0" w:color="auto"/>
              <w:left w:val="single" w:sz="4" w:space="0" w:color="auto"/>
              <w:bottom w:val="single" w:sz="4" w:space="0" w:color="auto"/>
              <w:right w:val="single" w:sz="4" w:space="0" w:color="auto"/>
            </w:tcBorders>
            <w:hideMark/>
          </w:tcPr>
          <w:p w14:paraId="623F766C" w14:textId="185A06A2" w:rsidR="00006638" w:rsidRPr="003B11BD" w:rsidRDefault="00FF144E" w:rsidP="00FF144E">
            <w:pPr>
              <w:pStyle w:val="Size10"/>
              <w:rPr>
                <w:noProof/>
              </w:rPr>
            </w:pPr>
            <w:r w:rsidRPr="003B11BD">
              <w:rPr>
                <w:noProof/>
              </w:rPr>
              <w:t xml:space="preserve">Reporting on EU crisis instruments; </w:t>
            </w:r>
            <w:r w:rsidR="005E4F9D" w:rsidRPr="003B11BD">
              <w:rPr>
                <w:noProof/>
              </w:rPr>
              <w:t xml:space="preserve">EU countries </w:t>
            </w:r>
            <w:r w:rsidR="006C6BEE" w:rsidRPr="003B11BD">
              <w:rPr>
                <w:noProof/>
              </w:rPr>
              <w:t>reporting</w:t>
            </w:r>
            <w:r w:rsidR="00D1334B" w:rsidRPr="003B11BD">
              <w:rPr>
                <w:noProof/>
              </w:rPr>
              <w:t xml:space="preserve">; </w:t>
            </w:r>
            <w:r w:rsidR="00BE7083" w:rsidRPr="003B11BD">
              <w:rPr>
                <w:noProof/>
              </w:rPr>
              <w:t>Information collected in the context of the work of crisis advisory bodies</w:t>
            </w:r>
          </w:p>
        </w:tc>
      </w:tr>
    </w:tbl>
    <w:p w14:paraId="04459640" w14:textId="77777777" w:rsidR="006B087E" w:rsidRPr="003B11BD" w:rsidRDefault="006B087E" w:rsidP="000E3086">
      <w:pPr>
        <w:rPr>
          <w:noProof/>
          <w:lang w:val="en-IE"/>
        </w:rPr>
      </w:pPr>
      <w:r w:rsidRPr="003B11BD">
        <w:rPr>
          <w:noProof/>
          <w:lang w:val="en-IE"/>
        </w:rPr>
        <w:br w:type="page"/>
      </w:r>
    </w:p>
    <w:p w14:paraId="5F04CADC" w14:textId="726ABA11" w:rsidR="006B087E" w:rsidRPr="003B11BD" w:rsidRDefault="006B087E" w:rsidP="00FC6D56">
      <w:pPr>
        <w:pStyle w:val="AnnexTitle"/>
        <w:rPr>
          <w:noProof/>
        </w:rPr>
      </w:pPr>
      <w:bookmarkStart w:id="1098" w:name="_Toc120731249"/>
      <w:bookmarkStart w:id="1099" w:name="_Toc121386411"/>
      <w:bookmarkStart w:id="1100" w:name="_Toc121489635"/>
      <w:bookmarkStart w:id="1101" w:name="_Toc121496395"/>
      <w:bookmarkStart w:id="1102" w:name="_Toc121748048"/>
      <w:bookmarkStart w:id="1103" w:name="_Toc133435401"/>
      <w:r w:rsidRPr="003B11BD">
        <w:rPr>
          <w:noProof/>
        </w:rPr>
        <w:t>Annex 1: Procedural information</w:t>
      </w:r>
      <w:bookmarkEnd w:id="1098"/>
      <w:bookmarkEnd w:id="1099"/>
      <w:bookmarkEnd w:id="1100"/>
      <w:bookmarkEnd w:id="1101"/>
      <w:bookmarkEnd w:id="1102"/>
      <w:bookmarkEnd w:id="1103"/>
    </w:p>
    <w:p w14:paraId="089A3FF3" w14:textId="48BFF7B8" w:rsidR="006B087E" w:rsidRPr="003B11BD" w:rsidRDefault="006B087E" w:rsidP="00D6264D">
      <w:pPr>
        <w:pStyle w:val="Annexsubsections"/>
        <w:rPr>
          <w:noProof/>
        </w:rPr>
      </w:pPr>
      <w:bookmarkStart w:id="1104" w:name="_Toc471997754"/>
      <w:r w:rsidRPr="003B11BD">
        <w:rPr>
          <w:noProof/>
        </w:rPr>
        <w:t>Lead DG, D</w:t>
      </w:r>
      <w:r w:rsidRPr="003B11BD">
        <w:rPr>
          <w:i/>
          <w:noProof/>
        </w:rPr>
        <w:t>e</w:t>
      </w:r>
      <w:r w:rsidRPr="003B11BD">
        <w:rPr>
          <w:noProof/>
        </w:rPr>
        <w:t>cide Planning/CWP references</w:t>
      </w:r>
      <w:bookmarkEnd w:id="1104"/>
    </w:p>
    <w:p w14:paraId="603FF3C5" w14:textId="7CC9C248" w:rsidR="003A34CF" w:rsidRPr="003B11BD" w:rsidRDefault="4B829A90" w:rsidP="005D7E2C">
      <w:pPr>
        <w:rPr>
          <w:noProof/>
          <w:lang w:val="en-IE"/>
        </w:rPr>
      </w:pPr>
      <w:r w:rsidRPr="003B11BD">
        <w:rPr>
          <w:noProof/>
          <w:lang w:val="en-IE"/>
        </w:rPr>
        <w:t>Lead DG</w:t>
      </w:r>
      <w:r w:rsidR="003A34CF" w:rsidRPr="003B11BD">
        <w:rPr>
          <w:noProof/>
          <w:lang w:val="en-IE"/>
        </w:rPr>
        <w:t xml:space="preserve">: </w:t>
      </w:r>
    </w:p>
    <w:p w14:paraId="738831B1" w14:textId="1373FA83" w:rsidR="005C57F1" w:rsidRPr="003B11BD" w:rsidRDefault="008628F8" w:rsidP="004C618F">
      <w:pPr>
        <w:pStyle w:val="Bullets"/>
        <w:rPr>
          <w:noProof/>
        </w:rPr>
      </w:pPr>
      <w:r w:rsidRPr="003B11BD">
        <w:rPr>
          <w:noProof/>
        </w:rPr>
        <w:t>DG for Internal Market, Industry, Entrepreneurship and SMEs (DG GROW).</w:t>
      </w:r>
    </w:p>
    <w:p w14:paraId="61C32A52" w14:textId="6F01259E" w:rsidR="1CB80205" w:rsidRPr="003B11BD" w:rsidRDefault="1CB80205" w:rsidP="3AA1D516">
      <w:pPr>
        <w:rPr>
          <w:noProof/>
          <w:lang w:val="en-IE"/>
        </w:rPr>
      </w:pPr>
      <w:r w:rsidRPr="003B11BD">
        <w:rPr>
          <w:noProof/>
          <w:lang w:val="en-IE"/>
        </w:rPr>
        <w:t>Other Services</w:t>
      </w:r>
      <w:r w:rsidR="7DCD80F9" w:rsidRPr="003B11BD">
        <w:rPr>
          <w:noProof/>
          <w:lang w:val="en-IE"/>
        </w:rPr>
        <w:t xml:space="preserve"> involved:</w:t>
      </w:r>
    </w:p>
    <w:p w14:paraId="2B5999BC" w14:textId="182FA472" w:rsidR="6027ABD5" w:rsidRPr="003B11BD" w:rsidRDefault="6027ABD5" w:rsidP="004C618F">
      <w:pPr>
        <w:pStyle w:val="Bullets"/>
        <w:rPr>
          <w:noProof/>
        </w:rPr>
      </w:pPr>
      <w:r w:rsidRPr="003B11BD">
        <w:rPr>
          <w:noProof/>
        </w:rPr>
        <w:t>SG, SJ, COMP, ENER, SANTE, HERA,</w:t>
      </w:r>
      <w:r w:rsidR="0811DA80" w:rsidRPr="003B11BD">
        <w:rPr>
          <w:noProof/>
        </w:rPr>
        <w:t xml:space="preserve"> TRADE</w:t>
      </w:r>
      <w:r w:rsidR="006DC132" w:rsidRPr="003B11BD">
        <w:rPr>
          <w:noProof/>
        </w:rPr>
        <w:t>, RTD, INTPA</w:t>
      </w:r>
      <w:r w:rsidR="000870A3" w:rsidRPr="003B11BD">
        <w:rPr>
          <w:noProof/>
        </w:rPr>
        <w:t>,</w:t>
      </w:r>
      <w:r w:rsidR="00A8298E" w:rsidRPr="003B11BD">
        <w:rPr>
          <w:noProof/>
        </w:rPr>
        <w:t xml:space="preserve"> JRC</w:t>
      </w:r>
    </w:p>
    <w:p w14:paraId="34E79970" w14:textId="40B487B4" w:rsidR="3AA1D516" w:rsidRPr="003B11BD" w:rsidRDefault="7F47A091" w:rsidP="3AA1D516">
      <w:pPr>
        <w:rPr>
          <w:noProof/>
          <w:lang w:val="en-IE"/>
        </w:rPr>
      </w:pPr>
      <w:r w:rsidRPr="003B11BD">
        <w:rPr>
          <w:noProof/>
          <w:lang w:val="en-IE"/>
        </w:rPr>
        <w:t>Agenda Planning Reference:</w:t>
      </w:r>
    </w:p>
    <w:p w14:paraId="421D6D5F" w14:textId="0BECEAB4" w:rsidR="6BA2B3B8" w:rsidRPr="003B11BD" w:rsidRDefault="7F47A091" w:rsidP="004C618F">
      <w:pPr>
        <w:pStyle w:val="Bullets"/>
        <w:rPr>
          <w:noProof/>
        </w:rPr>
      </w:pPr>
      <w:r w:rsidRPr="003B11BD">
        <w:rPr>
          <w:noProof/>
        </w:rPr>
        <w:t>Ref. PLAN/</w:t>
      </w:r>
      <w:r w:rsidR="42274F3B" w:rsidRPr="003B11BD">
        <w:rPr>
          <w:noProof/>
        </w:rPr>
        <w:t>2021/11425</w:t>
      </w:r>
    </w:p>
    <w:p w14:paraId="7D5B11DA" w14:textId="63551D63" w:rsidR="030A3B81" w:rsidRPr="003B11BD" w:rsidRDefault="7F47A091" w:rsidP="004C618F">
      <w:pPr>
        <w:pStyle w:val="Bullets"/>
        <w:rPr>
          <w:noProof/>
        </w:rPr>
      </w:pPr>
      <w:r w:rsidRPr="003B11BD">
        <w:rPr>
          <w:noProof/>
        </w:rPr>
        <w:t>The initiative is included in the Intellectual Property (IP) Action Plan that the Commission adopted on 25 November 2020</w:t>
      </w:r>
      <w:r w:rsidR="00CD62BA" w:rsidRPr="003B11BD">
        <w:rPr>
          <w:noProof/>
        </w:rPr>
        <w:t xml:space="preserve"> and in the Commission work programme 2023.</w:t>
      </w:r>
    </w:p>
    <w:p w14:paraId="682766B5" w14:textId="582C199F" w:rsidR="006B087E" w:rsidRPr="003B11BD" w:rsidRDefault="006B087E" w:rsidP="00D6264D">
      <w:pPr>
        <w:pStyle w:val="Annexsubsections"/>
        <w:rPr>
          <w:noProof/>
        </w:rPr>
      </w:pPr>
      <w:bookmarkStart w:id="1105" w:name="_Toc471997755"/>
      <w:r w:rsidRPr="003B11BD">
        <w:rPr>
          <w:noProof/>
        </w:rPr>
        <w:t>Organisation and timing</w:t>
      </w:r>
      <w:bookmarkEnd w:id="1105"/>
    </w:p>
    <w:p w14:paraId="2FC3EDE1" w14:textId="215ECAC2" w:rsidR="336A1BD7" w:rsidRPr="003B11BD" w:rsidRDefault="336A1BD7" w:rsidP="0E61B5CF">
      <w:pPr>
        <w:rPr>
          <w:rFonts w:eastAsia="Times New Roman"/>
          <w:noProof/>
          <w:lang w:val="en-IE"/>
        </w:rPr>
      </w:pPr>
      <w:r w:rsidRPr="003B11BD">
        <w:rPr>
          <w:noProof/>
          <w:lang w:val="en-IE"/>
        </w:rPr>
        <w:t xml:space="preserve">The Call for Evidence was published on </w:t>
      </w:r>
      <w:r w:rsidR="0C4544C1" w:rsidRPr="003B11BD">
        <w:rPr>
          <w:noProof/>
          <w:lang w:val="en-IE"/>
        </w:rPr>
        <w:t>1 April 2022</w:t>
      </w:r>
      <w:r w:rsidR="429BC64E" w:rsidRPr="003B11BD">
        <w:rPr>
          <w:noProof/>
          <w:lang w:val="en-IE"/>
        </w:rPr>
        <w:t xml:space="preserve">. </w:t>
      </w:r>
      <w:r w:rsidRPr="003B11BD">
        <w:rPr>
          <w:noProof/>
          <w:lang w:val="en-IE"/>
        </w:rPr>
        <w:t xml:space="preserve">It was </w:t>
      </w:r>
      <w:r w:rsidRPr="003B11BD">
        <w:rPr>
          <w:rFonts w:eastAsia="Times New Roman"/>
          <w:noProof/>
          <w:lang w:val="en-IE"/>
        </w:rPr>
        <w:t xml:space="preserve">followed by a feedback period that lasted until </w:t>
      </w:r>
      <w:r w:rsidR="14960031" w:rsidRPr="003B11BD">
        <w:rPr>
          <w:rFonts w:eastAsia="Times New Roman"/>
          <w:noProof/>
          <w:lang w:val="en-IE"/>
        </w:rPr>
        <w:t>29 April 2022</w:t>
      </w:r>
      <w:r w:rsidR="429BC64E" w:rsidRPr="003B11BD">
        <w:rPr>
          <w:rFonts w:eastAsia="Times New Roman"/>
          <w:noProof/>
          <w:lang w:val="en-IE"/>
        </w:rPr>
        <w:t>.</w:t>
      </w:r>
      <w:r w:rsidR="681A5AD3" w:rsidRPr="003B11BD">
        <w:rPr>
          <w:rFonts w:eastAsia="Times New Roman"/>
          <w:noProof/>
          <w:lang w:val="en-IE"/>
        </w:rPr>
        <w:t xml:space="preserve"> </w:t>
      </w:r>
      <w:r w:rsidR="2B112818" w:rsidRPr="003B11BD">
        <w:rPr>
          <w:rFonts w:eastAsia="Times New Roman"/>
          <w:noProof/>
          <w:lang w:val="en-IE"/>
        </w:rPr>
        <w:t>57</w:t>
      </w:r>
      <w:r w:rsidR="5EFCA78D" w:rsidRPr="003B11BD">
        <w:rPr>
          <w:rFonts w:eastAsia="Times New Roman"/>
          <w:noProof/>
          <w:lang w:val="en-IE"/>
        </w:rPr>
        <w:t xml:space="preserve"> stakeholders submitted feedback. </w:t>
      </w:r>
      <w:r w:rsidR="0C90E753" w:rsidRPr="003B11BD">
        <w:rPr>
          <w:rFonts w:eastAsia="Times New Roman"/>
          <w:noProof/>
          <w:lang w:val="en-IE"/>
        </w:rPr>
        <w:t xml:space="preserve">The Commission held a public consultation from </w:t>
      </w:r>
      <w:r w:rsidR="126AD682" w:rsidRPr="003B11BD">
        <w:rPr>
          <w:rFonts w:eastAsia="Times New Roman"/>
          <w:noProof/>
          <w:lang w:val="en-IE"/>
        </w:rPr>
        <w:t>7 July 2022</w:t>
      </w:r>
      <w:r w:rsidR="0C90E753" w:rsidRPr="003B11BD">
        <w:rPr>
          <w:rFonts w:eastAsia="Times New Roman"/>
          <w:noProof/>
          <w:lang w:val="en-IE"/>
        </w:rPr>
        <w:t xml:space="preserve"> to </w:t>
      </w:r>
      <w:r w:rsidR="02DBEF9E" w:rsidRPr="003B11BD">
        <w:rPr>
          <w:rFonts w:eastAsia="Times New Roman"/>
          <w:noProof/>
          <w:lang w:val="en-IE"/>
        </w:rPr>
        <w:t>29 September</w:t>
      </w:r>
      <w:r w:rsidR="11552FCA" w:rsidRPr="003B11BD">
        <w:rPr>
          <w:rFonts w:eastAsia="Times New Roman"/>
          <w:noProof/>
          <w:lang w:val="en-IE"/>
        </w:rPr>
        <w:t xml:space="preserve"> 2022.</w:t>
      </w:r>
      <w:r w:rsidR="0C90E753" w:rsidRPr="003B11BD">
        <w:rPr>
          <w:rFonts w:eastAsia="Times New Roman"/>
          <w:noProof/>
          <w:lang w:val="en-IE"/>
        </w:rPr>
        <w:t xml:space="preserve"> This consultation was available on the Better Regulation Portal of the Commission and open to anyone who wished to reply. The public consultation received </w:t>
      </w:r>
      <w:r w:rsidR="124310E5" w:rsidRPr="003B11BD">
        <w:rPr>
          <w:rFonts w:eastAsia="Times New Roman"/>
          <w:noProof/>
          <w:lang w:val="en-IE"/>
        </w:rPr>
        <w:t>74</w:t>
      </w:r>
      <w:r w:rsidR="0C90E753" w:rsidRPr="003B11BD">
        <w:rPr>
          <w:rFonts w:eastAsia="Times New Roman"/>
          <w:noProof/>
          <w:lang w:val="en-IE"/>
        </w:rPr>
        <w:t xml:space="preserve"> replies through the EU survey. </w:t>
      </w:r>
    </w:p>
    <w:p w14:paraId="39AEE87E" w14:textId="3F70D0AF" w:rsidR="336A1BD7" w:rsidRPr="003B11BD" w:rsidRDefault="0C90E753" w:rsidP="5615CC22">
      <w:pPr>
        <w:rPr>
          <w:rFonts w:eastAsia="Times New Roman"/>
          <w:noProof/>
          <w:lang w:val="en-IE"/>
        </w:rPr>
      </w:pPr>
      <w:r w:rsidRPr="003B11BD">
        <w:rPr>
          <w:rFonts w:eastAsia="Times New Roman"/>
          <w:noProof/>
          <w:lang w:val="en-IE"/>
        </w:rPr>
        <w:t xml:space="preserve">The work on the Impact Assessment was carried out from </w:t>
      </w:r>
      <w:r w:rsidR="4A958B6D" w:rsidRPr="003B11BD">
        <w:rPr>
          <w:rFonts w:eastAsia="Times New Roman"/>
          <w:noProof/>
          <w:lang w:val="en-IE"/>
        </w:rPr>
        <w:t>A</w:t>
      </w:r>
      <w:r w:rsidR="16597624" w:rsidRPr="003B11BD">
        <w:rPr>
          <w:rFonts w:eastAsia="Times New Roman"/>
          <w:noProof/>
          <w:lang w:val="en-IE"/>
        </w:rPr>
        <w:t>pril</w:t>
      </w:r>
      <w:r w:rsidRPr="003B11BD">
        <w:rPr>
          <w:rFonts w:eastAsia="Times New Roman"/>
          <w:noProof/>
          <w:lang w:val="en-IE"/>
        </w:rPr>
        <w:t xml:space="preserve"> 2022 to January 2023, during which an </w:t>
      </w:r>
      <w:r w:rsidR="00546159" w:rsidRPr="003B11BD">
        <w:rPr>
          <w:rFonts w:eastAsia="Times New Roman"/>
          <w:noProof/>
          <w:lang w:val="en-IE"/>
        </w:rPr>
        <w:t>Interservice Steering</w:t>
      </w:r>
      <w:r w:rsidRPr="003B11BD">
        <w:rPr>
          <w:rFonts w:eastAsia="Times New Roman"/>
          <w:noProof/>
          <w:lang w:val="en-IE"/>
        </w:rPr>
        <w:t xml:space="preserve"> Group (I</w:t>
      </w:r>
      <w:r w:rsidR="00546159" w:rsidRPr="003B11BD">
        <w:rPr>
          <w:rFonts w:eastAsia="Times New Roman"/>
          <w:noProof/>
          <w:lang w:val="en-IE"/>
        </w:rPr>
        <w:t>S</w:t>
      </w:r>
      <w:r w:rsidRPr="003B11BD">
        <w:rPr>
          <w:rFonts w:eastAsia="Times New Roman"/>
          <w:noProof/>
          <w:lang w:val="en-IE"/>
        </w:rPr>
        <w:t xml:space="preserve">SG) met </w:t>
      </w:r>
      <w:r w:rsidR="595B952C" w:rsidRPr="003B11BD">
        <w:rPr>
          <w:rFonts w:eastAsia="Times New Roman"/>
          <w:noProof/>
          <w:lang w:val="en-IE"/>
        </w:rPr>
        <w:t>three</w:t>
      </w:r>
      <w:r w:rsidR="20CE8EC1" w:rsidRPr="003B11BD">
        <w:rPr>
          <w:rFonts w:eastAsia="Times New Roman"/>
          <w:noProof/>
          <w:lang w:val="en-IE"/>
        </w:rPr>
        <w:t xml:space="preserve"> </w:t>
      </w:r>
      <w:r w:rsidRPr="003B11BD">
        <w:rPr>
          <w:rFonts w:eastAsia="Times New Roman"/>
          <w:noProof/>
          <w:lang w:val="en-IE"/>
        </w:rPr>
        <w:t>times to give an update on the ongoing work and discuss preliminary versions of the Impact assessment report, together with all the supporting documents.</w:t>
      </w:r>
    </w:p>
    <w:p w14:paraId="4E1D5334" w14:textId="01B2DF2A" w:rsidR="00AB6ED2" w:rsidRPr="003B11BD" w:rsidRDefault="008628F8" w:rsidP="008628F8">
      <w:pPr>
        <w:rPr>
          <w:noProof/>
          <w:lang w:val="en-IE"/>
        </w:rPr>
      </w:pPr>
      <w:r w:rsidRPr="003B11BD">
        <w:rPr>
          <w:noProof/>
          <w:lang w:val="en-IE"/>
        </w:rPr>
        <w:t xml:space="preserve">The following Commission services participated: </w:t>
      </w:r>
      <w:r w:rsidR="000870A3" w:rsidRPr="003B11BD">
        <w:rPr>
          <w:noProof/>
          <w:lang w:val="en-IE"/>
        </w:rPr>
        <w:t>SG, SJ, COMP, ENER,</w:t>
      </w:r>
      <w:r w:rsidR="008B1C80" w:rsidRPr="003B11BD">
        <w:rPr>
          <w:noProof/>
          <w:lang w:val="en-IE"/>
        </w:rPr>
        <w:t xml:space="preserve"> SANTE, HERA, TRADE, RTD, INTPA and</w:t>
      </w:r>
      <w:r w:rsidR="000870A3" w:rsidRPr="003B11BD">
        <w:rPr>
          <w:noProof/>
          <w:lang w:val="en-IE"/>
        </w:rPr>
        <w:t xml:space="preserve"> JRC</w:t>
      </w:r>
      <w:r w:rsidR="00AB6ED2" w:rsidRPr="003B11BD">
        <w:rPr>
          <w:noProof/>
          <w:lang w:val="en-IE"/>
        </w:rPr>
        <w:t>.</w:t>
      </w:r>
    </w:p>
    <w:p w14:paraId="71E44CF2" w14:textId="73A5B3F6" w:rsidR="1442C848" w:rsidRPr="003B11BD" w:rsidRDefault="1442C848" w:rsidP="5615CC22">
      <w:pPr>
        <w:rPr>
          <w:noProof/>
          <w:lang w:val="en-IE"/>
        </w:rPr>
      </w:pPr>
      <w:r w:rsidRPr="003B11BD">
        <w:rPr>
          <w:noProof/>
          <w:lang w:val="en-IE"/>
        </w:rPr>
        <w:t xml:space="preserve">The deadline for adoption of a proposal by the Commission is April 2023.   </w:t>
      </w:r>
    </w:p>
    <w:p w14:paraId="61296961" w14:textId="1B4CBBBF" w:rsidR="006B087E" w:rsidRPr="003B11BD" w:rsidRDefault="006B087E" w:rsidP="00D6264D">
      <w:pPr>
        <w:pStyle w:val="Annexsubsections"/>
        <w:rPr>
          <w:noProof/>
        </w:rPr>
      </w:pPr>
      <w:bookmarkStart w:id="1106" w:name="_Toc471997757"/>
      <w:r w:rsidRPr="003B11BD">
        <w:rPr>
          <w:noProof/>
        </w:rPr>
        <w:t>Consultation of the RSB</w:t>
      </w:r>
      <w:bookmarkEnd w:id="1106"/>
    </w:p>
    <w:p w14:paraId="567B4789" w14:textId="2FF56C8A" w:rsidR="00D81583" w:rsidRPr="003B11BD" w:rsidRDefault="55809D12" w:rsidP="00D81583">
      <w:pPr>
        <w:rPr>
          <w:noProof/>
          <w:lang w:val="en-IE"/>
        </w:rPr>
      </w:pPr>
      <w:r w:rsidRPr="003B11BD">
        <w:rPr>
          <w:noProof/>
          <w:lang w:val="en-IE"/>
        </w:rPr>
        <w:t xml:space="preserve">The Regulatory Scrutiny Board </w:t>
      </w:r>
      <w:r w:rsidR="3CB231AE" w:rsidRPr="003B11BD">
        <w:rPr>
          <w:noProof/>
          <w:lang w:val="en-IE"/>
        </w:rPr>
        <w:t xml:space="preserve">(RSB) </w:t>
      </w:r>
      <w:r w:rsidRPr="003B11BD">
        <w:rPr>
          <w:noProof/>
          <w:lang w:val="en-IE"/>
        </w:rPr>
        <w:t xml:space="preserve">was consulted in an upfront meeting on </w:t>
      </w:r>
      <w:r w:rsidR="6F85AF05" w:rsidRPr="003B11BD">
        <w:rPr>
          <w:noProof/>
          <w:lang w:val="en-IE"/>
        </w:rPr>
        <w:t>15 July 2022</w:t>
      </w:r>
      <w:r w:rsidR="0E80D17E" w:rsidRPr="003B11BD">
        <w:rPr>
          <w:noProof/>
          <w:lang w:val="en-IE"/>
        </w:rPr>
        <w:t>.</w:t>
      </w:r>
      <w:r w:rsidRPr="003B11BD">
        <w:rPr>
          <w:noProof/>
          <w:lang w:val="en-IE"/>
        </w:rPr>
        <w:t xml:space="preserve"> The present impact assessment report was submitted to the </w:t>
      </w:r>
      <w:r w:rsidR="20A65C12" w:rsidRPr="003B11BD">
        <w:rPr>
          <w:noProof/>
          <w:lang w:val="en-IE"/>
        </w:rPr>
        <w:t>RSB</w:t>
      </w:r>
      <w:r w:rsidR="0E80D17E" w:rsidRPr="003B11BD">
        <w:rPr>
          <w:noProof/>
          <w:lang w:val="en-IE"/>
        </w:rPr>
        <w:t xml:space="preserve"> </w:t>
      </w:r>
      <w:r w:rsidR="04F31795" w:rsidRPr="003B11BD">
        <w:rPr>
          <w:noProof/>
          <w:lang w:val="en-IE"/>
        </w:rPr>
        <w:t xml:space="preserve">on </w:t>
      </w:r>
      <w:r w:rsidR="001F0FDC" w:rsidRPr="003B11BD">
        <w:rPr>
          <w:noProof/>
          <w:lang w:val="en-IE"/>
        </w:rPr>
        <w:t>06.01</w:t>
      </w:r>
      <w:r w:rsidR="00144730" w:rsidRPr="003B11BD">
        <w:rPr>
          <w:noProof/>
          <w:lang w:val="en-IE"/>
        </w:rPr>
        <w:t>.</w:t>
      </w:r>
      <w:r w:rsidR="04F31795" w:rsidRPr="003B11BD">
        <w:rPr>
          <w:noProof/>
          <w:lang w:val="en-IE"/>
        </w:rPr>
        <w:t>2023</w:t>
      </w:r>
      <w:r w:rsidR="0E80D17E" w:rsidRPr="003B11BD">
        <w:rPr>
          <w:noProof/>
          <w:lang w:val="en-IE"/>
        </w:rPr>
        <w:t>.</w:t>
      </w:r>
      <w:r w:rsidRPr="003B11BD">
        <w:rPr>
          <w:noProof/>
          <w:lang w:val="en-IE"/>
        </w:rPr>
        <w:t xml:space="preserve"> The Impact Assessment was discussed with the RSB on </w:t>
      </w:r>
      <w:r w:rsidR="001F0FDC" w:rsidRPr="003B11BD">
        <w:rPr>
          <w:noProof/>
          <w:lang w:val="en-IE"/>
        </w:rPr>
        <w:t>01.02.</w:t>
      </w:r>
      <w:r w:rsidR="0CEFD16A" w:rsidRPr="003B11BD">
        <w:rPr>
          <w:noProof/>
          <w:lang w:val="en-IE"/>
        </w:rPr>
        <w:t xml:space="preserve">2023. </w:t>
      </w:r>
      <w:r w:rsidR="00D81583" w:rsidRPr="003B11BD">
        <w:rPr>
          <w:noProof/>
          <w:lang w:val="en-IE"/>
        </w:rPr>
        <w:t>On</w:t>
      </w:r>
      <w:r w:rsidR="001F0FDC" w:rsidRPr="003B11BD">
        <w:rPr>
          <w:noProof/>
          <w:lang w:val="en-IE"/>
        </w:rPr>
        <w:t xml:space="preserve"> 03.02.</w:t>
      </w:r>
      <w:r w:rsidR="00D81583" w:rsidRPr="003B11BD">
        <w:rPr>
          <w:noProof/>
          <w:lang w:val="en-IE"/>
        </w:rPr>
        <w:t xml:space="preserve">2023 the RSB delivered </w:t>
      </w:r>
      <w:r w:rsidR="0CEFD16A" w:rsidRPr="003B11BD">
        <w:rPr>
          <w:noProof/>
          <w:lang w:val="en-IE"/>
        </w:rPr>
        <w:t>a</w:t>
      </w:r>
      <w:r w:rsidR="001F0FDC" w:rsidRPr="003B11BD">
        <w:rPr>
          <w:noProof/>
          <w:lang w:val="en-IE"/>
        </w:rPr>
        <w:t xml:space="preserve"> positive</w:t>
      </w:r>
      <w:r w:rsidR="0CEFD16A" w:rsidRPr="003B11BD">
        <w:rPr>
          <w:noProof/>
          <w:lang w:val="en-IE"/>
        </w:rPr>
        <w:t xml:space="preserve"> </w:t>
      </w:r>
      <w:r w:rsidR="00D81583" w:rsidRPr="003B11BD">
        <w:rPr>
          <w:noProof/>
          <w:lang w:val="en-IE"/>
        </w:rPr>
        <w:t>opinion</w:t>
      </w:r>
      <w:r w:rsidR="179C07E3" w:rsidRPr="003B11BD">
        <w:rPr>
          <w:noProof/>
          <w:lang w:val="en-IE"/>
        </w:rPr>
        <w:t>.</w:t>
      </w:r>
      <w:r w:rsidR="617E96F7" w:rsidRPr="003B11BD">
        <w:rPr>
          <w:noProof/>
          <w:lang w:val="en-IE"/>
        </w:rPr>
        <w:t xml:space="preserve"> </w:t>
      </w:r>
      <w:bookmarkStart w:id="1107" w:name="_Toc471997758"/>
      <w:r w:rsidR="001F0FDC" w:rsidRPr="003B11BD">
        <w:rPr>
          <w:noProof/>
          <w:lang w:val="en-IE"/>
        </w:rPr>
        <w:t>The table below shows RSB comments and how they were addressed in the revised text.</w:t>
      </w:r>
    </w:p>
    <w:p w14:paraId="7E31ACF4" w14:textId="43E73C58" w:rsidR="001F0FDC" w:rsidRPr="003B11BD" w:rsidRDefault="001F0FDC" w:rsidP="001F0FDC">
      <w:pPr>
        <w:pStyle w:val="Caption"/>
        <w:rPr>
          <w:noProof/>
          <w:lang w:val="en-IE"/>
        </w:rPr>
      </w:pPr>
      <w:r w:rsidRPr="003B11BD">
        <w:rPr>
          <w:noProof/>
          <w:lang w:val="en-IE"/>
        </w:rPr>
        <w:t xml:space="preserve">Table </w:t>
      </w:r>
      <w:r w:rsidR="00C6592A">
        <w:rPr>
          <w:noProof/>
          <w:lang w:val="en-IE"/>
        </w:rPr>
        <w:t>11</w:t>
      </w:r>
      <w:r w:rsidRPr="003B11BD">
        <w:rPr>
          <w:noProof/>
          <w:lang w:val="en-IE"/>
        </w:rPr>
        <w:t>: RSB comments to the initial version of the impact assessment</w:t>
      </w:r>
    </w:p>
    <w:tbl>
      <w:tblPr>
        <w:tblStyle w:val="TableGrid"/>
        <w:tblW w:w="0" w:type="auto"/>
        <w:tblLook w:val="04A0" w:firstRow="1" w:lastRow="0" w:firstColumn="1" w:lastColumn="0" w:noHBand="0" w:noVBand="1"/>
      </w:tblPr>
      <w:tblGrid>
        <w:gridCol w:w="4379"/>
        <w:gridCol w:w="4379"/>
      </w:tblGrid>
      <w:tr w:rsidR="00D81583" w:rsidRPr="003B11BD" w14:paraId="4884914B" w14:textId="77777777" w:rsidTr="00030C9A">
        <w:tc>
          <w:tcPr>
            <w:tcW w:w="4379" w:type="dxa"/>
          </w:tcPr>
          <w:p w14:paraId="504D4796" w14:textId="77777777" w:rsidR="00D81583" w:rsidRPr="003B11BD" w:rsidRDefault="00D81583" w:rsidP="00030C9A">
            <w:pPr>
              <w:spacing w:after="0"/>
              <w:jc w:val="center"/>
              <w:rPr>
                <w:b/>
                <w:i/>
                <w:noProof/>
                <w:sz w:val="18"/>
                <w:u w:val="single"/>
                <w:lang w:val="en-IE"/>
              </w:rPr>
            </w:pPr>
            <w:r w:rsidRPr="003B11BD">
              <w:rPr>
                <w:b/>
                <w:i/>
                <w:noProof/>
                <w:sz w:val="18"/>
                <w:u w:val="single"/>
                <w:lang w:val="en-IE"/>
              </w:rPr>
              <w:t>RSB comments</w:t>
            </w:r>
          </w:p>
        </w:tc>
        <w:tc>
          <w:tcPr>
            <w:tcW w:w="4379" w:type="dxa"/>
          </w:tcPr>
          <w:p w14:paraId="3FC01F7B" w14:textId="77777777" w:rsidR="00D81583" w:rsidRPr="003B11BD" w:rsidRDefault="00D81583" w:rsidP="00030C9A">
            <w:pPr>
              <w:spacing w:after="0"/>
              <w:jc w:val="center"/>
              <w:rPr>
                <w:b/>
                <w:i/>
                <w:noProof/>
                <w:sz w:val="18"/>
                <w:u w:val="single"/>
                <w:lang w:val="en-IE"/>
              </w:rPr>
            </w:pPr>
            <w:r w:rsidRPr="003B11BD">
              <w:rPr>
                <w:b/>
                <w:i/>
                <w:noProof/>
                <w:sz w:val="18"/>
                <w:u w:val="single"/>
                <w:lang w:val="en-IE"/>
              </w:rPr>
              <w:t>DG GROW replies</w:t>
            </w:r>
          </w:p>
        </w:tc>
      </w:tr>
      <w:tr w:rsidR="00D81583" w:rsidRPr="003B11BD" w14:paraId="132AC4D5" w14:textId="77777777" w:rsidTr="00030C9A">
        <w:tc>
          <w:tcPr>
            <w:tcW w:w="4379" w:type="dxa"/>
          </w:tcPr>
          <w:p w14:paraId="20C6BB65" w14:textId="09BC9B4C" w:rsidR="00D81583" w:rsidRPr="003B11BD" w:rsidRDefault="001F0FDC" w:rsidP="001F0FDC">
            <w:pPr>
              <w:spacing w:after="0"/>
              <w:rPr>
                <w:noProof/>
                <w:sz w:val="18"/>
                <w:lang w:val="en-IE"/>
              </w:rPr>
            </w:pPr>
            <w:r w:rsidRPr="003B11BD">
              <w:rPr>
                <w:noProof/>
                <w:sz w:val="18"/>
                <w:lang w:val="en-IE"/>
              </w:rPr>
              <w:t xml:space="preserve">(1) The problem definition is not sufficiently clear on the remaining scale of the problem. </w:t>
            </w:r>
          </w:p>
        </w:tc>
        <w:tc>
          <w:tcPr>
            <w:tcW w:w="4379" w:type="dxa"/>
          </w:tcPr>
          <w:p w14:paraId="030FE0AB" w14:textId="45A37E45" w:rsidR="00D81583" w:rsidRPr="003B11BD" w:rsidRDefault="001F0FDC" w:rsidP="00B37B8B">
            <w:pPr>
              <w:spacing w:after="0"/>
              <w:rPr>
                <w:noProof/>
                <w:sz w:val="18"/>
                <w:lang w:val="en-IE"/>
              </w:rPr>
            </w:pPr>
            <w:r w:rsidRPr="003B11BD">
              <w:rPr>
                <w:noProof/>
                <w:sz w:val="18"/>
                <w:lang w:val="en-IE"/>
              </w:rPr>
              <w:t>Additional clarifications have been introduced</w:t>
            </w:r>
            <w:r w:rsidR="00B37B8B" w:rsidRPr="003B11BD">
              <w:rPr>
                <w:noProof/>
                <w:sz w:val="18"/>
                <w:lang w:val="en-IE"/>
              </w:rPr>
              <w:t xml:space="preserve"> in sections 2.3 and 2.4, in particular</w:t>
            </w:r>
            <w:r w:rsidR="00341705" w:rsidRPr="003B11BD">
              <w:rPr>
                <w:noProof/>
                <w:sz w:val="18"/>
                <w:lang w:val="en-IE"/>
              </w:rPr>
              <w:t xml:space="preserve"> concerning the likelihood that the envisaged EU </w:t>
            </w:r>
            <w:r w:rsidR="00A16682" w:rsidRPr="003B11BD">
              <w:rPr>
                <w:noProof/>
                <w:sz w:val="18"/>
                <w:lang w:val="en-IE"/>
              </w:rPr>
              <w:t xml:space="preserve">compulsory licensing </w:t>
            </w:r>
            <w:r w:rsidR="00341705" w:rsidRPr="003B11BD">
              <w:rPr>
                <w:noProof/>
                <w:sz w:val="18"/>
                <w:lang w:val="en-IE"/>
              </w:rPr>
              <w:t xml:space="preserve">rules will be needed and </w:t>
            </w:r>
            <w:r w:rsidR="00B37B8B" w:rsidRPr="003B11BD">
              <w:rPr>
                <w:noProof/>
                <w:sz w:val="18"/>
                <w:lang w:val="en-IE"/>
              </w:rPr>
              <w:t xml:space="preserve">the </w:t>
            </w:r>
            <w:r w:rsidR="00341705" w:rsidRPr="003B11BD">
              <w:rPr>
                <w:noProof/>
                <w:sz w:val="18"/>
                <w:lang w:val="en-IE"/>
              </w:rPr>
              <w:t xml:space="preserve">gap EU </w:t>
            </w:r>
            <w:r w:rsidR="00A16682" w:rsidRPr="003B11BD">
              <w:rPr>
                <w:noProof/>
                <w:sz w:val="18"/>
                <w:lang w:val="en-IE"/>
              </w:rPr>
              <w:t xml:space="preserve">compulsory licensing </w:t>
            </w:r>
            <w:r w:rsidR="00341705" w:rsidRPr="003B11BD">
              <w:rPr>
                <w:noProof/>
                <w:sz w:val="18"/>
                <w:lang w:val="en-IE"/>
              </w:rPr>
              <w:t>rules would cover</w:t>
            </w:r>
            <w:r w:rsidR="00B37B8B" w:rsidRPr="003B11BD">
              <w:rPr>
                <w:noProof/>
                <w:sz w:val="18"/>
                <w:lang w:val="en-IE"/>
              </w:rPr>
              <w:t xml:space="preserve"> </w:t>
            </w:r>
            <w:r w:rsidR="007976EA" w:rsidRPr="003B11BD">
              <w:rPr>
                <w:noProof/>
                <w:sz w:val="18"/>
                <w:lang w:val="en-IE"/>
              </w:rPr>
              <w:t>in the event of a</w:t>
            </w:r>
            <w:r w:rsidR="00B37B8B" w:rsidRPr="003B11BD">
              <w:rPr>
                <w:noProof/>
                <w:sz w:val="18"/>
                <w:lang w:val="en-IE"/>
              </w:rPr>
              <w:t xml:space="preserve"> cross-border crisis</w:t>
            </w:r>
            <w:r w:rsidR="00341705" w:rsidRPr="003B11BD">
              <w:rPr>
                <w:noProof/>
                <w:sz w:val="18"/>
                <w:lang w:val="en-IE"/>
              </w:rPr>
              <w:t>.</w:t>
            </w:r>
          </w:p>
        </w:tc>
      </w:tr>
      <w:tr w:rsidR="00D81583" w:rsidRPr="003B11BD" w14:paraId="3F6FCCAC" w14:textId="77777777" w:rsidTr="00030C9A">
        <w:tc>
          <w:tcPr>
            <w:tcW w:w="4379" w:type="dxa"/>
          </w:tcPr>
          <w:p w14:paraId="6ACDE882" w14:textId="6348E202" w:rsidR="00D81583" w:rsidRPr="003B11BD" w:rsidRDefault="001F0FDC" w:rsidP="001F0FDC">
            <w:pPr>
              <w:spacing w:after="0"/>
              <w:rPr>
                <w:noProof/>
                <w:sz w:val="18"/>
                <w:lang w:val="en-IE"/>
              </w:rPr>
            </w:pPr>
            <w:r w:rsidRPr="003B11BD">
              <w:rPr>
                <w:noProof/>
                <w:sz w:val="18"/>
                <w:lang w:val="en-IE"/>
              </w:rPr>
              <w:t xml:space="preserve">(2) The report does not sufficiently describe the content and functioning of the EU level options, including the intended safeguards. The expected efficiency gains and overall effectiveness are not sufficiently demonstrated. </w:t>
            </w:r>
          </w:p>
        </w:tc>
        <w:tc>
          <w:tcPr>
            <w:tcW w:w="4379" w:type="dxa"/>
          </w:tcPr>
          <w:p w14:paraId="785DBEDB" w14:textId="41415880" w:rsidR="00D81583" w:rsidRPr="003B11BD" w:rsidRDefault="00B37B8B" w:rsidP="00B37B8B">
            <w:pPr>
              <w:spacing w:after="0"/>
              <w:rPr>
                <w:noProof/>
                <w:sz w:val="18"/>
                <w:lang w:val="en-IE"/>
              </w:rPr>
            </w:pPr>
            <w:r w:rsidRPr="003B11BD">
              <w:rPr>
                <w:noProof/>
                <w:sz w:val="18"/>
                <w:lang w:val="en-IE"/>
              </w:rPr>
              <w:t>Additional clarifications have been introduced in section 8 concerning safeguards to prevent any misuse of the proposed compulsory licence scheme. The efficiency and timeliness of EU-level compulsory licence would be ensured by adequate governance design, which is now discussed at more length in section 5.2.4.</w:t>
            </w:r>
          </w:p>
        </w:tc>
      </w:tr>
      <w:tr w:rsidR="00D81583" w:rsidRPr="003B11BD" w14:paraId="73CDD64A" w14:textId="77777777" w:rsidTr="00030C9A">
        <w:tc>
          <w:tcPr>
            <w:tcW w:w="4379" w:type="dxa"/>
          </w:tcPr>
          <w:p w14:paraId="3F0BB8BA" w14:textId="48D29429" w:rsidR="00D81583" w:rsidRPr="003B11BD" w:rsidRDefault="001F0FDC" w:rsidP="006047EB">
            <w:pPr>
              <w:spacing w:after="0"/>
              <w:rPr>
                <w:noProof/>
                <w:sz w:val="18"/>
                <w:lang w:val="en-IE"/>
              </w:rPr>
            </w:pPr>
            <w:r w:rsidRPr="003B11BD">
              <w:rPr>
                <w:noProof/>
                <w:sz w:val="18"/>
                <w:lang w:val="en-IE"/>
              </w:rPr>
              <w:t>(3) The report does not comprehensively analyse the impact on competitiveness and innovation, including investments in innovative products in case of crisis.</w:t>
            </w:r>
          </w:p>
        </w:tc>
        <w:tc>
          <w:tcPr>
            <w:tcW w:w="4379" w:type="dxa"/>
          </w:tcPr>
          <w:p w14:paraId="3FBA9408" w14:textId="6354BB2B" w:rsidR="00D81583" w:rsidRPr="003B11BD" w:rsidRDefault="00B37B8B" w:rsidP="00B37B8B">
            <w:pPr>
              <w:spacing w:after="0"/>
              <w:rPr>
                <w:noProof/>
                <w:sz w:val="18"/>
                <w:lang w:val="en-IE"/>
              </w:rPr>
            </w:pPr>
            <w:r w:rsidRPr="003B11BD">
              <w:rPr>
                <w:noProof/>
                <w:sz w:val="18"/>
                <w:lang w:val="en-IE"/>
              </w:rPr>
              <w:t>Section 6.5.3 has been expanded by referring to a</w:t>
            </w:r>
            <w:r w:rsidR="00A17560" w:rsidRPr="003B11BD">
              <w:rPr>
                <w:noProof/>
                <w:sz w:val="18"/>
                <w:lang w:val="en-IE"/>
              </w:rPr>
              <w:t xml:space="preserve"> broader</w:t>
            </w:r>
            <w:r w:rsidRPr="003B11BD">
              <w:rPr>
                <w:noProof/>
                <w:sz w:val="18"/>
                <w:lang w:val="en-IE"/>
              </w:rPr>
              <w:t xml:space="preserve"> policy trade-off between keeping the incentives for innovation through IP protection while ensuring access to critical products in cross-border crisis situations. </w:t>
            </w:r>
          </w:p>
        </w:tc>
      </w:tr>
    </w:tbl>
    <w:p w14:paraId="50E943DA" w14:textId="52BC5D7B" w:rsidR="00D81583" w:rsidRPr="003B11BD" w:rsidRDefault="00D81583" w:rsidP="00D81583">
      <w:pPr>
        <w:rPr>
          <w:noProof/>
          <w:lang w:val="en-IE"/>
        </w:rPr>
      </w:pPr>
    </w:p>
    <w:p w14:paraId="378C5B23" w14:textId="58937D0C" w:rsidR="006B087E" w:rsidRPr="003B11BD" w:rsidRDefault="006B087E" w:rsidP="00D6264D">
      <w:pPr>
        <w:pStyle w:val="Annexsubsections"/>
        <w:rPr>
          <w:noProof/>
        </w:rPr>
      </w:pPr>
      <w:r w:rsidRPr="003B11BD">
        <w:rPr>
          <w:noProof/>
        </w:rPr>
        <w:t>Evidence, sources and quality</w:t>
      </w:r>
      <w:bookmarkEnd w:id="1107"/>
    </w:p>
    <w:p w14:paraId="1E912070" w14:textId="4D423401" w:rsidR="006B087E" w:rsidRPr="003B11BD" w:rsidRDefault="003F5CFD" w:rsidP="000E3086">
      <w:pPr>
        <w:rPr>
          <w:noProof/>
          <w:lang w:val="en-IE"/>
        </w:rPr>
      </w:pPr>
      <w:r w:rsidRPr="003B11BD">
        <w:rPr>
          <w:noProof/>
          <w:lang w:val="en-IE"/>
        </w:rPr>
        <w:t>Analysis presented in this impact assessment is based on the following key sources:</w:t>
      </w:r>
    </w:p>
    <w:p w14:paraId="50DF79E7" w14:textId="70E605B0" w:rsidR="219468DA" w:rsidRPr="003B11BD" w:rsidRDefault="002F37FF" w:rsidP="004C618F">
      <w:pPr>
        <w:pStyle w:val="Bullets"/>
        <w:rPr>
          <w:noProof/>
        </w:rPr>
      </w:pPr>
      <w:r w:rsidRPr="003B11BD">
        <w:rPr>
          <w:noProof/>
        </w:rPr>
        <w:t>Feedback to t</w:t>
      </w:r>
      <w:r w:rsidR="219468DA" w:rsidRPr="003B11BD">
        <w:rPr>
          <w:noProof/>
        </w:rPr>
        <w:t xml:space="preserve">he </w:t>
      </w:r>
      <w:r w:rsidR="2AE0E47B" w:rsidRPr="003B11BD">
        <w:rPr>
          <w:noProof/>
        </w:rPr>
        <w:t>C</w:t>
      </w:r>
      <w:r w:rsidR="219468DA" w:rsidRPr="003B11BD">
        <w:rPr>
          <w:noProof/>
        </w:rPr>
        <w:t xml:space="preserve">all for </w:t>
      </w:r>
      <w:r w:rsidR="10E55F61" w:rsidRPr="003B11BD">
        <w:rPr>
          <w:noProof/>
        </w:rPr>
        <w:t>E</w:t>
      </w:r>
      <w:r w:rsidR="219468DA" w:rsidRPr="003B11BD">
        <w:rPr>
          <w:noProof/>
        </w:rPr>
        <w:t>vidence on</w:t>
      </w:r>
      <w:r w:rsidR="6E76B8E8" w:rsidRPr="003B11BD">
        <w:rPr>
          <w:noProof/>
        </w:rPr>
        <w:t xml:space="preserve"> Compulsory </w:t>
      </w:r>
      <w:r w:rsidR="00C55853" w:rsidRPr="003B11BD">
        <w:rPr>
          <w:noProof/>
        </w:rPr>
        <w:t>Licensing</w:t>
      </w:r>
      <w:r w:rsidR="6E76B8E8" w:rsidRPr="003B11BD">
        <w:rPr>
          <w:noProof/>
        </w:rPr>
        <w:t xml:space="preserve"> in the EU that the Commission published on 1 April 2022</w:t>
      </w:r>
      <w:r w:rsidR="00DB2573" w:rsidRPr="003B11BD">
        <w:rPr>
          <w:noProof/>
        </w:rPr>
        <w:t xml:space="preserve"> (</w:t>
      </w:r>
      <w:hyperlink r:id="rId48">
        <w:r w:rsidR="00DB2573" w:rsidRPr="003B11BD">
          <w:rPr>
            <w:rStyle w:val="Hyperlink"/>
            <w:noProof/>
          </w:rPr>
          <w:t>https://ec.europa.eu/info/law/better-regulation/have-your-say/initiatives/13357-Intellectual-property-revised-framework-for-compulsory-licensing-of-patents_en</w:t>
        </w:r>
      </w:hyperlink>
      <w:r w:rsidR="00DB2573" w:rsidRPr="003B11BD">
        <w:rPr>
          <w:noProof/>
        </w:rPr>
        <w:t xml:space="preserve"> ). </w:t>
      </w:r>
    </w:p>
    <w:p w14:paraId="438CA779" w14:textId="75B6C5DC" w:rsidR="002F37FF" w:rsidRPr="003B11BD" w:rsidRDefault="492C6D17" w:rsidP="004C618F">
      <w:pPr>
        <w:pStyle w:val="Bullets"/>
        <w:rPr>
          <w:noProof/>
        </w:rPr>
      </w:pPr>
      <w:r w:rsidRPr="003B11BD">
        <w:rPr>
          <w:noProof/>
        </w:rPr>
        <w:t xml:space="preserve">Replies to the </w:t>
      </w:r>
      <w:r w:rsidR="00DB2573" w:rsidRPr="003B11BD">
        <w:rPr>
          <w:noProof/>
        </w:rPr>
        <w:t>Open Public C</w:t>
      </w:r>
      <w:r w:rsidRPr="003B11BD">
        <w:rPr>
          <w:noProof/>
        </w:rPr>
        <w:t>onsultation on Compulsory Licensing in the EU</w:t>
      </w:r>
      <w:r w:rsidR="002D2E52" w:rsidRPr="003B11BD">
        <w:rPr>
          <w:noProof/>
        </w:rPr>
        <w:t xml:space="preserve"> </w:t>
      </w:r>
      <w:r w:rsidR="00DB2573" w:rsidRPr="003B11BD">
        <w:rPr>
          <w:noProof/>
        </w:rPr>
        <w:t>that was open until 29 September 2022 (</w:t>
      </w:r>
      <w:hyperlink r:id="rId49">
        <w:r w:rsidR="00DB2573" w:rsidRPr="003B11BD">
          <w:rPr>
            <w:rStyle w:val="Hyperlink"/>
            <w:noProof/>
          </w:rPr>
          <w:t>https://single-market-economy.ec.europa.eu/news/commission-seeks-views-and-input-compulsory-licensing-patents-2022-07-07_en</w:t>
        </w:r>
      </w:hyperlink>
      <w:r w:rsidR="008B1C80" w:rsidRPr="003B11BD">
        <w:rPr>
          <w:noProof/>
        </w:rPr>
        <w:t xml:space="preserve"> ), referred to as ‘OPC’.</w:t>
      </w:r>
    </w:p>
    <w:p w14:paraId="7C5D2A30" w14:textId="20F69987" w:rsidR="65833A11" w:rsidRPr="003B11BD" w:rsidRDefault="2FEF6CD5" w:rsidP="004C618F">
      <w:pPr>
        <w:pStyle w:val="Bullets"/>
        <w:rPr>
          <w:noProof/>
        </w:rPr>
      </w:pPr>
      <w:r w:rsidRPr="003B11BD">
        <w:rPr>
          <w:noProof/>
        </w:rPr>
        <w:t>“</w:t>
      </w:r>
      <w:r w:rsidR="30D226D1" w:rsidRPr="003B11BD">
        <w:rPr>
          <w:noProof/>
        </w:rPr>
        <w:t xml:space="preserve">Compulsory </w:t>
      </w:r>
      <w:r w:rsidR="7347B505" w:rsidRPr="003B11BD">
        <w:rPr>
          <w:noProof/>
        </w:rPr>
        <w:t>licensing</w:t>
      </w:r>
      <w:r w:rsidR="30D226D1" w:rsidRPr="003B11BD">
        <w:rPr>
          <w:noProof/>
        </w:rPr>
        <w:t xml:space="preserve"> of intellectual property right</w:t>
      </w:r>
      <w:r w:rsidR="00425129" w:rsidRPr="003B11BD">
        <w:rPr>
          <w:noProof/>
        </w:rPr>
        <w:t>s”</w:t>
      </w:r>
      <w:r w:rsidR="008F728A" w:rsidRPr="003B11BD">
        <w:rPr>
          <w:noProof/>
        </w:rPr>
        <w:t>,</w:t>
      </w:r>
      <w:r w:rsidR="00D00707" w:rsidRPr="003B11BD">
        <w:rPr>
          <w:noProof/>
        </w:rPr>
        <w:t xml:space="preserve"> Center for International Intellectual Property Studies (CEIPI), Université de Strasbourg (UNISTRA), Impact Licensing Initiative (ILI), Ecorys Nederland BV (Ecorys)</w:t>
      </w:r>
      <w:r w:rsidR="001E4C41" w:rsidRPr="003B11BD">
        <w:rPr>
          <w:noProof/>
        </w:rPr>
        <w:t>,</w:t>
      </w:r>
      <w:r w:rsidR="00D00707" w:rsidRPr="003B11BD">
        <w:rPr>
          <w:noProof/>
        </w:rPr>
        <w:t xml:space="preserve"> Brussels </w:t>
      </w:r>
      <w:r w:rsidR="001E4C41" w:rsidRPr="003B11BD">
        <w:rPr>
          <w:noProof/>
        </w:rPr>
        <w:t>2023 ([link available once published])</w:t>
      </w:r>
      <w:r w:rsidR="008B1C80" w:rsidRPr="003B11BD">
        <w:rPr>
          <w:noProof/>
        </w:rPr>
        <w:t>, referred to as ‘CEIPI(2023)’</w:t>
      </w:r>
      <w:r w:rsidR="00D00707" w:rsidRPr="003B11BD">
        <w:rPr>
          <w:noProof/>
        </w:rPr>
        <w:t>.</w:t>
      </w:r>
    </w:p>
    <w:p w14:paraId="7677F10B" w14:textId="1AF8BCF1" w:rsidR="00CB2827" w:rsidRPr="003B11BD" w:rsidRDefault="00EB280E" w:rsidP="004C618F">
      <w:pPr>
        <w:pStyle w:val="Bullets"/>
        <w:rPr>
          <w:noProof/>
        </w:rPr>
      </w:pPr>
      <w:r w:rsidRPr="003B11BD">
        <w:rPr>
          <w:noProof/>
        </w:rPr>
        <w:t>“</w:t>
      </w:r>
      <w:r w:rsidR="00CB2827" w:rsidRPr="003B11BD">
        <w:rPr>
          <w:noProof/>
        </w:rPr>
        <w:t xml:space="preserve">Compulsory </w:t>
      </w:r>
      <w:r w:rsidR="00C55853" w:rsidRPr="003B11BD">
        <w:rPr>
          <w:noProof/>
        </w:rPr>
        <w:t>licensing</w:t>
      </w:r>
      <w:r w:rsidR="00CB2827" w:rsidRPr="003B11BD">
        <w:rPr>
          <w:noProof/>
        </w:rPr>
        <w:t xml:space="preserve"> in Europe, A country-by-country </w:t>
      </w:r>
      <w:r w:rsidR="195404A6" w:rsidRPr="003B11BD">
        <w:rPr>
          <w:noProof/>
        </w:rPr>
        <w:t>overview</w:t>
      </w:r>
      <w:r w:rsidRPr="003B11BD">
        <w:rPr>
          <w:noProof/>
        </w:rPr>
        <w:t>”</w:t>
      </w:r>
      <w:r w:rsidR="195404A6" w:rsidRPr="003B11BD">
        <w:rPr>
          <w:noProof/>
        </w:rPr>
        <w:t>,</w:t>
      </w:r>
      <w:r w:rsidR="371E2142" w:rsidRPr="003B11BD">
        <w:rPr>
          <w:noProof/>
        </w:rPr>
        <w:t xml:space="preserve"> </w:t>
      </w:r>
      <w:r w:rsidRPr="003B11BD">
        <w:rPr>
          <w:noProof/>
        </w:rPr>
        <w:t xml:space="preserve">European Patent Office, </w:t>
      </w:r>
      <w:r w:rsidR="00CB2827" w:rsidRPr="003B11BD">
        <w:rPr>
          <w:noProof/>
        </w:rPr>
        <w:t>2018</w:t>
      </w:r>
      <w:r w:rsidRPr="003B11BD">
        <w:rPr>
          <w:noProof/>
        </w:rPr>
        <w:t xml:space="preserve"> (</w:t>
      </w:r>
      <w:hyperlink r:id="rId50">
        <w:r w:rsidRPr="003B11BD">
          <w:rPr>
            <w:rStyle w:val="Hyperlink"/>
            <w:noProof/>
          </w:rPr>
          <w:t>https://www.epo.org/learning/materials/compulsory-licensing-in-europe.html</w:t>
        </w:r>
      </w:hyperlink>
      <w:r w:rsidRPr="003B11BD">
        <w:rPr>
          <w:noProof/>
        </w:rPr>
        <w:t xml:space="preserve"> )</w:t>
      </w:r>
      <w:r w:rsidR="008B1C80" w:rsidRPr="003B11BD">
        <w:rPr>
          <w:noProof/>
        </w:rPr>
        <w:t>, referred to as ‘EPO(2018)’.</w:t>
      </w:r>
    </w:p>
    <w:p w14:paraId="1D382010" w14:textId="26C23728" w:rsidR="00FE5961" w:rsidRPr="003B11BD" w:rsidRDefault="00FE5961" w:rsidP="00FE5961">
      <w:pPr>
        <w:rPr>
          <w:noProof/>
          <w:lang w:val="en-IE"/>
        </w:rPr>
      </w:pPr>
      <w:r w:rsidRPr="003B11BD">
        <w:rPr>
          <w:noProof/>
          <w:lang w:val="en-IE"/>
        </w:rPr>
        <w:t xml:space="preserve">Additionally, the following data sources were used in order to perform </w:t>
      </w:r>
      <w:r w:rsidR="006744CF" w:rsidRPr="003B11BD">
        <w:rPr>
          <w:noProof/>
          <w:lang w:val="en-IE"/>
        </w:rPr>
        <w:t xml:space="preserve">an </w:t>
      </w:r>
      <w:r w:rsidRPr="003B11BD">
        <w:rPr>
          <w:noProof/>
          <w:lang w:val="en-IE"/>
        </w:rPr>
        <w:t>in-house analysis:</w:t>
      </w:r>
    </w:p>
    <w:p w14:paraId="40B4F71E" w14:textId="47BE8FBE" w:rsidR="00FE5961" w:rsidRPr="003B11BD" w:rsidRDefault="00FE5961" w:rsidP="004C618F">
      <w:pPr>
        <w:pStyle w:val="Bullets"/>
        <w:rPr>
          <w:noProof/>
        </w:rPr>
      </w:pPr>
      <w:r w:rsidRPr="003B11BD">
        <w:rPr>
          <w:noProof/>
        </w:rPr>
        <w:t>PatentSight</w:t>
      </w:r>
      <w:r w:rsidR="00247C22" w:rsidRPr="003B11BD">
        <w:rPr>
          <w:noProof/>
        </w:rPr>
        <w:t>®</w:t>
      </w:r>
      <w:r w:rsidRPr="003B11BD">
        <w:rPr>
          <w:noProof/>
        </w:rPr>
        <w:t xml:space="preserve"> data</w:t>
      </w:r>
      <w:r w:rsidR="00DB2573" w:rsidRPr="003B11BD">
        <w:rPr>
          <w:noProof/>
        </w:rPr>
        <w:t>base</w:t>
      </w:r>
      <w:r w:rsidR="00247C22" w:rsidRPr="003B11BD">
        <w:rPr>
          <w:noProof/>
        </w:rPr>
        <w:t xml:space="preserve"> (https://go.patentsight.com/login.html)</w:t>
      </w:r>
      <w:r w:rsidR="00DB2573" w:rsidRPr="003B11BD">
        <w:rPr>
          <w:noProof/>
        </w:rPr>
        <w:t>.</w:t>
      </w:r>
    </w:p>
    <w:p w14:paraId="7FD1FA87" w14:textId="79790A4B" w:rsidR="00FE5961" w:rsidRPr="003B11BD" w:rsidRDefault="00FE5961" w:rsidP="00FE5961">
      <w:pPr>
        <w:rPr>
          <w:noProof/>
          <w:lang w:val="en-IE"/>
        </w:rPr>
      </w:pPr>
      <w:r w:rsidRPr="003B11BD">
        <w:rPr>
          <w:noProof/>
          <w:lang w:val="en-IE"/>
        </w:rPr>
        <w:t xml:space="preserve">The remaining sources are provided in the footnotes, whenever they are referred to in the text. </w:t>
      </w:r>
    </w:p>
    <w:p w14:paraId="5CD125C0" w14:textId="77777777" w:rsidR="006B087E" w:rsidRPr="003B11BD" w:rsidRDefault="006B087E" w:rsidP="000E3086">
      <w:pPr>
        <w:rPr>
          <w:rFonts w:eastAsia="Times New Roman"/>
          <w:noProof/>
          <w:szCs w:val="20"/>
          <w:lang w:val="en-IE"/>
        </w:rPr>
      </w:pPr>
      <w:r w:rsidRPr="003B11BD">
        <w:rPr>
          <w:noProof/>
          <w:lang w:val="en-IE"/>
        </w:rPr>
        <w:br w:type="page"/>
      </w:r>
    </w:p>
    <w:p w14:paraId="5EA22E1C" w14:textId="7B649470" w:rsidR="006B087E" w:rsidRPr="003B11BD" w:rsidRDefault="006B087E" w:rsidP="00FC6D56">
      <w:pPr>
        <w:pStyle w:val="AnnexTitle"/>
        <w:rPr>
          <w:noProof/>
        </w:rPr>
      </w:pPr>
      <w:bookmarkStart w:id="1108" w:name="_Toc120731250"/>
      <w:bookmarkStart w:id="1109" w:name="_Toc121386412"/>
      <w:bookmarkStart w:id="1110" w:name="_Toc121489636"/>
      <w:bookmarkStart w:id="1111" w:name="_Toc121496396"/>
      <w:bookmarkStart w:id="1112" w:name="_Toc121748049"/>
      <w:bookmarkStart w:id="1113" w:name="_Toc133435402"/>
      <w:r w:rsidRPr="003B11BD">
        <w:rPr>
          <w:noProof/>
        </w:rPr>
        <w:t xml:space="preserve">Annex 2: Stakeholder consultation </w:t>
      </w:r>
      <w:r w:rsidR="00A84A61" w:rsidRPr="003B11BD">
        <w:rPr>
          <w:noProof/>
        </w:rPr>
        <w:t>(Synopsis report)</w:t>
      </w:r>
      <w:bookmarkEnd w:id="1108"/>
      <w:bookmarkEnd w:id="1109"/>
      <w:bookmarkEnd w:id="1110"/>
      <w:bookmarkEnd w:id="1111"/>
      <w:bookmarkEnd w:id="1112"/>
      <w:bookmarkEnd w:id="1113"/>
    </w:p>
    <w:p w14:paraId="7F06A063" w14:textId="77777777" w:rsidR="00011AD3" w:rsidRPr="003B11BD" w:rsidRDefault="00011AD3" w:rsidP="005E35C7">
      <w:pPr>
        <w:pStyle w:val="annexsubsection"/>
      </w:pPr>
      <w:r w:rsidRPr="003B11BD">
        <w:t>Introduction</w:t>
      </w:r>
    </w:p>
    <w:p w14:paraId="3C440408" w14:textId="39EEE643" w:rsidR="00011AD3" w:rsidRPr="003B11BD" w:rsidRDefault="00011AD3" w:rsidP="00011AD3">
      <w:pPr>
        <w:rPr>
          <w:noProof/>
          <w:lang w:val="en-IE"/>
        </w:rPr>
      </w:pPr>
      <w:r w:rsidRPr="003B11BD">
        <w:rPr>
          <w:noProof/>
          <w:lang w:val="en-IE"/>
        </w:rPr>
        <w:t>As underlined in the Commission’s intellectual property action plan</w:t>
      </w:r>
      <w:r w:rsidR="00F70261" w:rsidRPr="003B11BD">
        <w:rPr>
          <w:noProof/>
          <w:lang w:val="en-IE"/>
        </w:rPr>
        <w:t xml:space="preserve"> (2020)</w:t>
      </w:r>
      <w:r w:rsidRPr="003B11BD">
        <w:rPr>
          <w:noProof/>
          <w:lang w:val="en-IE"/>
        </w:rPr>
        <w:t>, the Commission sees a need to ensure that effective systems for issuing compulsory licences are in place. Against that background the Commission started in 2022 consulting stakeholders on compulsory licensing of patents in the EU, especially in a cross-border crisis. Consultation of stakeholders also covered the efficiency of the EU procedure on compulsory licensing of patents for pharmaceutical products for export to countries with public health problems (</w:t>
      </w:r>
      <w:r w:rsidR="000C155F" w:rsidRPr="003B11BD">
        <w:rPr>
          <w:noProof/>
          <w:lang w:val="en-IE"/>
        </w:rPr>
        <w:t>Regulation (EC) No 816/2006</w:t>
      </w:r>
      <w:r w:rsidRPr="003B11BD">
        <w:rPr>
          <w:noProof/>
          <w:lang w:val="en-IE"/>
        </w:rPr>
        <w:t>).</w:t>
      </w:r>
    </w:p>
    <w:p w14:paraId="185B695F" w14:textId="77777777" w:rsidR="00011AD3" w:rsidRPr="003B11BD" w:rsidRDefault="00011AD3" w:rsidP="005E35C7">
      <w:pPr>
        <w:pStyle w:val="annexsubsection"/>
      </w:pPr>
      <w:r w:rsidRPr="003B11BD">
        <w:t>Consultation activities</w:t>
      </w:r>
    </w:p>
    <w:p w14:paraId="05E61969" w14:textId="25454E33" w:rsidR="00011AD3" w:rsidRPr="003B11BD" w:rsidRDefault="00011AD3" w:rsidP="00011AD3">
      <w:pPr>
        <w:rPr>
          <w:noProof/>
          <w:lang w:val="en-IE"/>
        </w:rPr>
      </w:pPr>
      <w:r w:rsidRPr="003B11BD">
        <w:rPr>
          <w:noProof/>
          <w:lang w:val="en-IE"/>
        </w:rPr>
        <w:t>The European Commission published a</w:t>
      </w:r>
      <w:r w:rsidR="00A71CF0" w:rsidRPr="003B11BD">
        <w:rPr>
          <w:noProof/>
          <w:lang w:val="en-IE"/>
        </w:rPr>
        <w:t xml:space="preserve"> </w:t>
      </w:r>
      <w:r w:rsidR="00A71CF0" w:rsidRPr="003B11BD">
        <w:rPr>
          <w:b/>
          <w:bCs/>
          <w:noProof/>
          <w:lang w:val="en-IE"/>
        </w:rPr>
        <w:t>Call for evidence</w:t>
      </w:r>
      <w:r w:rsidR="00A71CF0" w:rsidRPr="003B11BD">
        <w:rPr>
          <w:rStyle w:val="FootnoteReference"/>
          <w:noProof/>
          <w:lang w:val="en-IE"/>
        </w:rPr>
        <w:footnoteReference w:id="143"/>
      </w:r>
      <w:r w:rsidR="00A71CF0" w:rsidRPr="003B11BD">
        <w:rPr>
          <w:noProof/>
          <w:lang w:val="en-IE"/>
        </w:rPr>
        <w:t xml:space="preserve"> </w:t>
      </w:r>
      <w:r w:rsidRPr="003B11BD">
        <w:rPr>
          <w:noProof/>
          <w:lang w:val="en-IE"/>
        </w:rPr>
        <w:t>on 1 April 2022. The feedback period to this call for evidence lasted 4 weeks and ended on 29 April 2022. The objective of this call for evidence was to gather views, opinions and evidence from all public and private sector stakeholders, such as IP right holders, users of IP-protected technologies and products, the health sector (including generic manufacturers, start-ups and patient associations), public authorities, national IP offices, non-profit organisations, civil society representatives, consumer associations, research centres, the European Medicines Agency and IP lawyers. It gathered views on the different grounds and procedures for issuing compulsory licences in a crisis and aimed to discover bottlenecks and to assess the impact of compulsory licensing on stakeholders. In total, 57 feedbacks were received, of which one third came from business associations and 23% from non-governmental organisations (NGOs). Most of the feedback was received from respondents from B</w:t>
      </w:r>
      <w:r w:rsidR="00110EA0" w:rsidRPr="003B11BD">
        <w:rPr>
          <w:noProof/>
          <w:lang w:val="en-IE"/>
        </w:rPr>
        <w:t>E</w:t>
      </w:r>
      <w:r w:rsidRPr="003B11BD">
        <w:rPr>
          <w:noProof/>
          <w:lang w:val="en-IE"/>
        </w:rPr>
        <w:t xml:space="preserve"> (21%), </w:t>
      </w:r>
      <w:r w:rsidR="00064C71" w:rsidRPr="003B11BD">
        <w:rPr>
          <w:noProof/>
          <w:lang w:val="en-IE"/>
        </w:rPr>
        <w:t xml:space="preserve">DE </w:t>
      </w:r>
      <w:r w:rsidRPr="003B11BD">
        <w:rPr>
          <w:noProof/>
          <w:lang w:val="en-IE"/>
        </w:rPr>
        <w:t xml:space="preserve">(19%) and </w:t>
      </w:r>
      <w:r w:rsidR="00232875" w:rsidRPr="003B11BD">
        <w:rPr>
          <w:noProof/>
          <w:lang w:val="en-IE"/>
        </w:rPr>
        <w:t>FR</w:t>
      </w:r>
      <w:r w:rsidRPr="003B11BD">
        <w:rPr>
          <w:noProof/>
          <w:lang w:val="en-IE"/>
        </w:rPr>
        <w:t xml:space="preserve"> (11%).</w:t>
      </w:r>
    </w:p>
    <w:p w14:paraId="676997F3" w14:textId="63E6FCA0" w:rsidR="00011AD3" w:rsidRPr="003B11BD" w:rsidRDefault="00011AD3" w:rsidP="00011AD3">
      <w:pPr>
        <w:rPr>
          <w:noProof/>
          <w:lang w:val="en-IE"/>
        </w:rPr>
      </w:pPr>
      <w:r w:rsidRPr="003B11BD">
        <w:rPr>
          <w:noProof/>
          <w:lang w:val="en-IE"/>
        </w:rPr>
        <w:t>In March 2022, the Commission launched the study ‘Compulsory licensing of intellectual property rights’</w:t>
      </w:r>
      <w:r w:rsidR="004A6138" w:rsidRPr="003B11BD">
        <w:rPr>
          <w:noProof/>
          <w:lang w:val="en-IE"/>
        </w:rPr>
        <w:t xml:space="preserve"> [CEIPI(2023)]</w:t>
      </w:r>
      <w:r w:rsidRPr="003B11BD">
        <w:rPr>
          <w:noProof/>
          <w:lang w:val="en-IE"/>
        </w:rPr>
        <w:t xml:space="preserve">. The objective of the study was to assist the Commission in defining potential problems as regards compulsory licensing in the EU as well as identifying and assessing policy options to improve coherence and effectiveness in the field. To this end, the study aimed at collecting data through desk research, case studies, interviews with stakeholders as well as organising two workshops. The study was conducted by the Center for International Intellectual Property Studies (CEIPI), the Université de Strasbourg (UNISTRA), the Impact Licensing Initiative (ILI) and Ecorys Nederland BV (ECORYS). </w:t>
      </w:r>
    </w:p>
    <w:p w14:paraId="72BF45A7" w14:textId="68C6B678" w:rsidR="005729D2" w:rsidRPr="003B11BD" w:rsidRDefault="00011AD3" w:rsidP="00011AD3">
      <w:pPr>
        <w:rPr>
          <w:rStyle w:val="markedcontent"/>
          <w:noProof/>
          <w:lang w:val="en-IE"/>
        </w:rPr>
      </w:pPr>
      <w:r w:rsidRPr="003B11BD">
        <w:rPr>
          <w:noProof/>
          <w:lang w:val="en-IE"/>
        </w:rPr>
        <w:t xml:space="preserve">In the context of the Study, Member States experts were contacted to complete a </w:t>
      </w:r>
      <w:r w:rsidRPr="003B11BD">
        <w:rPr>
          <w:b/>
          <w:noProof/>
          <w:lang w:val="en-IE"/>
        </w:rPr>
        <w:t xml:space="preserve">questionnaire. </w:t>
      </w:r>
      <w:r w:rsidRPr="003B11BD">
        <w:rPr>
          <w:noProof/>
          <w:lang w:val="en-IE"/>
        </w:rPr>
        <w:t xml:space="preserve">The questions focused on </w:t>
      </w:r>
      <w:bookmarkStart w:id="1114" w:name="_Hlk120026108"/>
      <w:r w:rsidRPr="003B11BD">
        <w:rPr>
          <w:noProof/>
          <w:lang w:val="en-IE"/>
        </w:rPr>
        <w:t>the national experiences with compulsory licensing</w:t>
      </w:r>
      <w:bookmarkEnd w:id="1114"/>
      <w:r w:rsidRPr="003B11BD">
        <w:rPr>
          <w:noProof/>
          <w:lang w:val="en-IE"/>
        </w:rPr>
        <w:t xml:space="preserve">, the scope of application of compulsory licences and procedural aspects. In addition, a </w:t>
      </w:r>
      <w:r w:rsidRPr="003B11BD">
        <w:rPr>
          <w:rStyle w:val="markedcontent"/>
          <w:noProof/>
          <w:lang w:val="en-IE"/>
        </w:rPr>
        <w:t xml:space="preserve">series of 25 semi-structured interviews of national experts, </w:t>
      </w:r>
      <w:r w:rsidR="00143D2E" w:rsidRPr="003B11BD">
        <w:rPr>
          <w:rStyle w:val="markedcontent"/>
          <w:noProof/>
          <w:lang w:val="en-IE"/>
        </w:rPr>
        <w:t>academia</w:t>
      </w:r>
      <w:r w:rsidRPr="003B11BD">
        <w:rPr>
          <w:rStyle w:val="markedcontent"/>
          <w:noProof/>
          <w:lang w:val="en-IE"/>
        </w:rPr>
        <w:t>, policy representatives and industry experts were conducted. These interviews focused on gathering ‘non-published’ data</w:t>
      </w:r>
      <w:r w:rsidRPr="003B11BD">
        <w:rPr>
          <w:noProof/>
          <w:lang w:val="en-IE"/>
        </w:rPr>
        <w:t xml:space="preserve"> on national procedures and legal requirements of compulsory licensing.</w:t>
      </w:r>
      <w:r w:rsidRPr="003B11BD">
        <w:rPr>
          <w:rStyle w:val="markedcontent"/>
          <w:noProof/>
          <w:lang w:val="en-IE"/>
        </w:rPr>
        <w:t xml:space="preserve"> </w:t>
      </w:r>
    </w:p>
    <w:p w14:paraId="58F73811" w14:textId="221DF7FC" w:rsidR="00011AD3" w:rsidRPr="003B11BD" w:rsidRDefault="00011AD3" w:rsidP="00011AD3">
      <w:pPr>
        <w:rPr>
          <w:rStyle w:val="markedcontent"/>
          <w:noProof/>
          <w:lang w:val="en-IE"/>
        </w:rPr>
      </w:pPr>
      <w:r w:rsidRPr="003B11BD">
        <w:rPr>
          <w:rStyle w:val="markedcontent"/>
          <w:noProof/>
          <w:lang w:val="en-IE"/>
        </w:rPr>
        <w:t>Two workshops were held:</w:t>
      </w:r>
    </w:p>
    <w:p w14:paraId="1F2EC882" w14:textId="77777777" w:rsidR="00011AD3" w:rsidRPr="003B11BD" w:rsidRDefault="00011AD3" w:rsidP="004C618F">
      <w:pPr>
        <w:pStyle w:val="Bullets"/>
        <w:rPr>
          <w:rStyle w:val="markedcontent"/>
          <w:rFonts w:eastAsiaTheme="minorHAnsi"/>
          <w:noProof/>
          <w:lang w:eastAsia="en-US"/>
        </w:rPr>
      </w:pPr>
      <w:r w:rsidRPr="003B11BD">
        <w:rPr>
          <w:rStyle w:val="markedcontent"/>
          <w:noProof/>
        </w:rPr>
        <w:t>A first workshop on ‘Information collection on specific compulsory licence cases with exchange of views and experiences in the field of IPRs’ was held in Brussels on 28/29 April 2022;</w:t>
      </w:r>
    </w:p>
    <w:p w14:paraId="60CEDF05" w14:textId="77777777" w:rsidR="00011AD3" w:rsidRPr="003B11BD" w:rsidRDefault="00011AD3" w:rsidP="004C618F">
      <w:pPr>
        <w:pStyle w:val="Bullets"/>
        <w:rPr>
          <w:rStyle w:val="markedcontent"/>
          <w:noProof/>
        </w:rPr>
      </w:pPr>
      <w:r w:rsidRPr="003B11BD">
        <w:rPr>
          <w:rStyle w:val="markedcontent"/>
          <w:noProof/>
        </w:rPr>
        <w:t xml:space="preserve">A second workshop on ‘Policy options for compulsory licensing in Europe in case of a crisis’ was held in Brussels on 9/10 June 2022. </w:t>
      </w:r>
    </w:p>
    <w:p w14:paraId="7B4E9AB4" w14:textId="77777777" w:rsidR="00011AD3" w:rsidRPr="003B11BD" w:rsidRDefault="00011AD3" w:rsidP="00011AD3">
      <w:pPr>
        <w:rPr>
          <w:rStyle w:val="markedcontent"/>
          <w:noProof/>
          <w:lang w:val="en-IE"/>
        </w:rPr>
      </w:pPr>
      <w:r w:rsidRPr="003B11BD">
        <w:rPr>
          <w:rStyle w:val="markedcontent"/>
          <w:noProof/>
          <w:lang w:val="en-IE"/>
        </w:rPr>
        <w:t xml:space="preserve">A total of 24 participants attended both workshops, representing patent attorneys from multiple Member States, policy officials and representatives from different industries. </w:t>
      </w:r>
    </w:p>
    <w:p w14:paraId="1191EE12" w14:textId="6E195DF7" w:rsidR="00011AD3" w:rsidRPr="003B11BD" w:rsidRDefault="00011AD3" w:rsidP="00011AD3">
      <w:pPr>
        <w:rPr>
          <w:noProof/>
          <w:lang w:val="en-IE"/>
        </w:rPr>
      </w:pPr>
      <w:r w:rsidRPr="003B11BD">
        <w:rPr>
          <w:noProof/>
          <w:lang w:val="en-IE"/>
        </w:rPr>
        <w:t>The European Commission also held a</w:t>
      </w:r>
      <w:r w:rsidR="00C905A4" w:rsidRPr="003B11BD">
        <w:rPr>
          <w:noProof/>
          <w:lang w:val="en-IE"/>
        </w:rPr>
        <w:t xml:space="preserve">n </w:t>
      </w:r>
      <w:r w:rsidR="00C905A4" w:rsidRPr="003B11BD">
        <w:rPr>
          <w:b/>
          <w:noProof/>
          <w:lang w:val="en-IE"/>
        </w:rPr>
        <w:t>Open</w:t>
      </w:r>
      <w:r w:rsidRPr="003B11BD">
        <w:rPr>
          <w:b/>
          <w:noProof/>
          <w:lang w:val="en-IE"/>
        </w:rPr>
        <w:t xml:space="preserve"> </w:t>
      </w:r>
      <w:r w:rsidRPr="003B11BD">
        <w:rPr>
          <w:b/>
          <w:bCs/>
          <w:noProof/>
          <w:lang w:val="en-IE"/>
        </w:rPr>
        <w:t>Public Consultation</w:t>
      </w:r>
      <w:r w:rsidRPr="003B11BD">
        <w:rPr>
          <w:b/>
          <w:noProof/>
          <w:lang w:val="en-IE"/>
        </w:rPr>
        <w:t xml:space="preserve"> </w:t>
      </w:r>
      <w:r w:rsidRPr="003B11BD">
        <w:rPr>
          <w:noProof/>
          <w:lang w:val="en-IE"/>
        </w:rPr>
        <w:t xml:space="preserve">from 7 July 2022 to 29 September 2022. This public consultation aimed to collect views from all stakeholders on how to build the most efficient compulsory licensing scheme in the European Union as well as to ensure that it is fit to tackle EU-wide and global crises. This consultation was available on the Better Regulation Portal of the Commission and open to everybody. The public consultation received 74 replies. More than half of the answers came from business associations (30%) and company/business organisation (24%), mostly from the health sector (34%). The largest number of replies were from Germany (15), Belgium (11) and </w:t>
      </w:r>
      <w:r w:rsidR="00232875" w:rsidRPr="003B11BD">
        <w:rPr>
          <w:noProof/>
          <w:lang w:val="en-IE"/>
        </w:rPr>
        <w:t>FRFR</w:t>
      </w:r>
      <w:r w:rsidRPr="003B11BD">
        <w:rPr>
          <w:noProof/>
          <w:lang w:val="en-IE"/>
        </w:rPr>
        <w:t xml:space="preserve"> (10). See for more statistics about the respondents and the key findings, the Factual Summary </w:t>
      </w:r>
      <w:r w:rsidR="00C905A4" w:rsidRPr="003B11BD">
        <w:rPr>
          <w:noProof/>
          <w:lang w:val="en-IE"/>
        </w:rPr>
        <w:t>Report</w:t>
      </w:r>
      <w:r w:rsidRPr="003B11BD">
        <w:rPr>
          <w:noProof/>
          <w:lang w:val="en-IE"/>
        </w:rPr>
        <w:t>, published on the Better Regulation Portal of the Commission.</w:t>
      </w:r>
    </w:p>
    <w:p w14:paraId="639A02AE" w14:textId="1ACBCF27" w:rsidR="00412BD9" w:rsidRPr="003B11BD" w:rsidRDefault="00412BD9" w:rsidP="00412BD9">
      <w:pPr>
        <w:pStyle w:val="Caption"/>
        <w:rPr>
          <w:noProof/>
          <w:lang w:val="en-IE"/>
        </w:rPr>
      </w:pPr>
      <w:bookmarkStart w:id="1115" w:name="_Ref123815390"/>
      <w:bookmarkStart w:id="1116" w:name="_Ref123815383"/>
      <w:r w:rsidRPr="003B11BD">
        <w:rPr>
          <w:noProof/>
          <w:lang w:val="en-IE"/>
        </w:rPr>
        <w:t xml:space="preserve">Table </w:t>
      </w:r>
      <w:r w:rsidR="00C6592A">
        <w:rPr>
          <w:noProof/>
          <w:lang w:val="en-IE"/>
        </w:rPr>
        <w:t>12</w:t>
      </w:r>
      <w:bookmarkEnd w:id="1115"/>
      <w:r w:rsidRPr="003B11BD">
        <w:rPr>
          <w:noProof/>
          <w:lang w:val="en-IE"/>
        </w:rPr>
        <w:t xml:space="preserve">: </w:t>
      </w:r>
      <w:r w:rsidR="001B3289" w:rsidRPr="003B11BD">
        <w:rPr>
          <w:noProof/>
          <w:lang w:val="en-IE"/>
        </w:rPr>
        <w:t>Number of replies received in the open public consultation by stakeholder type</w:t>
      </w:r>
      <w:bookmarkEnd w:id="1116"/>
    </w:p>
    <w:tbl>
      <w:tblPr>
        <w:tblW w:w="5760" w:type="dxa"/>
        <w:jc w:val="center"/>
        <w:tblLook w:val="04A0" w:firstRow="1" w:lastRow="0" w:firstColumn="1" w:lastColumn="0" w:noHBand="0" w:noVBand="1"/>
      </w:tblPr>
      <w:tblGrid>
        <w:gridCol w:w="3840"/>
        <w:gridCol w:w="960"/>
        <w:gridCol w:w="960"/>
      </w:tblGrid>
      <w:tr w:rsidR="00A63B47" w:rsidRPr="003B11BD" w14:paraId="4C2A0D25" w14:textId="77777777" w:rsidTr="007805CF">
        <w:trPr>
          <w:trHeight w:val="300"/>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CB78" w14:textId="77777777" w:rsidR="00412BD9" w:rsidRPr="003B11BD" w:rsidRDefault="00412BD9" w:rsidP="007805CF">
            <w:pPr>
              <w:spacing w:after="0"/>
              <w:jc w:val="lef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I am giving my contribution as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3B708B" w14:textId="77777777" w:rsidR="00412BD9" w:rsidRPr="003B11BD" w:rsidRDefault="00412BD9" w:rsidP="007805CF">
            <w:pPr>
              <w:spacing w:after="0"/>
              <w:jc w:val="lef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Freq.</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5955F1" w14:textId="77777777" w:rsidR="00412BD9" w:rsidRPr="003B11BD" w:rsidRDefault="00412BD9" w:rsidP="007805CF">
            <w:pPr>
              <w:spacing w:after="0"/>
              <w:jc w:val="lef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Percent</w:t>
            </w:r>
          </w:p>
        </w:tc>
      </w:tr>
      <w:tr w:rsidR="00412BD9" w:rsidRPr="003B11BD" w14:paraId="7A162D19" w14:textId="77777777" w:rsidTr="007805CF">
        <w:trPr>
          <w:trHeight w:val="300"/>
          <w:jc w:val="center"/>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500C8A5" w14:textId="77777777" w:rsidR="00412BD9" w:rsidRPr="003B11BD" w:rsidRDefault="00412BD9" w:rsidP="007805CF">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Academic/research institution</w:t>
            </w:r>
          </w:p>
        </w:tc>
        <w:tc>
          <w:tcPr>
            <w:tcW w:w="960" w:type="dxa"/>
            <w:tcBorders>
              <w:top w:val="nil"/>
              <w:left w:val="nil"/>
              <w:bottom w:val="single" w:sz="4" w:space="0" w:color="auto"/>
              <w:right w:val="single" w:sz="4" w:space="0" w:color="auto"/>
            </w:tcBorders>
            <w:shd w:val="clear" w:color="auto" w:fill="auto"/>
            <w:noWrap/>
            <w:vAlign w:val="bottom"/>
            <w:hideMark/>
          </w:tcPr>
          <w:p w14:paraId="5A1E2C92"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52A0B395"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6.76</w:t>
            </w:r>
          </w:p>
        </w:tc>
      </w:tr>
      <w:tr w:rsidR="00412BD9" w:rsidRPr="003B11BD" w14:paraId="4D136950" w14:textId="77777777" w:rsidTr="007805CF">
        <w:trPr>
          <w:trHeight w:val="300"/>
          <w:jc w:val="center"/>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FCD0D58" w14:textId="77777777" w:rsidR="00412BD9" w:rsidRPr="003B11BD" w:rsidRDefault="00412BD9" w:rsidP="007805CF">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Business association</w:t>
            </w:r>
          </w:p>
        </w:tc>
        <w:tc>
          <w:tcPr>
            <w:tcW w:w="960" w:type="dxa"/>
            <w:tcBorders>
              <w:top w:val="nil"/>
              <w:left w:val="nil"/>
              <w:bottom w:val="single" w:sz="4" w:space="0" w:color="auto"/>
              <w:right w:val="single" w:sz="4" w:space="0" w:color="auto"/>
            </w:tcBorders>
            <w:shd w:val="clear" w:color="auto" w:fill="auto"/>
            <w:noWrap/>
            <w:vAlign w:val="bottom"/>
            <w:hideMark/>
          </w:tcPr>
          <w:p w14:paraId="3885CD26"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22</w:t>
            </w:r>
          </w:p>
        </w:tc>
        <w:tc>
          <w:tcPr>
            <w:tcW w:w="960" w:type="dxa"/>
            <w:tcBorders>
              <w:top w:val="nil"/>
              <w:left w:val="nil"/>
              <w:bottom w:val="single" w:sz="4" w:space="0" w:color="auto"/>
              <w:right w:val="single" w:sz="4" w:space="0" w:color="auto"/>
            </w:tcBorders>
            <w:shd w:val="clear" w:color="auto" w:fill="auto"/>
            <w:noWrap/>
            <w:vAlign w:val="bottom"/>
            <w:hideMark/>
          </w:tcPr>
          <w:p w14:paraId="001BFF07"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29.73</w:t>
            </w:r>
          </w:p>
        </w:tc>
      </w:tr>
      <w:tr w:rsidR="00412BD9" w:rsidRPr="003B11BD" w14:paraId="16B81EA8" w14:textId="77777777" w:rsidTr="007805CF">
        <w:trPr>
          <w:trHeight w:val="300"/>
          <w:jc w:val="center"/>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7CBBFD9F" w14:textId="77777777" w:rsidR="00412BD9" w:rsidRPr="003B11BD" w:rsidRDefault="00412BD9" w:rsidP="007805CF">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Company/business organisation</w:t>
            </w:r>
          </w:p>
        </w:tc>
        <w:tc>
          <w:tcPr>
            <w:tcW w:w="960" w:type="dxa"/>
            <w:tcBorders>
              <w:top w:val="nil"/>
              <w:left w:val="nil"/>
              <w:bottom w:val="single" w:sz="4" w:space="0" w:color="auto"/>
              <w:right w:val="single" w:sz="4" w:space="0" w:color="auto"/>
            </w:tcBorders>
            <w:shd w:val="clear" w:color="auto" w:fill="auto"/>
            <w:noWrap/>
            <w:vAlign w:val="bottom"/>
            <w:hideMark/>
          </w:tcPr>
          <w:p w14:paraId="52FDCA00"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6D3B4AF9"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24.32</w:t>
            </w:r>
          </w:p>
        </w:tc>
      </w:tr>
      <w:tr w:rsidR="00412BD9" w:rsidRPr="003B11BD" w14:paraId="60F70A26" w14:textId="77777777" w:rsidTr="007805CF">
        <w:trPr>
          <w:trHeight w:val="300"/>
          <w:jc w:val="center"/>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07CD199" w14:textId="77777777" w:rsidR="00412BD9" w:rsidRPr="003B11BD" w:rsidRDefault="00412BD9" w:rsidP="007805CF">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Consumer organisation</w:t>
            </w:r>
          </w:p>
        </w:tc>
        <w:tc>
          <w:tcPr>
            <w:tcW w:w="960" w:type="dxa"/>
            <w:tcBorders>
              <w:top w:val="nil"/>
              <w:left w:val="nil"/>
              <w:bottom w:val="single" w:sz="4" w:space="0" w:color="auto"/>
              <w:right w:val="single" w:sz="4" w:space="0" w:color="auto"/>
            </w:tcBorders>
            <w:shd w:val="clear" w:color="auto" w:fill="auto"/>
            <w:noWrap/>
            <w:vAlign w:val="bottom"/>
            <w:hideMark/>
          </w:tcPr>
          <w:p w14:paraId="3F81A7C2"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6C0D9AC3"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1.35</w:t>
            </w:r>
          </w:p>
        </w:tc>
      </w:tr>
      <w:tr w:rsidR="00412BD9" w:rsidRPr="003B11BD" w14:paraId="4D7E9B13" w14:textId="77777777" w:rsidTr="007805CF">
        <w:trPr>
          <w:trHeight w:val="300"/>
          <w:jc w:val="center"/>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04D2F72" w14:textId="77777777" w:rsidR="00412BD9" w:rsidRPr="003B11BD" w:rsidRDefault="00412BD9" w:rsidP="007805CF">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EU citizen</w:t>
            </w:r>
          </w:p>
        </w:tc>
        <w:tc>
          <w:tcPr>
            <w:tcW w:w="960" w:type="dxa"/>
            <w:tcBorders>
              <w:top w:val="nil"/>
              <w:left w:val="nil"/>
              <w:bottom w:val="single" w:sz="4" w:space="0" w:color="auto"/>
              <w:right w:val="single" w:sz="4" w:space="0" w:color="auto"/>
            </w:tcBorders>
            <w:shd w:val="clear" w:color="auto" w:fill="auto"/>
            <w:noWrap/>
            <w:vAlign w:val="bottom"/>
            <w:hideMark/>
          </w:tcPr>
          <w:p w14:paraId="2C21E183"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14:paraId="2AD521CE"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16.22</w:t>
            </w:r>
          </w:p>
        </w:tc>
      </w:tr>
      <w:tr w:rsidR="00412BD9" w:rsidRPr="003B11BD" w14:paraId="72F493F1" w14:textId="77777777" w:rsidTr="007805CF">
        <w:trPr>
          <w:trHeight w:val="300"/>
          <w:jc w:val="center"/>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D100D6F" w14:textId="77777777" w:rsidR="00412BD9" w:rsidRPr="003B11BD" w:rsidRDefault="00412BD9" w:rsidP="007805CF">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Non-governmental organisation (NGO)</w:t>
            </w:r>
          </w:p>
        </w:tc>
        <w:tc>
          <w:tcPr>
            <w:tcW w:w="960" w:type="dxa"/>
            <w:tcBorders>
              <w:top w:val="nil"/>
              <w:left w:val="nil"/>
              <w:bottom w:val="single" w:sz="4" w:space="0" w:color="auto"/>
              <w:right w:val="single" w:sz="4" w:space="0" w:color="auto"/>
            </w:tcBorders>
            <w:shd w:val="clear" w:color="auto" w:fill="auto"/>
            <w:noWrap/>
            <w:vAlign w:val="bottom"/>
            <w:hideMark/>
          </w:tcPr>
          <w:p w14:paraId="3BE01385"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1E59B800"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8.11</w:t>
            </w:r>
          </w:p>
        </w:tc>
      </w:tr>
      <w:tr w:rsidR="00412BD9" w:rsidRPr="003B11BD" w14:paraId="559DBDE3" w14:textId="77777777" w:rsidTr="007805CF">
        <w:trPr>
          <w:trHeight w:val="300"/>
          <w:jc w:val="center"/>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BDC6A61" w14:textId="77777777" w:rsidR="00412BD9" w:rsidRPr="003B11BD" w:rsidRDefault="00412BD9" w:rsidP="007805CF">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41E9DF62"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442B8BC4"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8.11</w:t>
            </w:r>
          </w:p>
        </w:tc>
      </w:tr>
      <w:tr w:rsidR="00412BD9" w:rsidRPr="003B11BD" w14:paraId="0F059B77" w14:textId="77777777" w:rsidTr="007805CF">
        <w:trPr>
          <w:trHeight w:val="300"/>
          <w:jc w:val="center"/>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F8A8595" w14:textId="77777777" w:rsidR="00412BD9" w:rsidRPr="003B11BD" w:rsidRDefault="00412BD9" w:rsidP="007805CF">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Public authority</w:t>
            </w:r>
          </w:p>
        </w:tc>
        <w:tc>
          <w:tcPr>
            <w:tcW w:w="960" w:type="dxa"/>
            <w:tcBorders>
              <w:top w:val="nil"/>
              <w:left w:val="nil"/>
              <w:bottom w:val="single" w:sz="4" w:space="0" w:color="auto"/>
              <w:right w:val="single" w:sz="4" w:space="0" w:color="auto"/>
            </w:tcBorders>
            <w:shd w:val="clear" w:color="auto" w:fill="auto"/>
            <w:noWrap/>
            <w:vAlign w:val="bottom"/>
            <w:hideMark/>
          </w:tcPr>
          <w:p w14:paraId="20336FFC"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705BDBA1" w14:textId="77777777" w:rsidR="00412BD9" w:rsidRPr="003B11BD" w:rsidRDefault="00412BD9" w:rsidP="007805CF">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5.41</w:t>
            </w:r>
          </w:p>
        </w:tc>
      </w:tr>
      <w:tr w:rsidR="00412BD9" w:rsidRPr="003B11BD" w14:paraId="19F21FC7" w14:textId="77777777" w:rsidTr="007805CF">
        <w:trPr>
          <w:trHeight w:val="300"/>
          <w:jc w:val="center"/>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6529CDF7" w14:textId="77777777" w:rsidR="00412BD9" w:rsidRPr="003B11BD" w:rsidRDefault="00412BD9" w:rsidP="007805CF">
            <w:pPr>
              <w:spacing w:after="0"/>
              <w:jc w:val="lef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0FCF5D3E" w14:textId="77777777" w:rsidR="00412BD9" w:rsidRPr="003B11BD" w:rsidRDefault="00412BD9" w:rsidP="007805CF">
            <w:pPr>
              <w:spacing w:after="0"/>
              <w:jc w:val="righ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74</w:t>
            </w:r>
          </w:p>
        </w:tc>
        <w:tc>
          <w:tcPr>
            <w:tcW w:w="960" w:type="dxa"/>
            <w:tcBorders>
              <w:top w:val="nil"/>
              <w:left w:val="nil"/>
              <w:bottom w:val="single" w:sz="4" w:space="0" w:color="auto"/>
              <w:right w:val="single" w:sz="4" w:space="0" w:color="auto"/>
            </w:tcBorders>
            <w:shd w:val="clear" w:color="auto" w:fill="auto"/>
            <w:noWrap/>
            <w:vAlign w:val="bottom"/>
            <w:hideMark/>
          </w:tcPr>
          <w:p w14:paraId="2138C534" w14:textId="77777777" w:rsidR="00412BD9" w:rsidRPr="003B11BD" w:rsidRDefault="00412BD9" w:rsidP="007805CF">
            <w:pPr>
              <w:spacing w:after="0"/>
              <w:jc w:val="righ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100</w:t>
            </w:r>
          </w:p>
        </w:tc>
      </w:tr>
    </w:tbl>
    <w:p w14:paraId="78B9DE7F" w14:textId="2BF06EFC" w:rsidR="00412BD9" w:rsidRPr="003B11BD" w:rsidRDefault="00412BD9" w:rsidP="00412BD9">
      <w:pPr>
        <w:pStyle w:val="Caption"/>
        <w:rPr>
          <w:noProof/>
          <w:lang w:val="en-IE"/>
        </w:rPr>
      </w:pPr>
      <w:r w:rsidRPr="003B11BD">
        <w:rPr>
          <w:noProof/>
          <w:lang w:val="en-IE"/>
        </w:rPr>
        <w:t xml:space="preserve">Source: </w:t>
      </w:r>
      <w:r w:rsidR="001B3289" w:rsidRPr="003B11BD">
        <w:rPr>
          <w:noProof/>
          <w:lang w:val="en-IE"/>
        </w:rPr>
        <w:t>OPC</w:t>
      </w:r>
    </w:p>
    <w:p w14:paraId="2666D3A0" w14:textId="77777777" w:rsidR="00011AD3" w:rsidRPr="003B11BD" w:rsidRDefault="00011AD3" w:rsidP="005E35C7">
      <w:pPr>
        <w:pStyle w:val="annexsubsection"/>
      </w:pPr>
      <w:r w:rsidRPr="003B11BD">
        <w:t>Analysis of responses</w:t>
      </w:r>
    </w:p>
    <w:p w14:paraId="51D1659C" w14:textId="74D9A82A" w:rsidR="00011AD3" w:rsidRPr="003B11BD" w:rsidRDefault="00011AD3" w:rsidP="001E5551">
      <w:pPr>
        <w:pStyle w:val="Stakeholders"/>
        <w:rPr>
          <w:noProof/>
        </w:rPr>
      </w:pPr>
      <w:r w:rsidRPr="003B11BD">
        <w:rPr>
          <w:noProof/>
        </w:rPr>
        <w:t xml:space="preserve">Compulsory </w:t>
      </w:r>
      <w:r w:rsidR="009519D4" w:rsidRPr="003B11BD">
        <w:rPr>
          <w:noProof/>
        </w:rPr>
        <w:t xml:space="preserve">licensing </w:t>
      </w:r>
      <w:r w:rsidRPr="003B11BD">
        <w:rPr>
          <w:noProof/>
        </w:rPr>
        <w:t>as a crisis instrument</w:t>
      </w:r>
    </w:p>
    <w:p w14:paraId="6933EC42" w14:textId="2FDD772D" w:rsidR="00011AD3" w:rsidRPr="003B11BD" w:rsidRDefault="00011AD3" w:rsidP="00011AD3">
      <w:pPr>
        <w:rPr>
          <w:rStyle w:val="markedcontent"/>
          <w:noProof/>
          <w:lang w:val="en-IE"/>
        </w:rPr>
      </w:pPr>
      <w:r w:rsidRPr="003B11BD">
        <w:rPr>
          <w:noProof/>
          <w:lang w:val="en-IE"/>
        </w:rPr>
        <w:t xml:space="preserve">In the context of the consultation activities, stakeholders were asked about the </w:t>
      </w:r>
      <w:r w:rsidRPr="003B11BD">
        <w:rPr>
          <w:b/>
          <w:bCs/>
          <w:noProof/>
          <w:lang w:val="en-IE"/>
        </w:rPr>
        <w:t>relevance of compulsory licence as a crisis management instrument</w:t>
      </w:r>
      <w:r w:rsidRPr="003B11BD">
        <w:rPr>
          <w:noProof/>
          <w:lang w:val="en-IE"/>
        </w:rPr>
        <w:t xml:space="preserve">. In that respect, </w:t>
      </w:r>
      <w:r w:rsidRPr="003B11BD">
        <w:rPr>
          <w:rStyle w:val="markedcontent"/>
          <w:noProof/>
          <w:lang w:val="en-IE"/>
        </w:rPr>
        <w:t>a large majority of all groups of respondents</w:t>
      </w:r>
      <w:r w:rsidRPr="003B11BD">
        <w:rPr>
          <w:rStyle w:val="FootnoteReference"/>
          <w:noProof/>
          <w:lang w:val="en-IE"/>
        </w:rPr>
        <w:footnoteReference w:id="144"/>
      </w:r>
      <w:r w:rsidRPr="003B11BD">
        <w:rPr>
          <w:rStyle w:val="markedcontent"/>
          <w:noProof/>
          <w:lang w:val="en-IE"/>
        </w:rPr>
        <w:t xml:space="preserve"> (</w:t>
      </w:r>
      <w:r w:rsidR="008D761C" w:rsidRPr="003B11BD">
        <w:rPr>
          <w:rStyle w:val="markedcontent"/>
          <w:noProof/>
          <w:lang w:val="en-IE"/>
        </w:rPr>
        <w:t>82%</w:t>
      </w:r>
      <w:r w:rsidR="00755905" w:rsidRPr="003B11BD">
        <w:rPr>
          <w:rStyle w:val="markedcontent"/>
          <w:noProof/>
          <w:lang w:val="en-IE"/>
        </w:rPr>
        <w:t xml:space="preserve">, </w:t>
      </w:r>
      <w:r w:rsidR="008D761C" w:rsidRPr="003B11BD">
        <w:rPr>
          <w:rStyle w:val="markedcontent"/>
          <w:noProof/>
          <w:lang w:val="en-IE"/>
        </w:rPr>
        <w:t>N= 61</w:t>
      </w:r>
      <w:r w:rsidRPr="003B11BD">
        <w:rPr>
          <w:rStyle w:val="markedcontent"/>
          <w:noProof/>
          <w:lang w:val="en-IE"/>
        </w:rPr>
        <w:t xml:space="preserve">) </w:t>
      </w:r>
      <w:bookmarkStart w:id="1117" w:name="_Hlk120023363"/>
      <w:r w:rsidRPr="003B11BD">
        <w:rPr>
          <w:rStyle w:val="markedcontent"/>
          <w:noProof/>
          <w:lang w:val="en-IE"/>
        </w:rPr>
        <w:t>consider it important for public authorities to allow production of certain products and/or use of certain technologies necessary to tackle a crisis through a compulsory licence. This is also true for respondents likely to be subject to a compulsory licensing decision</w:t>
      </w:r>
      <w:r w:rsidR="00B64E04" w:rsidRPr="003B11BD">
        <w:rPr>
          <w:rStyle w:val="markedcontent"/>
          <w:noProof/>
          <w:lang w:val="en-IE"/>
        </w:rPr>
        <w:t xml:space="preserve"> (N=12)</w:t>
      </w:r>
      <w:r w:rsidRPr="003B11BD">
        <w:rPr>
          <w:rStyle w:val="markedcontent"/>
          <w:noProof/>
          <w:lang w:val="en-IE"/>
        </w:rPr>
        <w:t>, with 75% of them agreeing with the importance for public authorities to rely on compulsory licensing for crisis management purposes.</w:t>
      </w:r>
      <w:r w:rsidR="00A974E0" w:rsidRPr="003B11BD">
        <w:rPr>
          <w:rStyle w:val="markedcontent"/>
          <w:noProof/>
          <w:lang w:val="en-IE"/>
        </w:rPr>
        <w:t xml:space="preserve"> In particular, in view </w:t>
      </w:r>
      <w:r w:rsidR="00C917AC" w:rsidRPr="003B11BD">
        <w:rPr>
          <w:rStyle w:val="markedcontent"/>
          <w:noProof/>
          <w:lang w:val="en-IE"/>
        </w:rPr>
        <w:t>of recent crises, such as the Covid</w:t>
      </w:r>
      <w:r w:rsidR="00AA4530" w:rsidRPr="003B11BD">
        <w:rPr>
          <w:rStyle w:val="markedcontent"/>
          <w:noProof/>
          <w:lang w:val="en-IE"/>
        </w:rPr>
        <w:t xml:space="preserve">-19 pandemic and the war in Ukraine, </w:t>
      </w:r>
      <w:r w:rsidR="00C201B7" w:rsidRPr="003B11BD">
        <w:rPr>
          <w:rStyle w:val="markedcontent"/>
          <w:noProof/>
          <w:lang w:val="en-IE"/>
        </w:rPr>
        <w:t xml:space="preserve">respondents consider </w:t>
      </w:r>
      <w:r w:rsidR="004B17A1" w:rsidRPr="003B11BD">
        <w:rPr>
          <w:rStyle w:val="markedcontent"/>
          <w:noProof/>
          <w:lang w:val="en-IE"/>
        </w:rPr>
        <w:t>comp</w:t>
      </w:r>
      <w:r w:rsidR="00200FF8" w:rsidRPr="003B11BD">
        <w:rPr>
          <w:rStyle w:val="markedcontent"/>
          <w:noProof/>
          <w:lang w:val="en-IE"/>
        </w:rPr>
        <w:t>ulsory licensing as</w:t>
      </w:r>
      <w:r w:rsidR="00C67834" w:rsidRPr="003B11BD">
        <w:rPr>
          <w:rStyle w:val="markedcontent"/>
          <w:noProof/>
          <w:lang w:val="en-IE"/>
        </w:rPr>
        <w:t xml:space="preserve"> a crisis management tool </w:t>
      </w:r>
      <w:r w:rsidR="006E0839" w:rsidRPr="003B11BD">
        <w:rPr>
          <w:rStyle w:val="markedcontent"/>
          <w:noProof/>
          <w:lang w:val="en-IE"/>
        </w:rPr>
        <w:t xml:space="preserve">generally </w:t>
      </w:r>
      <w:r w:rsidR="00C201B7" w:rsidRPr="003B11BD">
        <w:rPr>
          <w:rStyle w:val="markedcontent"/>
          <w:noProof/>
          <w:lang w:val="en-IE"/>
        </w:rPr>
        <w:t>as positive</w:t>
      </w:r>
      <w:r w:rsidR="00B42274" w:rsidRPr="003B11BD">
        <w:rPr>
          <w:rStyle w:val="markedcontent"/>
          <w:noProof/>
          <w:lang w:val="en-IE"/>
        </w:rPr>
        <w:t xml:space="preserve"> (43%, N</w:t>
      </w:r>
      <w:r w:rsidR="00631A09" w:rsidRPr="003B11BD">
        <w:rPr>
          <w:rStyle w:val="markedcontent"/>
          <w:noProof/>
          <w:lang w:val="en-IE"/>
        </w:rPr>
        <w:t>=</w:t>
      </w:r>
      <w:r w:rsidR="00C751CF" w:rsidRPr="003B11BD">
        <w:rPr>
          <w:rStyle w:val="markedcontent"/>
          <w:noProof/>
          <w:lang w:val="en-IE"/>
        </w:rPr>
        <w:t>20)</w:t>
      </w:r>
      <w:r w:rsidR="00995E4F" w:rsidRPr="003B11BD">
        <w:rPr>
          <w:rStyle w:val="markedcontent"/>
          <w:noProof/>
          <w:lang w:val="en-IE"/>
        </w:rPr>
        <w:t>,</w:t>
      </w:r>
      <w:r w:rsidR="00C201B7" w:rsidRPr="003B11BD">
        <w:rPr>
          <w:rStyle w:val="markedcontent"/>
          <w:noProof/>
          <w:lang w:val="en-IE"/>
        </w:rPr>
        <w:t xml:space="preserve"> </w:t>
      </w:r>
      <w:r w:rsidR="00A316F9" w:rsidRPr="003B11BD">
        <w:rPr>
          <w:rStyle w:val="markedcontent"/>
          <w:noProof/>
          <w:lang w:val="en-IE"/>
        </w:rPr>
        <w:t>e</w:t>
      </w:r>
      <w:r w:rsidR="000527E9" w:rsidRPr="003B11BD">
        <w:rPr>
          <w:rStyle w:val="markedcontent"/>
          <w:noProof/>
          <w:lang w:val="en-IE"/>
        </w:rPr>
        <w:t xml:space="preserve">ven though it has been also </w:t>
      </w:r>
      <w:r w:rsidR="0095495A" w:rsidRPr="003B11BD">
        <w:rPr>
          <w:rStyle w:val="markedcontent"/>
          <w:noProof/>
          <w:lang w:val="en-IE"/>
        </w:rPr>
        <w:t>pointed out</w:t>
      </w:r>
      <w:r w:rsidR="000527E9" w:rsidRPr="003B11BD">
        <w:rPr>
          <w:rStyle w:val="markedcontent"/>
          <w:noProof/>
          <w:lang w:val="en-IE"/>
        </w:rPr>
        <w:t xml:space="preserve"> that</w:t>
      </w:r>
      <w:r w:rsidR="008577B4" w:rsidRPr="003B11BD">
        <w:rPr>
          <w:rStyle w:val="markedcontent"/>
          <w:noProof/>
          <w:lang w:val="en-IE"/>
        </w:rPr>
        <w:t xml:space="preserve"> </w:t>
      </w:r>
      <w:r w:rsidR="00EA3485" w:rsidRPr="003B11BD">
        <w:rPr>
          <w:rStyle w:val="markedcontent"/>
          <w:noProof/>
          <w:lang w:val="en-IE"/>
        </w:rPr>
        <w:t xml:space="preserve">existing mechanisms of compulsory licensing under </w:t>
      </w:r>
      <w:r w:rsidR="00BB42AF" w:rsidRPr="003B11BD">
        <w:rPr>
          <w:rStyle w:val="markedcontent"/>
          <w:noProof/>
          <w:lang w:val="en-IE"/>
        </w:rPr>
        <w:t xml:space="preserve">the </w:t>
      </w:r>
      <w:r w:rsidR="00EA3485" w:rsidRPr="003B11BD">
        <w:rPr>
          <w:rStyle w:val="markedcontent"/>
          <w:noProof/>
          <w:lang w:val="en-IE"/>
        </w:rPr>
        <w:t xml:space="preserve">TRIPS </w:t>
      </w:r>
      <w:r w:rsidR="00BB42AF" w:rsidRPr="003B11BD">
        <w:rPr>
          <w:rStyle w:val="markedcontent"/>
          <w:noProof/>
          <w:lang w:val="en-IE"/>
        </w:rPr>
        <w:t xml:space="preserve">Agreement </w:t>
      </w:r>
      <w:r w:rsidR="00EA3485" w:rsidRPr="003B11BD">
        <w:rPr>
          <w:rStyle w:val="markedcontent"/>
          <w:noProof/>
          <w:lang w:val="en-IE"/>
        </w:rPr>
        <w:t>and national IP laws revealed not to be sufficient to solve the problem of urgent access to life-saving medical tools during critical situations such as an ongoing war, a pandemic or situations of severe medicines shortage</w:t>
      </w:r>
      <w:r w:rsidR="00724ED8" w:rsidRPr="003B11BD">
        <w:rPr>
          <w:rStyle w:val="markedcontent"/>
          <w:noProof/>
          <w:lang w:val="en-IE"/>
        </w:rPr>
        <w:t xml:space="preserve"> and </w:t>
      </w:r>
      <w:r w:rsidR="0055257B" w:rsidRPr="003B11BD">
        <w:rPr>
          <w:rStyle w:val="markedcontent"/>
          <w:noProof/>
          <w:lang w:val="en-IE"/>
        </w:rPr>
        <w:t xml:space="preserve">instead </w:t>
      </w:r>
      <w:r w:rsidR="00A87BD5" w:rsidRPr="003B11BD">
        <w:rPr>
          <w:rStyle w:val="markedcontent"/>
          <w:noProof/>
          <w:lang w:val="en-IE"/>
        </w:rPr>
        <w:t xml:space="preserve">rather </w:t>
      </w:r>
      <w:r w:rsidR="008577B4" w:rsidRPr="003B11BD">
        <w:rPr>
          <w:rStyle w:val="markedcontent"/>
          <w:noProof/>
          <w:lang w:val="en-IE"/>
        </w:rPr>
        <w:t xml:space="preserve">voluntary licensing agreements </w:t>
      </w:r>
      <w:r w:rsidR="00525BDD" w:rsidRPr="003B11BD">
        <w:rPr>
          <w:rStyle w:val="markedcontent"/>
          <w:noProof/>
          <w:lang w:val="en-IE"/>
        </w:rPr>
        <w:t>played a pivot</w:t>
      </w:r>
      <w:r w:rsidR="00A42C53" w:rsidRPr="003B11BD">
        <w:rPr>
          <w:rStyle w:val="markedcontent"/>
          <w:noProof/>
          <w:lang w:val="en-IE"/>
        </w:rPr>
        <w:t>a</w:t>
      </w:r>
      <w:r w:rsidR="00525BDD" w:rsidRPr="003B11BD">
        <w:rPr>
          <w:rStyle w:val="markedcontent"/>
          <w:noProof/>
          <w:lang w:val="en-IE"/>
        </w:rPr>
        <w:t>l role</w:t>
      </w:r>
      <w:r w:rsidR="008577B4" w:rsidRPr="003B11BD">
        <w:rPr>
          <w:rStyle w:val="markedcontent"/>
          <w:noProof/>
          <w:lang w:val="en-IE"/>
        </w:rPr>
        <w:t>, increasing production and supply for the needed medicines.</w:t>
      </w:r>
    </w:p>
    <w:p w14:paraId="07FB90F9" w14:textId="6CDA7B4D" w:rsidR="00011AD3" w:rsidRPr="003B11BD" w:rsidRDefault="00011AD3" w:rsidP="00011AD3">
      <w:pPr>
        <w:rPr>
          <w:noProof/>
          <w:lang w:val="en-IE"/>
        </w:rPr>
      </w:pPr>
      <w:r w:rsidRPr="003B11BD">
        <w:rPr>
          <w:noProof/>
          <w:lang w:val="en-IE"/>
        </w:rPr>
        <w:t xml:space="preserve">When asked about the </w:t>
      </w:r>
      <w:r w:rsidRPr="003B11BD">
        <w:rPr>
          <w:b/>
          <w:bCs/>
          <w:noProof/>
          <w:lang w:val="en-IE"/>
        </w:rPr>
        <w:t>fitness of current rules on compulsory licensing for crisis management</w:t>
      </w:r>
      <w:r w:rsidRPr="003B11BD">
        <w:rPr>
          <w:noProof/>
          <w:lang w:val="en-IE"/>
        </w:rPr>
        <w:t xml:space="preserve">, stakeholders’ views are contrasted. </w:t>
      </w:r>
      <w:r w:rsidR="4C7BFEEC" w:rsidRPr="003B11BD">
        <w:rPr>
          <w:noProof/>
          <w:lang w:val="en-IE"/>
        </w:rPr>
        <w:t>Many</w:t>
      </w:r>
      <w:r w:rsidRPr="003B11BD">
        <w:rPr>
          <w:noProof/>
          <w:lang w:val="en-IE"/>
        </w:rPr>
        <w:t xml:space="preserve"> respondents consider that current national laws on compulsory licensing are fit to tackle national crises (</w:t>
      </w:r>
      <w:r w:rsidR="00994A06" w:rsidRPr="003B11BD">
        <w:rPr>
          <w:noProof/>
          <w:lang w:val="en-IE"/>
        </w:rPr>
        <w:t>58</w:t>
      </w:r>
      <w:r w:rsidRPr="003B11BD">
        <w:rPr>
          <w:noProof/>
          <w:lang w:val="en-IE"/>
        </w:rPr>
        <w:t>%</w:t>
      </w:r>
      <w:r w:rsidR="00631A09" w:rsidRPr="003B11BD">
        <w:rPr>
          <w:noProof/>
          <w:lang w:val="en-IE"/>
        </w:rPr>
        <w:t>,</w:t>
      </w:r>
      <w:r w:rsidR="00994A06" w:rsidRPr="003B11BD">
        <w:rPr>
          <w:noProof/>
          <w:lang w:val="en-IE"/>
        </w:rPr>
        <w:t xml:space="preserve"> N=43</w:t>
      </w:r>
      <w:r w:rsidRPr="003B11BD">
        <w:rPr>
          <w:noProof/>
          <w:lang w:val="en-IE"/>
        </w:rPr>
        <w:t>), EU-wide crises (</w:t>
      </w:r>
      <w:r w:rsidR="00193DD3" w:rsidRPr="003B11BD">
        <w:rPr>
          <w:noProof/>
          <w:lang w:val="en-IE"/>
        </w:rPr>
        <w:t>51</w:t>
      </w:r>
      <w:r w:rsidRPr="003B11BD">
        <w:rPr>
          <w:noProof/>
          <w:lang w:val="en-IE"/>
        </w:rPr>
        <w:t>%</w:t>
      </w:r>
      <w:r w:rsidR="00631A09" w:rsidRPr="003B11BD">
        <w:rPr>
          <w:noProof/>
          <w:lang w:val="en-IE"/>
        </w:rPr>
        <w:t>,</w:t>
      </w:r>
      <w:r w:rsidR="00193DD3" w:rsidRPr="003B11BD">
        <w:rPr>
          <w:noProof/>
          <w:lang w:val="en-IE"/>
        </w:rPr>
        <w:t xml:space="preserve"> N=38</w:t>
      </w:r>
      <w:r w:rsidRPr="003B11BD">
        <w:rPr>
          <w:noProof/>
          <w:lang w:val="en-IE"/>
        </w:rPr>
        <w:t>), and global crises (</w:t>
      </w:r>
      <w:r w:rsidR="00193DD3" w:rsidRPr="003B11BD">
        <w:rPr>
          <w:noProof/>
          <w:lang w:val="en-IE"/>
        </w:rPr>
        <w:t>50</w:t>
      </w:r>
      <w:r w:rsidRPr="003B11BD">
        <w:rPr>
          <w:noProof/>
          <w:lang w:val="en-IE"/>
        </w:rPr>
        <w:t>%</w:t>
      </w:r>
      <w:r w:rsidR="00631A09" w:rsidRPr="003B11BD">
        <w:rPr>
          <w:noProof/>
          <w:lang w:val="en-IE"/>
        </w:rPr>
        <w:t>,</w:t>
      </w:r>
      <w:r w:rsidR="00193DD3" w:rsidRPr="003B11BD">
        <w:rPr>
          <w:noProof/>
          <w:lang w:val="en-IE"/>
        </w:rPr>
        <w:t xml:space="preserve"> N=</w:t>
      </w:r>
      <w:r w:rsidR="0066773A" w:rsidRPr="003B11BD">
        <w:rPr>
          <w:noProof/>
          <w:lang w:val="en-IE"/>
        </w:rPr>
        <w:t>37</w:t>
      </w:r>
      <w:r w:rsidRPr="003B11BD">
        <w:rPr>
          <w:noProof/>
          <w:lang w:val="en-IE"/>
        </w:rPr>
        <w:t>). However, stark disparities exist between stakeholders. All NGOs considered that current compulsory licensing rules are unfit to tackle EU-wide crises. In contrast, all business associations and companies considered that compulsory licensing rules are fit to tackle EU-wide crises. Generally, compulsory licensing rules are considered less fit to tackle EU-wide crises than national and global ones</w:t>
      </w:r>
      <w:r w:rsidRPr="003B11BD">
        <w:rPr>
          <w:rStyle w:val="FootnoteReference"/>
          <w:noProof/>
          <w:lang w:val="en-IE"/>
        </w:rPr>
        <w:footnoteReference w:id="145"/>
      </w:r>
      <w:r w:rsidR="000F58EA" w:rsidRPr="003B11BD">
        <w:rPr>
          <w:noProof/>
          <w:lang w:val="en-IE"/>
        </w:rPr>
        <w:t>.</w:t>
      </w:r>
      <w:r w:rsidRPr="003B11BD">
        <w:rPr>
          <w:noProof/>
          <w:lang w:val="en-IE"/>
        </w:rPr>
        <w:t xml:space="preserve"> </w:t>
      </w:r>
    </w:p>
    <w:p w14:paraId="58F550A2" w14:textId="22C1D583" w:rsidR="00011AD3" w:rsidRPr="003B11BD" w:rsidRDefault="00011AD3" w:rsidP="00011AD3">
      <w:pPr>
        <w:rPr>
          <w:noProof/>
          <w:lang w:val="en-IE"/>
        </w:rPr>
      </w:pPr>
      <w:r w:rsidRPr="003B11BD">
        <w:rPr>
          <w:noProof/>
          <w:lang w:val="en-IE"/>
        </w:rPr>
        <w:t xml:space="preserve">When asked about the </w:t>
      </w:r>
      <w:r w:rsidRPr="003B11BD">
        <w:rPr>
          <w:b/>
          <w:noProof/>
          <w:lang w:val="en-IE"/>
        </w:rPr>
        <w:t>types of crises for which compulsory licensing should be possible</w:t>
      </w:r>
      <w:r w:rsidRPr="003B11BD">
        <w:rPr>
          <w:noProof/>
          <w:lang w:val="en-IE"/>
        </w:rPr>
        <w:t>, almost half of the respondents (</w:t>
      </w:r>
      <w:r w:rsidR="00EB4C8F" w:rsidRPr="003B11BD">
        <w:rPr>
          <w:noProof/>
          <w:lang w:val="en-IE"/>
        </w:rPr>
        <w:t>45</w:t>
      </w:r>
      <w:r w:rsidRPr="003B11BD">
        <w:rPr>
          <w:noProof/>
          <w:lang w:val="en-IE"/>
        </w:rPr>
        <w:t>%</w:t>
      </w:r>
      <w:r w:rsidR="00631A09" w:rsidRPr="003B11BD">
        <w:rPr>
          <w:noProof/>
          <w:lang w:val="en-IE"/>
        </w:rPr>
        <w:t>,</w:t>
      </w:r>
      <w:r w:rsidR="00EB4C8F" w:rsidRPr="003B11BD">
        <w:rPr>
          <w:noProof/>
          <w:lang w:val="en-IE"/>
        </w:rPr>
        <w:t xml:space="preserve"> N=</w:t>
      </w:r>
      <w:r w:rsidR="004D7EC9" w:rsidRPr="003B11BD">
        <w:rPr>
          <w:noProof/>
          <w:lang w:val="en-IE"/>
        </w:rPr>
        <w:t>33</w:t>
      </w:r>
      <w:r w:rsidRPr="003B11BD">
        <w:rPr>
          <w:noProof/>
          <w:lang w:val="en-IE"/>
        </w:rPr>
        <w:t xml:space="preserve">) considered that compulsory licensing should be allowed only for specific crises. Interestingly, three quarters of the respondents </w:t>
      </w:r>
      <w:r w:rsidRPr="003B11BD">
        <w:rPr>
          <w:rStyle w:val="markedcontent"/>
          <w:noProof/>
          <w:lang w:val="en-IE"/>
        </w:rPr>
        <w:t>likely to be subject to a compulsory licensing decision were of the same opinion.</w:t>
      </w:r>
      <w:r w:rsidRPr="003B11BD">
        <w:rPr>
          <w:noProof/>
          <w:lang w:val="en-IE"/>
        </w:rPr>
        <w:t xml:space="preserve"> Another quarter considered that compulsory licensing should be allowed whenever a situation is determined to be a crisis by relevant authorities. Only few respondents considered that compulsory licensing should never be used (</w:t>
      </w:r>
      <w:r w:rsidR="004A75A2" w:rsidRPr="003B11BD">
        <w:rPr>
          <w:noProof/>
          <w:lang w:val="en-IE"/>
        </w:rPr>
        <w:t>55</w:t>
      </w:r>
      <w:r w:rsidRPr="003B11BD">
        <w:rPr>
          <w:noProof/>
          <w:lang w:val="en-IE"/>
        </w:rPr>
        <w:t>%</w:t>
      </w:r>
      <w:r w:rsidR="00631A09" w:rsidRPr="003B11BD">
        <w:rPr>
          <w:noProof/>
          <w:lang w:val="en-IE"/>
        </w:rPr>
        <w:t>,</w:t>
      </w:r>
      <w:r w:rsidR="004A75A2" w:rsidRPr="003B11BD">
        <w:rPr>
          <w:noProof/>
          <w:lang w:val="en-IE"/>
        </w:rPr>
        <w:t xml:space="preserve"> N=</w:t>
      </w:r>
      <w:r w:rsidR="00C729DF" w:rsidRPr="003B11BD">
        <w:rPr>
          <w:noProof/>
          <w:lang w:val="en-IE"/>
        </w:rPr>
        <w:t>4</w:t>
      </w:r>
      <w:r w:rsidRPr="003B11BD">
        <w:rPr>
          <w:noProof/>
          <w:lang w:val="en-IE"/>
        </w:rPr>
        <w:t>). When asked about the types of specific crisis, respondents first mentioned health-related crises (34%</w:t>
      </w:r>
      <w:r w:rsidR="00631A09" w:rsidRPr="003B11BD">
        <w:rPr>
          <w:noProof/>
          <w:lang w:val="en-IE"/>
        </w:rPr>
        <w:t>,</w:t>
      </w:r>
      <w:r w:rsidR="00C729DF" w:rsidRPr="003B11BD">
        <w:rPr>
          <w:noProof/>
          <w:lang w:val="en-IE"/>
        </w:rPr>
        <w:t xml:space="preserve"> N=25</w:t>
      </w:r>
      <w:r w:rsidRPr="003B11BD">
        <w:rPr>
          <w:noProof/>
          <w:lang w:val="en-IE"/>
        </w:rPr>
        <w:t>), then war and/ or large-scale attack (28%</w:t>
      </w:r>
      <w:r w:rsidR="00631A09" w:rsidRPr="003B11BD">
        <w:rPr>
          <w:noProof/>
          <w:lang w:val="en-IE"/>
        </w:rPr>
        <w:t>,</w:t>
      </w:r>
      <w:r w:rsidR="00C729DF" w:rsidRPr="003B11BD">
        <w:rPr>
          <w:noProof/>
          <w:lang w:val="en-IE"/>
        </w:rPr>
        <w:t xml:space="preserve"> N=21</w:t>
      </w:r>
      <w:r w:rsidRPr="003B11BD">
        <w:rPr>
          <w:noProof/>
          <w:lang w:val="en-IE"/>
        </w:rPr>
        <w:t>), and finally energy-related crises and natural disasters (each 26%</w:t>
      </w:r>
      <w:r w:rsidR="00631A09" w:rsidRPr="003B11BD">
        <w:rPr>
          <w:noProof/>
          <w:lang w:val="en-IE"/>
        </w:rPr>
        <w:t>,</w:t>
      </w:r>
      <w:r w:rsidR="00C729DF" w:rsidRPr="003B11BD">
        <w:rPr>
          <w:noProof/>
          <w:lang w:val="en-IE"/>
        </w:rPr>
        <w:t xml:space="preserve"> N=19</w:t>
      </w:r>
      <w:r w:rsidRPr="003B11BD">
        <w:rPr>
          <w:noProof/>
          <w:lang w:val="en-IE"/>
        </w:rPr>
        <w:t>).</w:t>
      </w:r>
    </w:p>
    <w:bookmarkEnd w:id="1117"/>
    <w:p w14:paraId="56234F2F" w14:textId="573ACC09" w:rsidR="00011AD3" w:rsidRPr="003B11BD" w:rsidRDefault="00011AD3" w:rsidP="00011AD3">
      <w:pPr>
        <w:rPr>
          <w:noProof/>
          <w:lang w:val="en-IE"/>
        </w:rPr>
      </w:pPr>
      <w:r w:rsidRPr="003B11BD">
        <w:rPr>
          <w:noProof/>
          <w:lang w:val="en-IE"/>
        </w:rPr>
        <w:t xml:space="preserve">On </w:t>
      </w:r>
      <w:r w:rsidRPr="003B11BD">
        <w:rPr>
          <w:b/>
          <w:noProof/>
          <w:lang w:val="en-IE"/>
        </w:rPr>
        <w:t xml:space="preserve">priority </w:t>
      </w:r>
      <w:r w:rsidRPr="003B11BD">
        <w:rPr>
          <w:b/>
          <w:bCs/>
          <w:noProof/>
          <w:lang w:val="en-IE"/>
        </w:rPr>
        <w:t xml:space="preserve">aspects </w:t>
      </w:r>
      <w:r w:rsidRPr="003B11BD">
        <w:rPr>
          <w:b/>
          <w:noProof/>
          <w:lang w:val="en-IE"/>
        </w:rPr>
        <w:t>of</w:t>
      </w:r>
      <w:r w:rsidRPr="003B11BD">
        <w:rPr>
          <w:b/>
          <w:bCs/>
          <w:noProof/>
          <w:lang w:val="en-IE"/>
        </w:rPr>
        <w:t xml:space="preserve"> compulsory licensing for crisis management</w:t>
      </w:r>
      <w:r w:rsidRPr="003B11BD">
        <w:rPr>
          <w:noProof/>
          <w:lang w:val="en-IE"/>
        </w:rPr>
        <w:t>, a large majority of stakeholders (</w:t>
      </w:r>
      <w:r w:rsidR="00587FC3" w:rsidRPr="003B11BD">
        <w:rPr>
          <w:noProof/>
          <w:lang w:val="en-IE"/>
        </w:rPr>
        <w:t>74</w:t>
      </w:r>
      <w:r w:rsidRPr="003B11BD">
        <w:rPr>
          <w:noProof/>
          <w:lang w:val="en-IE"/>
        </w:rPr>
        <w:t>%</w:t>
      </w:r>
      <w:r w:rsidR="001903C9" w:rsidRPr="003B11BD">
        <w:rPr>
          <w:noProof/>
          <w:lang w:val="en-IE"/>
        </w:rPr>
        <w:t>,</w:t>
      </w:r>
      <w:r w:rsidR="00587FC3" w:rsidRPr="003B11BD">
        <w:rPr>
          <w:noProof/>
          <w:lang w:val="en-IE"/>
        </w:rPr>
        <w:t xml:space="preserve"> N=55</w:t>
      </w:r>
      <w:r w:rsidRPr="003B11BD">
        <w:rPr>
          <w:noProof/>
          <w:lang w:val="en-IE"/>
        </w:rPr>
        <w:t>) consider the speed of ensuring access to products/ technologies as a high priority. However, only a third of stakeholders (34%</w:t>
      </w:r>
      <w:r w:rsidR="001903C9" w:rsidRPr="003B11BD">
        <w:rPr>
          <w:noProof/>
          <w:lang w:val="en-IE"/>
        </w:rPr>
        <w:t>,</w:t>
      </w:r>
      <w:r w:rsidR="00C36F29" w:rsidRPr="003B11BD">
        <w:rPr>
          <w:noProof/>
          <w:lang w:val="en-IE"/>
        </w:rPr>
        <w:t xml:space="preserve"> </w:t>
      </w:r>
      <w:r w:rsidR="00AE7732" w:rsidRPr="003B11BD">
        <w:rPr>
          <w:noProof/>
          <w:lang w:val="en-IE"/>
        </w:rPr>
        <w:t>N=</w:t>
      </w:r>
      <w:r w:rsidR="00B35D61" w:rsidRPr="003B11BD">
        <w:rPr>
          <w:noProof/>
          <w:lang w:val="en-IE"/>
        </w:rPr>
        <w:t>25</w:t>
      </w:r>
      <w:r w:rsidRPr="003B11BD">
        <w:rPr>
          <w:noProof/>
          <w:lang w:val="en-IE"/>
        </w:rPr>
        <w:t xml:space="preserve">) considered that putting a time limit on negotiations could speed up the granting of a compulsory licence for crisis management. Views diverged on the need to provide a clear time limit, some considering that a defined time period (e.g. 1 month) would be necessary to avoid lengthy negotiations, others considering that this would not provide a flexible solution. In contrast, pre-defined rules on essential terms of the licence are quoted as an efficient way to speed-up the granting of a compulsory licence. Pre-defined rules on remuneration appear particularly important with 42% of respondents </w:t>
      </w:r>
      <w:r w:rsidR="008B5A2E" w:rsidRPr="003B11BD">
        <w:rPr>
          <w:noProof/>
          <w:lang w:val="en-IE"/>
        </w:rPr>
        <w:t xml:space="preserve">(N=31) </w:t>
      </w:r>
      <w:r w:rsidRPr="003B11BD">
        <w:rPr>
          <w:noProof/>
          <w:lang w:val="en-IE"/>
        </w:rPr>
        <w:t>considering that it would speed up the granting of a compulsory licence. This is in line with the finding that protection of right holders (including an adequate remuneration) was considered a high priority for 6</w:t>
      </w:r>
      <w:r w:rsidR="009B3E5C" w:rsidRPr="003B11BD">
        <w:rPr>
          <w:noProof/>
          <w:lang w:val="en-IE"/>
        </w:rPr>
        <w:t>4</w:t>
      </w:r>
      <w:r w:rsidRPr="003B11BD">
        <w:rPr>
          <w:noProof/>
          <w:lang w:val="en-IE"/>
        </w:rPr>
        <w:t xml:space="preserve">% of respondents </w:t>
      </w:r>
      <w:r w:rsidR="007B67B6" w:rsidRPr="003B11BD">
        <w:rPr>
          <w:noProof/>
          <w:lang w:val="en-IE"/>
        </w:rPr>
        <w:t>(</w:t>
      </w:r>
      <w:r w:rsidR="0061434F" w:rsidRPr="003B11BD">
        <w:rPr>
          <w:noProof/>
          <w:lang w:val="en-IE"/>
        </w:rPr>
        <w:t xml:space="preserve">N=47) </w:t>
      </w:r>
      <w:r w:rsidRPr="003B11BD">
        <w:rPr>
          <w:noProof/>
          <w:lang w:val="en-IE"/>
        </w:rPr>
        <w:t xml:space="preserve">to the public consultation. </w:t>
      </w:r>
    </w:p>
    <w:p w14:paraId="23A1B357" w14:textId="436201DA" w:rsidR="00011AD3" w:rsidRPr="003B11BD" w:rsidRDefault="00011AD3" w:rsidP="00011AD3">
      <w:pPr>
        <w:rPr>
          <w:noProof/>
          <w:lang w:val="en-IE"/>
        </w:rPr>
      </w:pPr>
      <w:r w:rsidRPr="003B11BD">
        <w:rPr>
          <w:noProof/>
          <w:lang w:val="en-IE"/>
        </w:rPr>
        <w:t xml:space="preserve">A final aspect concerned the </w:t>
      </w:r>
      <w:r w:rsidRPr="003B11BD">
        <w:rPr>
          <w:b/>
          <w:noProof/>
          <w:lang w:val="en-IE"/>
        </w:rPr>
        <w:t>importance of voluntary agreements on intellectual property rights</w:t>
      </w:r>
      <w:r w:rsidRPr="003B11BD">
        <w:rPr>
          <w:noProof/>
          <w:lang w:val="en-IE"/>
        </w:rPr>
        <w:t xml:space="preserve">, including in crises. Stakeholders generally highlight the importance of voluntary agreements to scale-up the manufacturing of critical products. This view was often reflected in the feedback to the call for evidence as well as in the replies to the public consultation. According to many stakeholders, the COVID-19 </w:t>
      </w:r>
      <w:r w:rsidR="00B201EC" w:rsidRPr="003B11BD">
        <w:rPr>
          <w:noProof/>
          <w:lang w:val="en-IE"/>
        </w:rPr>
        <w:t xml:space="preserve">pandemic </w:t>
      </w:r>
      <w:r w:rsidRPr="003B11BD">
        <w:rPr>
          <w:noProof/>
          <w:lang w:val="en-IE"/>
        </w:rPr>
        <w:t xml:space="preserve">has showed that voluntary agreements offer a viable solution for the manufacturing of critical goods in crises. Along these lines, </w:t>
      </w:r>
      <w:r w:rsidR="56E729E2" w:rsidRPr="003B11BD">
        <w:rPr>
          <w:noProof/>
          <w:lang w:val="en-IE"/>
        </w:rPr>
        <w:t>three quarters of the</w:t>
      </w:r>
      <w:r w:rsidRPr="003B11BD">
        <w:rPr>
          <w:noProof/>
          <w:lang w:val="en-IE"/>
        </w:rPr>
        <w:t xml:space="preserve"> respondents to the public consultation (</w:t>
      </w:r>
      <w:r w:rsidR="006C3152" w:rsidRPr="003B11BD">
        <w:rPr>
          <w:noProof/>
          <w:lang w:val="en-IE"/>
        </w:rPr>
        <w:t>74</w:t>
      </w:r>
      <w:r w:rsidRPr="003B11BD">
        <w:rPr>
          <w:noProof/>
          <w:lang w:val="en-IE"/>
        </w:rPr>
        <w:t>%</w:t>
      </w:r>
      <w:r w:rsidR="00E55643" w:rsidRPr="003B11BD">
        <w:rPr>
          <w:noProof/>
          <w:lang w:val="en-IE"/>
        </w:rPr>
        <w:t>,</w:t>
      </w:r>
      <w:r w:rsidR="006C3152" w:rsidRPr="003B11BD">
        <w:rPr>
          <w:noProof/>
          <w:lang w:val="en-IE"/>
        </w:rPr>
        <w:t xml:space="preserve"> N=</w:t>
      </w:r>
      <w:r w:rsidR="000C5E2E" w:rsidRPr="003B11BD">
        <w:rPr>
          <w:noProof/>
          <w:lang w:val="en-IE"/>
        </w:rPr>
        <w:t>55</w:t>
      </w:r>
      <w:r w:rsidRPr="003B11BD">
        <w:rPr>
          <w:noProof/>
          <w:lang w:val="en-IE"/>
        </w:rPr>
        <w:t xml:space="preserve">) agreed that compulsory licensing is a last-resort mechanism that should be available only where voluntary arrangements have failed or are unavailable. </w:t>
      </w:r>
    </w:p>
    <w:p w14:paraId="0D69CE5A" w14:textId="77777777" w:rsidR="00011AD3" w:rsidRPr="003B11BD" w:rsidRDefault="00011AD3" w:rsidP="00011AD3">
      <w:pPr>
        <w:rPr>
          <w:noProof/>
          <w:lang w:val="en-IE"/>
        </w:rPr>
      </w:pPr>
      <w:r w:rsidRPr="003B11BD">
        <w:rPr>
          <w:noProof/>
          <w:lang w:val="en-IE"/>
        </w:rPr>
        <w:t xml:space="preserve">However, views are contrasted on this issue: although almost all companies and business association (97%) agree with the last resort approach, two-thirds of NGOs disagree. In addition, several respondents to the public consultation highlighted that Article 31(b) of the TRIPS Agreement does not require seeking the authorisation of the patent owner (i.e. a voluntary agreement) in cases of </w:t>
      </w:r>
      <w:r w:rsidRPr="003B11BD">
        <w:rPr>
          <w:noProof/>
          <w:color w:val="000000"/>
          <w:shd w:val="clear" w:color="auto" w:fill="FFFFFF"/>
          <w:lang w:val="en-IE"/>
        </w:rPr>
        <w:t>a national emergency or other circumstances of extreme urgency or in cases of public non-commercial use.</w:t>
      </w:r>
    </w:p>
    <w:p w14:paraId="2F1DF996" w14:textId="77777777" w:rsidR="00011AD3" w:rsidRPr="003B11BD" w:rsidRDefault="00011AD3" w:rsidP="00011AD3">
      <w:pPr>
        <w:rPr>
          <w:noProof/>
          <w:lang w:val="en-IE"/>
        </w:rPr>
      </w:pPr>
      <w:r w:rsidRPr="003B11BD">
        <w:rPr>
          <w:noProof/>
          <w:lang w:val="en-IE"/>
        </w:rPr>
        <w:t>As regards aspects to determine whether voluntary agreements have failed, the majority of respondents favour whether reasonable efforts have been made by the licence seeker to obtain an agreement with the IP owner and the time period allowed for concluding a voluntary agreement over the types of voluntary agreements that have proven to be unsuccessful or unavailable, such as agreements with suppliers or agreements between competitors.</w:t>
      </w:r>
    </w:p>
    <w:p w14:paraId="2BFCAD62" w14:textId="1FC74ECC" w:rsidR="00011AD3" w:rsidRPr="003B11BD" w:rsidRDefault="00011AD3" w:rsidP="00011AD3">
      <w:pPr>
        <w:jc w:val="center"/>
        <w:rPr>
          <w:noProof/>
          <w:lang w:val="en-IE"/>
        </w:rPr>
      </w:pPr>
      <w:r w:rsidRPr="003B11BD">
        <w:rPr>
          <w:noProof/>
          <w:lang w:eastAsia="en-GB"/>
        </w:rPr>
        <w:drawing>
          <wp:inline distT="0" distB="0" distL="0" distR="0" wp14:anchorId="7C706BB3" wp14:editId="7FE09AB3">
            <wp:extent cx="5715000" cy="312000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1154" t="29060" r="17788" b="11681"/>
                    <a:stretch/>
                  </pic:blipFill>
                  <pic:spPr bwMode="auto">
                    <a:xfrm>
                      <a:off x="0" y="0"/>
                      <a:ext cx="5762438" cy="3145899"/>
                    </a:xfrm>
                    <a:prstGeom prst="rect">
                      <a:avLst/>
                    </a:prstGeom>
                    <a:ln>
                      <a:noFill/>
                    </a:ln>
                    <a:extLst>
                      <a:ext uri="{53640926-AAD7-44D8-BBD7-CCE9431645EC}">
                        <a14:shadowObscured xmlns:a14="http://schemas.microsoft.com/office/drawing/2010/main"/>
                      </a:ext>
                    </a:extLst>
                  </pic:spPr>
                </pic:pic>
              </a:graphicData>
            </a:graphic>
          </wp:inline>
        </w:drawing>
      </w:r>
    </w:p>
    <w:p w14:paraId="179463CB" w14:textId="77777777" w:rsidR="00011AD3" w:rsidRPr="003B11BD" w:rsidRDefault="00011AD3" w:rsidP="00011AD3">
      <w:pPr>
        <w:rPr>
          <w:noProof/>
          <w:lang w:val="en-IE"/>
        </w:rPr>
      </w:pPr>
      <w:r w:rsidRPr="003B11BD">
        <w:rPr>
          <w:noProof/>
          <w:lang w:val="en-IE"/>
        </w:rPr>
        <w:t xml:space="preserve">Almost half of the respondents mentioned other aspects to be considered. These aspects included the scope of the licence (whether it is strictly limited to what is necessary), the protection of trade secrets and commercial interests of the IP owner and the guarantees given by the licensee. </w:t>
      </w:r>
    </w:p>
    <w:p w14:paraId="26CCD05E" w14:textId="24E4FCBB" w:rsidR="00D31260" w:rsidRPr="003B11BD" w:rsidRDefault="00011AD3" w:rsidP="00D31260">
      <w:pPr>
        <w:rPr>
          <w:noProof/>
          <w:lang w:val="en-IE"/>
        </w:rPr>
      </w:pPr>
      <w:r w:rsidRPr="003B11BD">
        <w:rPr>
          <w:noProof/>
          <w:lang w:val="en-IE"/>
        </w:rPr>
        <w:t xml:space="preserve">As regards </w:t>
      </w:r>
      <w:r w:rsidR="00E230EF" w:rsidRPr="003B11BD">
        <w:rPr>
          <w:noProof/>
          <w:lang w:val="en-IE"/>
        </w:rPr>
        <w:t xml:space="preserve">the </w:t>
      </w:r>
      <w:r w:rsidR="00E230EF" w:rsidRPr="003B11BD">
        <w:rPr>
          <w:b/>
          <w:noProof/>
          <w:lang w:val="en-IE"/>
        </w:rPr>
        <w:t xml:space="preserve">impact </w:t>
      </w:r>
      <w:r w:rsidR="00F60F54" w:rsidRPr="003B11BD">
        <w:rPr>
          <w:b/>
          <w:noProof/>
          <w:lang w:val="en-IE"/>
        </w:rPr>
        <w:t xml:space="preserve">of </w:t>
      </w:r>
      <w:r w:rsidR="00E230EF" w:rsidRPr="003B11BD">
        <w:rPr>
          <w:b/>
          <w:noProof/>
          <w:lang w:val="en-IE"/>
        </w:rPr>
        <w:t>compulsory licen</w:t>
      </w:r>
      <w:r w:rsidR="00F60F54" w:rsidRPr="003B11BD">
        <w:rPr>
          <w:b/>
          <w:noProof/>
          <w:lang w:val="en-IE"/>
        </w:rPr>
        <w:t>sing on</w:t>
      </w:r>
      <w:r w:rsidR="00E230EF" w:rsidRPr="003B11BD">
        <w:rPr>
          <w:b/>
          <w:noProof/>
          <w:lang w:val="en-IE"/>
        </w:rPr>
        <w:t xml:space="preserve"> the various players</w:t>
      </w:r>
      <w:r w:rsidR="00E230EF" w:rsidRPr="003B11BD">
        <w:rPr>
          <w:noProof/>
          <w:lang w:val="en-IE"/>
        </w:rPr>
        <w:t xml:space="preserve">, </w:t>
      </w:r>
      <w:r w:rsidR="00775D94" w:rsidRPr="003B11BD">
        <w:rPr>
          <w:noProof/>
          <w:lang w:val="en-IE"/>
        </w:rPr>
        <w:t xml:space="preserve">opinions </w:t>
      </w:r>
      <w:r w:rsidR="00EE23E0" w:rsidRPr="003B11BD">
        <w:rPr>
          <w:noProof/>
          <w:lang w:val="en-IE"/>
        </w:rPr>
        <w:t xml:space="preserve">are divided between stakeholders. </w:t>
      </w:r>
      <w:r w:rsidR="000952CD" w:rsidRPr="003B11BD">
        <w:rPr>
          <w:noProof/>
          <w:lang w:val="en-IE"/>
        </w:rPr>
        <w:t xml:space="preserve">While companies </w:t>
      </w:r>
      <w:r w:rsidR="00D31260" w:rsidRPr="003B11BD">
        <w:rPr>
          <w:noProof/>
          <w:lang w:val="en-IE"/>
        </w:rPr>
        <w:t>and</w:t>
      </w:r>
      <w:r w:rsidR="000952CD" w:rsidRPr="003B11BD">
        <w:rPr>
          <w:noProof/>
          <w:lang w:val="en-IE"/>
        </w:rPr>
        <w:t xml:space="preserve"> business associations</w:t>
      </w:r>
      <w:r w:rsidR="007E169E" w:rsidRPr="003B11BD">
        <w:rPr>
          <w:noProof/>
          <w:lang w:val="en-IE"/>
        </w:rPr>
        <w:t xml:space="preserve"> </w:t>
      </w:r>
      <w:r w:rsidR="00432EF7" w:rsidRPr="003B11BD">
        <w:rPr>
          <w:noProof/>
          <w:lang w:val="en-IE"/>
        </w:rPr>
        <w:t>point</w:t>
      </w:r>
      <w:r w:rsidR="007E169E" w:rsidRPr="003B11BD">
        <w:rPr>
          <w:noProof/>
          <w:lang w:val="en-IE"/>
        </w:rPr>
        <w:t xml:space="preserve"> to </w:t>
      </w:r>
      <w:r w:rsidR="00AD6535" w:rsidRPr="003B11BD">
        <w:rPr>
          <w:noProof/>
          <w:lang w:val="en-IE"/>
        </w:rPr>
        <w:t xml:space="preserve">the negative impact </w:t>
      </w:r>
      <w:r w:rsidR="009E3267" w:rsidRPr="003B11BD">
        <w:rPr>
          <w:noProof/>
          <w:lang w:val="en-IE"/>
        </w:rPr>
        <w:t>of compulsory licensing to IP right</w:t>
      </w:r>
      <w:r w:rsidR="0051786A" w:rsidRPr="003B11BD">
        <w:rPr>
          <w:noProof/>
          <w:lang w:val="en-IE"/>
        </w:rPr>
        <w:t>s</w:t>
      </w:r>
      <w:r w:rsidR="009E3267" w:rsidRPr="003B11BD">
        <w:rPr>
          <w:noProof/>
          <w:lang w:val="en-IE"/>
        </w:rPr>
        <w:t xml:space="preserve"> holders</w:t>
      </w:r>
      <w:r w:rsidR="0051786A" w:rsidRPr="003B11BD">
        <w:rPr>
          <w:noProof/>
          <w:lang w:val="en-IE"/>
        </w:rPr>
        <w:t>,</w:t>
      </w:r>
      <w:r w:rsidR="00D7030E" w:rsidRPr="003B11BD">
        <w:rPr>
          <w:noProof/>
          <w:lang w:val="en-IE"/>
        </w:rPr>
        <w:t xml:space="preserve"> </w:t>
      </w:r>
      <w:r w:rsidR="00316DBD" w:rsidRPr="003B11BD">
        <w:rPr>
          <w:noProof/>
          <w:lang w:val="en-IE"/>
        </w:rPr>
        <w:t xml:space="preserve">lowering the value of their investments </w:t>
      </w:r>
      <w:r w:rsidR="005C4EB1" w:rsidRPr="003B11BD">
        <w:rPr>
          <w:noProof/>
          <w:lang w:val="en-IE"/>
        </w:rPr>
        <w:t>in IP rights</w:t>
      </w:r>
      <w:r w:rsidR="00990303" w:rsidRPr="003B11BD">
        <w:rPr>
          <w:noProof/>
          <w:lang w:val="en-IE"/>
        </w:rPr>
        <w:t>, impairing the IP system</w:t>
      </w:r>
      <w:r w:rsidR="005C4EB1" w:rsidRPr="003B11BD">
        <w:rPr>
          <w:noProof/>
          <w:lang w:val="en-IE"/>
        </w:rPr>
        <w:t xml:space="preserve"> and </w:t>
      </w:r>
      <w:r w:rsidR="003749DA" w:rsidRPr="003B11BD">
        <w:rPr>
          <w:noProof/>
          <w:lang w:val="en-IE"/>
        </w:rPr>
        <w:t>harmin</w:t>
      </w:r>
      <w:r w:rsidR="00BF4F20" w:rsidRPr="003B11BD">
        <w:rPr>
          <w:noProof/>
          <w:lang w:val="en-IE"/>
        </w:rPr>
        <w:t>g</w:t>
      </w:r>
      <w:r w:rsidR="003749DA" w:rsidRPr="003B11BD">
        <w:rPr>
          <w:noProof/>
          <w:lang w:val="en-IE"/>
        </w:rPr>
        <w:t xml:space="preserve"> society in the </w:t>
      </w:r>
      <w:r w:rsidR="00BF4F20" w:rsidRPr="003B11BD">
        <w:rPr>
          <w:noProof/>
          <w:lang w:val="en-IE"/>
        </w:rPr>
        <w:t xml:space="preserve">long run, NGOs </w:t>
      </w:r>
      <w:r w:rsidR="00606A6D" w:rsidRPr="003B11BD">
        <w:rPr>
          <w:noProof/>
          <w:lang w:val="en-IE"/>
        </w:rPr>
        <w:t>are emphasizing the positive impact on citizens and the entire society</w:t>
      </w:r>
      <w:r w:rsidR="009B1973" w:rsidRPr="003B11BD">
        <w:rPr>
          <w:noProof/>
          <w:lang w:val="en-IE"/>
        </w:rPr>
        <w:t xml:space="preserve"> by</w:t>
      </w:r>
      <w:r w:rsidR="00606A6D" w:rsidRPr="003B11BD">
        <w:rPr>
          <w:noProof/>
          <w:lang w:val="en-IE"/>
        </w:rPr>
        <w:t xml:space="preserve"> ensur</w:t>
      </w:r>
      <w:r w:rsidR="00750948" w:rsidRPr="003B11BD">
        <w:rPr>
          <w:noProof/>
          <w:lang w:val="en-IE"/>
        </w:rPr>
        <w:t>ing</w:t>
      </w:r>
      <w:r w:rsidR="00606A6D" w:rsidRPr="003B11BD">
        <w:rPr>
          <w:noProof/>
          <w:lang w:val="en-IE"/>
        </w:rPr>
        <w:t xml:space="preserve"> affordable and sustainable access to essential health products</w:t>
      </w:r>
      <w:r w:rsidR="000253A4" w:rsidRPr="003B11BD">
        <w:rPr>
          <w:noProof/>
          <w:lang w:val="en-IE"/>
        </w:rPr>
        <w:t>, when needed,</w:t>
      </w:r>
      <w:r w:rsidR="00606A6D" w:rsidRPr="003B11BD">
        <w:rPr>
          <w:noProof/>
          <w:lang w:val="en-IE"/>
        </w:rPr>
        <w:t xml:space="preserve"> at reasonable prices, in adequate quantity and good quality, </w:t>
      </w:r>
      <w:r w:rsidR="00C92970" w:rsidRPr="003B11BD">
        <w:rPr>
          <w:noProof/>
          <w:lang w:val="en-IE"/>
        </w:rPr>
        <w:t>while</w:t>
      </w:r>
      <w:r w:rsidR="00606A6D" w:rsidRPr="003B11BD">
        <w:rPr>
          <w:noProof/>
          <w:lang w:val="en-IE"/>
        </w:rPr>
        <w:t xml:space="preserve"> </w:t>
      </w:r>
      <w:r w:rsidR="000253A4" w:rsidRPr="003B11BD">
        <w:rPr>
          <w:noProof/>
          <w:lang w:val="en-IE"/>
        </w:rPr>
        <w:t>guarant</w:t>
      </w:r>
      <w:r w:rsidR="00ED201C" w:rsidRPr="003B11BD">
        <w:rPr>
          <w:noProof/>
          <w:lang w:val="en-IE"/>
        </w:rPr>
        <w:t>ee</w:t>
      </w:r>
      <w:r w:rsidR="000253A4" w:rsidRPr="003B11BD">
        <w:rPr>
          <w:noProof/>
          <w:lang w:val="en-IE"/>
        </w:rPr>
        <w:t>ing</w:t>
      </w:r>
      <w:r w:rsidR="00606A6D" w:rsidRPr="003B11BD">
        <w:rPr>
          <w:noProof/>
          <w:lang w:val="en-IE"/>
        </w:rPr>
        <w:t xml:space="preserve"> a balance </w:t>
      </w:r>
      <w:r w:rsidR="00474A52" w:rsidRPr="003B11BD">
        <w:rPr>
          <w:noProof/>
          <w:lang w:val="en-IE"/>
        </w:rPr>
        <w:t>with</w:t>
      </w:r>
      <w:r w:rsidR="00606A6D" w:rsidRPr="003B11BD">
        <w:rPr>
          <w:noProof/>
          <w:lang w:val="en-IE"/>
        </w:rPr>
        <w:t xml:space="preserve"> the innovation and IPR system</w:t>
      </w:r>
      <w:r w:rsidR="00ED201C" w:rsidRPr="003B11BD">
        <w:rPr>
          <w:noProof/>
          <w:lang w:val="en-IE"/>
        </w:rPr>
        <w:t>.</w:t>
      </w:r>
    </w:p>
    <w:p w14:paraId="32C51865" w14:textId="77777777" w:rsidR="00011AD3" w:rsidRPr="003B11BD" w:rsidRDefault="00011AD3" w:rsidP="001E5551">
      <w:pPr>
        <w:pStyle w:val="Stakeholders"/>
        <w:rPr>
          <w:noProof/>
        </w:rPr>
      </w:pPr>
      <w:r w:rsidRPr="003B11BD">
        <w:rPr>
          <w:noProof/>
        </w:rPr>
        <w:t>Policy options as regards compulsory licensing for the domestic market – Article 31 of the TRIPS Agreement</w:t>
      </w:r>
    </w:p>
    <w:p w14:paraId="4E45B6A1" w14:textId="77777777" w:rsidR="00011AD3" w:rsidRPr="003B11BD" w:rsidRDefault="00011AD3" w:rsidP="00011AD3">
      <w:pPr>
        <w:rPr>
          <w:noProof/>
          <w:lang w:val="en-IE"/>
        </w:rPr>
      </w:pPr>
      <w:r w:rsidRPr="003B11BD">
        <w:rPr>
          <w:noProof/>
          <w:lang w:val="en-IE"/>
        </w:rPr>
        <w:t>Different consultation activities</w:t>
      </w:r>
      <w:r w:rsidRPr="003B11BD">
        <w:rPr>
          <w:noProof/>
          <w:vertAlign w:val="superscript"/>
          <w:lang w:val="en-IE"/>
        </w:rPr>
        <w:footnoteReference w:id="146"/>
      </w:r>
      <w:r w:rsidRPr="003B11BD">
        <w:rPr>
          <w:noProof/>
          <w:lang w:val="en-IE"/>
        </w:rPr>
        <w:t xml:space="preserve"> have examined experiences of stakeholders and national experts with compulsory licensing at Member State level, in particular regarding possible policy options to ensure an effective compulsory licensing system for crisis management.</w:t>
      </w:r>
    </w:p>
    <w:p w14:paraId="637C1375" w14:textId="66D56097" w:rsidR="00011AD3" w:rsidRPr="003B11BD" w:rsidRDefault="00011AD3" w:rsidP="00011AD3">
      <w:pPr>
        <w:rPr>
          <w:noProof/>
          <w:lang w:val="en-IE"/>
        </w:rPr>
      </w:pPr>
      <w:r w:rsidRPr="003B11BD">
        <w:rPr>
          <w:noProof/>
          <w:lang w:val="en-IE"/>
        </w:rPr>
        <w:t xml:space="preserve">When presented with three main </w:t>
      </w:r>
      <w:r w:rsidRPr="003B11BD">
        <w:rPr>
          <w:b/>
          <w:noProof/>
          <w:lang w:val="en-IE"/>
        </w:rPr>
        <w:t>policy options to speed-up the compulsory licensing process for crisis management</w:t>
      </w:r>
      <w:r w:rsidRPr="003B11BD">
        <w:rPr>
          <w:noProof/>
          <w:lang w:val="en-IE"/>
        </w:rPr>
        <w:t>, stakeholders favoured the option consisting of facilitating communication on the request/ granting of compulsory licences and the sharing of information between EU countries (42%</w:t>
      </w:r>
      <w:r w:rsidR="00755905" w:rsidRPr="003B11BD">
        <w:rPr>
          <w:noProof/>
          <w:lang w:val="en-IE"/>
        </w:rPr>
        <w:t>,</w:t>
      </w:r>
      <w:r w:rsidR="004B0FF4" w:rsidRPr="003B11BD">
        <w:rPr>
          <w:noProof/>
          <w:lang w:val="en-IE"/>
        </w:rPr>
        <w:t xml:space="preserve"> N=31</w:t>
      </w:r>
      <w:r w:rsidRPr="003B11BD">
        <w:rPr>
          <w:noProof/>
          <w:lang w:val="en-IE"/>
        </w:rPr>
        <w:t>). The second preferred option referred to the possibility of aligning rules on compulsory licences (28%</w:t>
      </w:r>
      <w:r w:rsidR="00755905" w:rsidRPr="003B11BD">
        <w:rPr>
          <w:noProof/>
          <w:lang w:val="en-IE"/>
        </w:rPr>
        <w:t>,</w:t>
      </w:r>
      <w:r w:rsidR="004B0FF4" w:rsidRPr="003B11BD">
        <w:rPr>
          <w:noProof/>
          <w:lang w:val="en-IE"/>
        </w:rPr>
        <w:t xml:space="preserve"> N=21</w:t>
      </w:r>
      <w:r w:rsidRPr="003B11BD">
        <w:rPr>
          <w:noProof/>
          <w:lang w:val="en-IE"/>
        </w:rPr>
        <w:t>). The least preferred option concerned the adoption of non-bi</w:t>
      </w:r>
      <w:r w:rsidR="00D40165" w:rsidRPr="003B11BD">
        <w:rPr>
          <w:noProof/>
          <w:lang w:val="en-IE"/>
        </w:rPr>
        <w:t>n</w:t>
      </w:r>
      <w:r w:rsidRPr="003B11BD">
        <w:rPr>
          <w:noProof/>
          <w:lang w:val="en-IE"/>
        </w:rPr>
        <w:t>ding guidelines (22%</w:t>
      </w:r>
      <w:r w:rsidR="00A675A4" w:rsidRPr="003B11BD">
        <w:rPr>
          <w:noProof/>
          <w:lang w:val="en-IE"/>
        </w:rPr>
        <w:t>,</w:t>
      </w:r>
      <w:r w:rsidR="004B0FF4" w:rsidRPr="003B11BD">
        <w:rPr>
          <w:noProof/>
          <w:lang w:val="en-IE"/>
        </w:rPr>
        <w:t xml:space="preserve"> N=16</w:t>
      </w:r>
      <w:r w:rsidRPr="003B11BD">
        <w:rPr>
          <w:noProof/>
          <w:lang w:val="en-IE"/>
        </w:rPr>
        <w:t>). Three out of four of the public authorities having replied to the public consultation are in favour of an alignment of rules. This is in stark contrast with NGOs and consumer organisation</w:t>
      </w:r>
      <w:r w:rsidR="00E4610E" w:rsidRPr="003B11BD">
        <w:rPr>
          <w:noProof/>
          <w:lang w:val="en-IE"/>
        </w:rPr>
        <w:t>s</w:t>
      </w:r>
      <w:r w:rsidRPr="003B11BD">
        <w:rPr>
          <w:noProof/>
          <w:lang w:val="en-IE"/>
        </w:rPr>
        <w:t xml:space="preserve">, of which only </w:t>
      </w:r>
      <w:r w:rsidR="0070387C" w:rsidRPr="003B11BD">
        <w:rPr>
          <w:noProof/>
          <w:lang w:val="en-IE"/>
        </w:rPr>
        <w:t xml:space="preserve">one </w:t>
      </w:r>
      <w:r w:rsidR="0053175B" w:rsidRPr="003B11BD">
        <w:rPr>
          <w:noProof/>
          <w:lang w:val="en-IE"/>
        </w:rPr>
        <w:t>NGO</w:t>
      </w:r>
      <w:r w:rsidRPr="003B11BD">
        <w:rPr>
          <w:noProof/>
          <w:lang w:val="en-IE"/>
        </w:rPr>
        <w:t xml:space="preserve"> would welcome an alignment of rules. This reluctance towards </w:t>
      </w:r>
      <w:r w:rsidR="00F872A6" w:rsidRPr="003B11BD">
        <w:rPr>
          <w:noProof/>
          <w:lang w:val="en-IE"/>
        </w:rPr>
        <w:t xml:space="preserve">an </w:t>
      </w:r>
      <w:r w:rsidRPr="003B11BD">
        <w:rPr>
          <w:noProof/>
          <w:lang w:val="en-IE"/>
        </w:rPr>
        <w:t xml:space="preserve">alignment of rules could </w:t>
      </w:r>
      <w:r w:rsidR="00B52F64" w:rsidRPr="003B11BD">
        <w:rPr>
          <w:noProof/>
          <w:lang w:val="en-IE"/>
        </w:rPr>
        <w:t xml:space="preserve">be </w:t>
      </w:r>
      <w:r w:rsidRPr="003B11BD">
        <w:rPr>
          <w:noProof/>
          <w:lang w:val="en-IE"/>
        </w:rPr>
        <w:t>explained by the willingness to preserve the ability of Member State</w:t>
      </w:r>
      <w:r w:rsidR="00BA6181" w:rsidRPr="003B11BD">
        <w:rPr>
          <w:noProof/>
          <w:lang w:val="en-IE"/>
        </w:rPr>
        <w:t>s</w:t>
      </w:r>
      <w:r w:rsidRPr="003B11BD">
        <w:rPr>
          <w:noProof/>
          <w:lang w:val="en-IE"/>
        </w:rPr>
        <w:t xml:space="preserve"> to trigger compulsory licences at national level, as this appears from discussions with stakeholders.</w:t>
      </w:r>
    </w:p>
    <w:p w14:paraId="2A034898" w14:textId="6C7A83C4" w:rsidR="00011AD3" w:rsidRPr="003B11BD" w:rsidRDefault="00011AD3" w:rsidP="00011AD3">
      <w:pPr>
        <w:rPr>
          <w:noProof/>
          <w:lang w:val="en-IE"/>
        </w:rPr>
      </w:pPr>
      <w:r w:rsidRPr="003B11BD">
        <w:rPr>
          <w:noProof/>
          <w:lang w:val="en-IE"/>
        </w:rPr>
        <w:t xml:space="preserve">The public consultation further investigated the option, and in particular the </w:t>
      </w:r>
      <w:r w:rsidRPr="003B11BD">
        <w:rPr>
          <w:b/>
          <w:noProof/>
          <w:lang w:val="en-IE"/>
        </w:rPr>
        <w:t>relevant features of uniform rules on compulsory licences for crisis management</w:t>
      </w:r>
      <w:r w:rsidRPr="003B11BD">
        <w:rPr>
          <w:noProof/>
          <w:lang w:val="en-IE"/>
        </w:rPr>
        <w:t>. In general, respondents to the public consultation consider that the three main features to be aligned should be the grounds on which a compulsory licence can be granted (43%</w:t>
      </w:r>
      <w:r w:rsidR="00A675A4" w:rsidRPr="003B11BD">
        <w:rPr>
          <w:noProof/>
          <w:lang w:val="en-IE"/>
        </w:rPr>
        <w:t>,</w:t>
      </w:r>
      <w:r w:rsidR="006944C1" w:rsidRPr="003B11BD">
        <w:rPr>
          <w:noProof/>
          <w:lang w:val="en-IE"/>
        </w:rPr>
        <w:t>N=32</w:t>
      </w:r>
      <w:r w:rsidRPr="003B11BD">
        <w:rPr>
          <w:noProof/>
          <w:lang w:val="en-IE"/>
        </w:rPr>
        <w:t>), the scope (42%</w:t>
      </w:r>
      <w:r w:rsidR="00A675A4" w:rsidRPr="003B11BD">
        <w:rPr>
          <w:noProof/>
          <w:lang w:val="en-IE"/>
        </w:rPr>
        <w:t>,</w:t>
      </w:r>
      <w:r w:rsidR="006944C1" w:rsidRPr="003B11BD">
        <w:rPr>
          <w:noProof/>
          <w:lang w:val="en-IE"/>
        </w:rPr>
        <w:t xml:space="preserve"> N=31</w:t>
      </w:r>
      <w:r w:rsidRPr="003B11BD">
        <w:rPr>
          <w:noProof/>
          <w:lang w:val="en-IE"/>
        </w:rPr>
        <w:t>) and the procedure (32%</w:t>
      </w:r>
      <w:r w:rsidR="00A675A4" w:rsidRPr="003B11BD">
        <w:rPr>
          <w:noProof/>
          <w:lang w:val="en-IE"/>
        </w:rPr>
        <w:t>,</w:t>
      </w:r>
      <w:r w:rsidR="006944C1" w:rsidRPr="003B11BD">
        <w:rPr>
          <w:noProof/>
          <w:lang w:val="en-IE"/>
        </w:rPr>
        <w:t xml:space="preserve"> N=24</w:t>
      </w:r>
      <w:r w:rsidRPr="003B11BD">
        <w:rPr>
          <w:noProof/>
          <w:lang w:val="en-IE"/>
        </w:rPr>
        <w:t xml:space="preserve">). Divergences exist between the different categories of stakeholders. Companies and business associations are less likely to consider that alignment is needed on the different features. They are only a bit more than a fifth to consider necessary to align the grounds and the scope and only 17% in favour of aligning the procedure. In contrast, more NGOs, public authorities, and </w:t>
      </w:r>
      <w:r w:rsidR="00143D2E" w:rsidRPr="003B11BD">
        <w:rPr>
          <w:noProof/>
          <w:lang w:val="en-IE"/>
        </w:rPr>
        <w:t>academia</w:t>
      </w:r>
      <w:r w:rsidRPr="003B11BD">
        <w:rPr>
          <w:noProof/>
          <w:lang w:val="en-IE"/>
        </w:rPr>
        <w:t xml:space="preserve"> are in favour of aligning the scope (73%), the grounds (67%) and the procedure (53%). </w:t>
      </w:r>
    </w:p>
    <w:p w14:paraId="5B04C7EF" w14:textId="5D3B6672" w:rsidR="00011AD3" w:rsidRPr="003B11BD" w:rsidRDefault="00011AD3" w:rsidP="00011AD3">
      <w:pPr>
        <w:spacing w:line="259" w:lineRule="auto"/>
        <w:rPr>
          <w:noProof/>
          <w:lang w:val="en-IE"/>
        </w:rPr>
      </w:pPr>
      <w:r w:rsidRPr="003B11BD">
        <w:rPr>
          <w:noProof/>
          <w:lang w:val="en-IE"/>
        </w:rPr>
        <w:t>The public consultation further examined the different features of a compulsory licence for crisis management purposes, which can be summarised as follows</w:t>
      </w:r>
      <w:r w:rsidR="20AD95D6" w:rsidRPr="003B11BD">
        <w:rPr>
          <w:noProof/>
          <w:lang w:val="en-IE"/>
        </w:rPr>
        <w:t>:</w:t>
      </w:r>
    </w:p>
    <w:p w14:paraId="6176F80F" w14:textId="0FD03586" w:rsidR="00011AD3" w:rsidRPr="003B11BD" w:rsidRDefault="00011AD3" w:rsidP="00011AD3">
      <w:pPr>
        <w:rPr>
          <w:noProof/>
          <w:lang w:val="en-IE"/>
        </w:rPr>
      </w:pPr>
      <w:r w:rsidRPr="003B11BD">
        <w:rPr>
          <w:b/>
          <w:noProof/>
          <w:lang w:val="en-IE"/>
        </w:rPr>
        <w:t>Grounds for granting a compulsory licence</w:t>
      </w:r>
      <w:r w:rsidRPr="003B11BD">
        <w:rPr>
          <w:i/>
          <w:noProof/>
          <w:lang w:val="en-IE"/>
        </w:rPr>
        <w:t xml:space="preserve"> </w:t>
      </w:r>
      <w:r w:rsidRPr="003B11BD">
        <w:rPr>
          <w:noProof/>
          <w:lang w:val="en-IE"/>
        </w:rPr>
        <w:t xml:space="preserve">– Around </w:t>
      </w:r>
      <w:r w:rsidR="006F6ED9" w:rsidRPr="003B11BD">
        <w:rPr>
          <w:noProof/>
          <w:lang w:val="en-IE"/>
        </w:rPr>
        <w:t>one third</w:t>
      </w:r>
      <w:r w:rsidR="005B6BA3" w:rsidRPr="003B11BD">
        <w:rPr>
          <w:noProof/>
          <w:lang w:val="en-IE"/>
        </w:rPr>
        <w:t xml:space="preserve"> </w:t>
      </w:r>
      <w:r w:rsidRPr="003B11BD">
        <w:rPr>
          <w:noProof/>
          <w:lang w:val="en-IE"/>
        </w:rPr>
        <w:t xml:space="preserve">of </w:t>
      </w:r>
      <w:r w:rsidR="00294295" w:rsidRPr="003B11BD">
        <w:rPr>
          <w:noProof/>
          <w:lang w:val="en-IE"/>
        </w:rPr>
        <w:t xml:space="preserve">the </w:t>
      </w:r>
      <w:r w:rsidRPr="003B11BD">
        <w:rPr>
          <w:noProof/>
          <w:lang w:val="en-IE"/>
        </w:rPr>
        <w:t xml:space="preserve">respondents to the public consultation consider that the following grounds for granting a compulsory licence should be aligned: the territorial scope of crises (the possibility to declare a national, multinational or pan-European-crisis), the types of crises for granting a compulsory licence (e.g. health) as well as the definition of crises that allow a compulsory licence to be granted should be the same. Divergences exist between the different categories of stakeholders, with companies and business associations being less in favour </w:t>
      </w:r>
      <w:r w:rsidR="00952CB6" w:rsidRPr="003B11BD">
        <w:rPr>
          <w:noProof/>
          <w:lang w:val="en-IE"/>
        </w:rPr>
        <w:t xml:space="preserve">of an alignment of the grounds </w:t>
      </w:r>
      <w:r w:rsidR="00E87627" w:rsidRPr="003B11BD">
        <w:rPr>
          <w:noProof/>
          <w:lang w:val="en-IE"/>
        </w:rPr>
        <w:t xml:space="preserve">for granting a compulsory licence </w:t>
      </w:r>
      <w:r w:rsidRPr="003B11BD">
        <w:rPr>
          <w:noProof/>
          <w:lang w:val="en-IE"/>
        </w:rPr>
        <w:t xml:space="preserve">than </w:t>
      </w:r>
      <w:r w:rsidR="00143D2E" w:rsidRPr="003B11BD">
        <w:rPr>
          <w:noProof/>
          <w:lang w:val="en-IE"/>
        </w:rPr>
        <w:t>academia</w:t>
      </w:r>
      <w:r w:rsidRPr="003B11BD">
        <w:rPr>
          <w:noProof/>
          <w:lang w:val="en-IE"/>
        </w:rPr>
        <w:t>, public authorities and NGOs having replied to the public consultation.</w:t>
      </w:r>
    </w:p>
    <w:p w14:paraId="2C17484B" w14:textId="3B32D258" w:rsidR="00011AD3" w:rsidRPr="003B11BD" w:rsidRDefault="00011AD3" w:rsidP="00011AD3">
      <w:pPr>
        <w:rPr>
          <w:noProof/>
          <w:lang w:val="en-IE"/>
        </w:rPr>
      </w:pPr>
      <w:r w:rsidRPr="003B11BD">
        <w:rPr>
          <w:b/>
          <w:noProof/>
          <w:lang w:val="en-IE"/>
        </w:rPr>
        <w:t>Scope of the compulsory licence</w:t>
      </w:r>
      <w:r w:rsidRPr="003B11BD">
        <w:rPr>
          <w:i/>
          <w:noProof/>
          <w:lang w:val="en-IE"/>
        </w:rPr>
        <w:t xml:space="preserve"> – </w:t>
      </w:r>
      <w:r w:rsidRPr="003B11BD">
        <w:rPr>
          <w:noProof/>
          <w:lang w:val="en-IE"/>
        </w:rPr>
        <w:t>More than a third (</w:t>
      </w:r>
      <w:r w:rsidR="00251AA2" w:rsidRPr="003B11BD">
        <w:rPr>
          <w:noProof/>
          <w:lang w:val="en-IE"/>
        </w:rPr>
        <w:t>35</w:t>
      </w:r>
      <w:r w:rsidRPr="003B11BD">
        <w:rPr>
          <w:noProof/>
          <w:lang w:val="en-IE"/>
        </w:rPr>
        <w:t>%</w:t>
      </w:r>
      <w:r w:rsidR="002008EC" w:rsidRPr="003B11BD">
        <w:rPr>
          <w:noProof/>
          <w:lang w:val="en-IE"/>
        </w:rPr>
        <w:t>,</w:t>
      </w:r>
      <w:r w:rsidR="00251AA2" w:rsidRPr="003B11BD">
        <w:rPr>
          <w:noProof/>
          <w:lang w:val="en-IE"/>
        </w:rPr>
        <w:t xml:space="preserve"> N=26</w:t>
      </w:r>
      <w:r w:rsidRPr="003B11BD">
        <w:rPr>
          <w:noProof/>
          <w:lang w:val="en-IE"/>
        </w:rPr>
        <w:t xml:space="preserve">) of the respondents to the public consultation consider it necessary </w:t>
      </w:r>
      <w:r w:rsidR="007468CB" w:rsidRPr="003B11BD">
        <w:rPr>
          <w:noProof/>
          <w:lang w:val="en-IE"/>
        </w:rPr>
        <w:t xml:space="preserve">that the alignment of </w:t>
      </w:r>
      <w:r w:rsidRPr="003B11BD">
        <w:rPr>
          <w:noProof/>
          <w:lang w:val="en-IE"/>
        </w:rPr>
        <w:t xml:space="preserve">the scope of what a compulsory licence covers should extent to all aspects deemed necessary to allow the manufacturing of complex products. </w:t>
      </w:r>
    </w:p>
    <w:p w14:paraId="143D2DDB" w14:textId="6C0EFD9A" w:rsidR="00011AD3" w:rsidRPr="003B11BD" w:rsidRDefault="00011AD3" w:rsidP="00011AD3">
      <w:pPr>
        <w:rPr>
          <w:noProof/>
          <w:lang w:val="en-IE"/>
        </w:rPr>
      </w:pPr>
      <w:r w:rsidRPr="003B11BD">
        <w:rPr>
          <w:noProof/>
          <w:lang w:val="en-IE"/>
        </w:rPr>
        <w:t xml:space="preserve">In particular, the Public Consultation reveals that </w:t>
      </w:r>
      <w:r w:rsidR="006435BD" w:rsidRPr="003B11BD">
        <w:rPr>
          <w:noProof/>
          <w:lang w:val="en-IE"/>
        </w:rPr>
        <w:t>65</w:t>
      </w:r>
      <w:r w:rsidRPr="003B11BD">
        <w:rPr>
          <w:noProof/>
          <w:lang w:val="en-IE"/>
        </w:rPr>
        <w:t xml:space="preserve">% of the respondents </w:t>
      </w:r>
      <w:r w:rsidR="006435BD" w:rsidRPr="003B11BD">
        <w:rPr>
          <w:noProof/>
          <w:lang w:val="en-IE"/>
        </w:rPr>
        <w:t xml:space="preserve">(N=48) </w:t>
      </w:r>
      <w:r w:rsidRPr="003B11BD">
        <w:rPr>
          <w:noProof/>
          <w:lang w:val="en-IE"/>
        </w:rPr>
        <w:t xml:space="preserve">are of the opinion that compulsory licences should also apply to </w:t>
      </w:r>
      <w:r w:rsidRPr="003B11BD">
        <w:rPr>
          <w:i/>
          <w:iCs/>
          <w:noProof/>
          <w:lang w:val="en-IE"/>
        </w:rPr>
        <w:t>supplementary protection certificates</w:t>
      </w:r>
      <w:r w:rsidRPr="003B11BD">
        <w:rPr>
          <w:noProof/>
          <w:lang w:val="en-IE"/>
        </w:rPr>
        <w:t xml:space="preserve">. In this sense, responses of national experts to the questionnaire sent in the context of the Study, show that the lack of explicit reference to </w:t>
      </w:r>
      <w:r w:rsidRPr="003B11BD">
        <w:rPr>
          <w:i/>
          <w:iCs/>
          <w:noProof/>
          <w:lang w:val="en-IE"/>
        </w:rPr>
        <w:t>supplementary protection certificates</w:t>
      </w:r>
      <w:r w:rsidRPr="003B11BD">
        <w:rPr>
          <w:noProof/>
          <w:lang w:val="en-IE"/>
        </w:rPr>
        <w:t xml:space="preserve"> in national compulsory licensing provisions gives rise to legal uncertainty and different interpretation of similarly worded provisions</w:t>
      </w:r>
      <w:r w:rsidRPr="003B11BD">
        <w:rPr>
          <w:noProof/>
          <w:vertAlign w:val="superscript"/>
          <w:lang w:val="en-IE"/>
        </w:rPr>
        <w:footnoteReference w:id="147"/>
      </w:r>
      <w:r w:rsidRPr="003B11BD">
        <w:rPr>
          <w:noProof/>
          <w:lang w:val="en-IE"/>
        </w:rPr>
        <w:t xml:space="preserve">. </w:t>
      </w:r>
      <w:r w:rsidR="003F393F" w:rsidRPr="003B11BD">
        <w:rPr>
          <w:noProof/>
          <w:lang w:val="en-IE"/>
        </w:rPr>
        <w:t>H</w:t>
      </w:r>
      <w:r w:rsidRPr="003B11BD">
        <w:rPr>
          <w:noProof/>
          <w:lang w:val="en-IE"/>
        </w:rPr>
        <w:t>alf of the respondents of the Public Consultation, i.e. 5</w:t>
      </w:r>
      <w:r w:rsidR="003F393F" w:rsidRPr="003B11BD">
        <w:rPr>
          <w:noProof/>
          <w:lang w:val="en-IE"/>
        </w:rPr>
        <w:t>0</w:t>
      </w:r>
      <w:r w:rsidRPr="003B11BD">
        <w:rPr>
          <w:noProof/>
          <w:lang w:val="en-IE"/>
        </w:rPr>
        <w:t>%</w:t>
      </w:r>
      <w:r w:rsidR="003F393F" w:rsidRPr="003B11BD">
        <w:rPr>
          <w:noProof/>
          <w:lang w:val="en-IE"/>
        </w:rPr>
        <w:t xml:space="preserve"> (N=37)</w:t>
      </w:r>
      <w:r w:rsidRPr="003B11BD">
        <w:rPr>
          <w:noProof/>
          <w:lang w:val="en-IE"/>
        </w:rPr>
        <w:t xml:space="preserve">, favour compulsory licences that apply to </w:t>
      </w:r>
      <w:r w:rsidRPr="003B11BD">
        <w:rPr>
          <w:i/>
          <w:iCs/>
          <w:noProof/>
          <w:lang w:val="en-IE"/>
        </w:rPr>
        <w:t>patents as well as published patent applications</w:t>
      </w:r>
      <w:r w:rsidRPr="003B11BD">
        <w:rPr>
          <w:noProof/>
          <w:lang w:val="en-IE"/>
        </w:rPr>
        <w:t xml:space="preserve">. </w:t>
      </w:r>
    </w:p>
    <w:p w14:paraId="0A14DE6A" w14:textId="62726331" w:rsidR="00011AD3" w:rsidRPr="003B11BD" w:rsidRDefault="00011AD3" w:rsidP="00011AD3">
      <w:pPr>
        <w:rPr>
          <w:noProof/>
          <w:lang w:val="en-IE"/>
        </w:rPr>
      </w:pPr>
      <w:r w:rsidRPr="003B11BD">
        <w:rPr>
          <w:noProof/>
          <w:lang w:val="en-IE"/>
        </w:rPr>
        <w:t>3</w:t>
      </w:r>
      <w:r w:rsidR="000E6765" w:rsidRPr="003B11BD">
        <w:rPr>
          <w:noProof/>
          <w:lang w:val="en-IE"/>
        </w:rPr>
        <w:t>6</w:t>
      </w:r>
      <w:r w:rsidRPr="003B11BD">
        <w:rPr>
          <w:noProof/>
          <w:lang w:val="en-IE"/>
        </w:rPr>
        <w:t xml:space="preserve">% of respondents </w:t>
      </w:r>
      <w:r w:rsidR="000E6765" w:rsidRPr="003B11BD">
        <w:rPr>
          <w:noProof/>
          <w:lang w:val="en-IE"/>
        </w:rPr>
        <w:t xml:space="preserve">(N=27) </w:t>
      </w:r>
      <w:r w:rsidRPr="003B11BD">
        <w:rPr>
          <w:noProof/>
          <w:lang w:val="en-IE"/>
        </w:rPr>
        <w:t xml:space="preserve">welcome if compulsory licences also included the </w:t>
      </w:r>
      <w:r w:rsidRPr="003B11BD">
        <w:rPr>
          <w:i/>
          <w:noProof/>
          <w:lang w:val="en-IE"/>
        </w:rPr>
        <w:t>know-how</w:t>
      </w:r>
      <w:r w:rsidRPr="003B11BD">
        <w:rPr>
          <w:noProof/>
          <w:lang w:val="en-IE"/>
        </w:rPr>
        <w:t xml:space="preserve">. Views are extremely contrasted on this point with </w:t>
      </w:r>
      <w:r w:rsidR="00122CA5" w:rsidRPr="003B11BD">
        <w:rPr>
          <w:noProof/>
          <w:lang w:val="en-IE"/>
        </w:rPr>
        <w:t xml:space="preserve">only </w:t>
      </w:r>
      <w:r w:rsidRPr="003B11BD">
        <w:rPr>
          <w:noProof/>
          <w:lang w:val="en-IE"/>
        </w:rPr>
        <w:t>5% of companies and business associations being in favour (in contrast, consider</w:t>
      </w:r>
      <w:r w:rsidR="002E5001" w:rsidRPr="003B11BD">
        <w:rPr>
          <w:noProof/>
          <w:lang w:val="en-IE"/>
        </w:rPr>
        <w:t>ing</w:t>
      </w:r>
      <w:r w:rsidRPr="003B11BD">
        <w:rPr>
          <w:noProof/>
          <w:lang w:val="en-IE"/>
        </w:rPr>
        <w:t xml:space="preserve"> </w:t>
      </w:r>
      <w:r w:rsidR="00143D2E" w:rsidRPr="003B11BD">
        <w:rPr>
          <w:noProof/>
          <w:lang w:val="en-IE"/>
        </w:rPr>
        <w:t>academia</w:t>
      </w:r>
      <w:r w:rsidRPr="003B11BD">
        <w:rPr>
          <w:noProof/>
          <w:lang w:val="en-IE"/>
        </w:rPr>
        <w:t xml:space="preserve"> and NGOs and public authorities, all but one are in favour of including know-how in the scope of a compulsory licence). </w:t>
      </w:r>
    </w:p>
    <w:p w14:paraId="5DA5304B" w14:textId="221B0E96" w:rsidR="00011AD3" w:rsidRPr="003B11BD" w:rsidRDefault="00AC7A98" w:rsidP="00011AD3">
      <w:pPr>
        <w:rPr>
          <w:rFonts w:asciiTheme="minorHAnsi" w:hAnsiTheme="minorHAnsi" w:cstheme="minorBidi"/>
          <w:noProof/>
          <w:sz w:val="22"/>
          <w:szCs w:val="22"/>
          <w:vertAlign w:val="superscript"/>
          <w:lang w:val="en-IE"/>
        </w:rPr>
      </w:pPr>
      <w:r w:rsidRPr="003B11BD">
        <w:rPr>
          <w:noProof/>
          <w:lang w:val="en-IE"/>
        </w:rPr>
        <w:t>Moreover, s</w:t>
      </w:r>
      <w:r w:rsidR="00011AD3" w:rsidRPr="003B11BD">
        <w:rPr>
          <w:noProof/>
          <w:lang w:val="en-IE"/>
        </w:rPr>
        <w:t xml:space="preserve">takeholders having participated in the context of the study generally agree that </w:t>
      </w:r>
      <w:r w:rsidR="00011AD3" w:rsidRPr="003B11BD">
        <w:rPr>
          <w:i/>
          <w:iCs/>
          <w:noProof/>
          <w:lang w:val="en-IE"/>
        </w:rPr>
        <w:t>regulatory data protections</w:t>
      </w:r>
      <w:r w:rsidR="00011AD3" w:rsidRPr="003B11BD">
        <w:rPr>
          <w:noProof/>
          <w:lang w:val="en-IE"/>
        </w:rPr>
        <w:t xml:space="preserve"> for medicinal products should not be an obstacle to the effective implementation of a compulsory licence.</w:t>
      </w:r>
      <w:r w:rsidR="00011AD3" w:rsidRPr="003B11BD">
        <w:rPr>
          <w:noProof/>
          <w:vertAlign w:val="superscript"/>
          <w:lang w:val="en-IE"/>
        </w:rPr>
        <w:footnoteReference w:id="148"/>
      </w:r>
      <w:r w:rsidR="00011AD3" w:rsidRPr="003B11BD">
        <w:rPr>
          <w:noProof/>
          <w:lang w:val="en-IE"/>
        </w:rPr>
        <w:t xml:space="preserve"> In contrast, only </w:t>
      </w:r>
      <w:r w:rsidR="17841DA4" w:rsidRPr="003B11BD">
        <w:rPr>
          <w:noProof/>
          <w:lang w:val="en-IE"/>
        </w:rPr>
        <w:t>35</w:t>
      </w:r>
      <w:r w:rsidR="00011AD3" w:rsidRPr="003B11BD">
        <w:rPr>
          <w:noProof/>
          <w:lang w:val="en-IE"/>
        </w:rPr>
        <w:t xml:space="preserve">% </w:t>
      </w:r>
      <w:r w:rsidR="002019A9" w:rsidRPr="003B11BD">
        <w:rPr>
          <w:noProof/>
          <w:lang w:val="en-IE"/>
        </w:rPr>
        <w:t>of respondents</w:t>
      </w:r>
      <w:r w:rsidR="00011AD3" w:rsidRPr="003B11BD">
        <w:rPr>
          <w:noProof/>
          <w:lang w:val="en-IE"/>
        </w:rPr>
        <w:t xml:space="preserve"> </w:t>
      </w:r>
      <w:r w:rsidR="007F2A3E" w:rsidRPr="003B11BD">
        <w:rPr>
          <w:noProof/>
          <w:lang w:val="en-IE"/>
        </w:rPr>
        <w:t xml:space="preserve">(N=27) </w:t>
      </w:r>
      <w:r w:rsidR="00011AD3" w:rsidRPr="003B11BD">
        <w:rPr>
          <w:noProof/>
          <w:lang w:val="en-IE"/>
        </w:rPr>
        <w:t xml:space="preserve">(and only 12% of the companies and business associations) consider it useful when compulsory licences also apply to regulatory data protections for medicinal products. Finally, a third of </w:t>
      </w:r>
      <w:r w:rsidR="00253FFA" w:rsidRPr="003B11BD">
        <w:rPr>
          <w:noProof/>
          <w:lang w:val="en-IE"/>
        </w:rPr>
        <w:t xml:space="preserve">the </w:t>
      </w:r>
      <w:r w:rsidR="00011AD3" w:rsidRPr="003B11BD">
        <w:rPr>
          <w:noProof/>
          <w:lang w:val="en-IE"/>
        </w:rPr>
        <w:t xml:space="preserve">respondents are of the opinion that a compulsory licence should also apply to </w:t>
      </w:r>
      <w:r w:rsidR="00011AD3" w:rsidRPr="003B11BD">
        <w:rPr>
          <w:i/>
          <w:iCs/>
          <w:noProof/>
          <w:lang w:val="en-IE"/>
        </w:rPr>
        <w:t>other IP rights</w:t>
      </w:r>
      <w:r w:rsidR="00011AD3" w:rsidRPr="003B11BD">
        <w:rPr>
          <w:noProof/>
          <w:lang w:val="en-IE"/>
        </w:rPr>
        <w:t xml:space="preserve"> but did not elaborate much further on the types of other IP rights.</w:t>
      </w:r>
    </w:p>
    <w:p w14:paraId="253A9865" w14:textId="62FE3CD2" w:rsidR="00011AD3" w:rsidRPr="003B11BD" w:rsidRDefault="00011AD3" w:rsidP="00011AD3">
      <w:pPr>
        <w:rPr>
          <w:noProof/>
          <w:lang w:val="en-IE"/>
        </w:rPr>
      </w:pPr>
      <w:r w:rsidRPr="003B11BD">
        <w:rPr>
          <w:b/>
          <w:bCs/>
          <w:noProof/>
          <w:lang w:val="en-IE"/>
        </w:rPr>
        <w:t xml:space="preserve">Conditions for granting a compulsory licence </w:t>
      </w:r>
      <w:r w:rsidRPr="003B11BD">
        <w:rPr>
          <w:i/>
          <w:iCs/>
          <w:noProof/>
          <w:lang w:val="en-IE"/>
        </w:rPr>
        <w:t xml:space="preserve">– </w:t>
      </w:r>
      <w:r w:rsidRPr="003B11BD">
        <w:rPr>
          <w:noProof/>
          <w:lang w:val="en-IE"/>
        </w:rPr>
        <w:t>Consultation activities have identified that alignment of the conditions for granting a compulsory licence should encompass the duration of the licence</w:t>
      </w:r>
      <w:r w:rsidR="00E9432E" w:rsidRPr="003B11BD">
        <w:rPr>
          <w:noProof/>
          <w:lang w:val="en-IE"/>
        </w:rPr>
        <w:t xml:space="preserve"> (38%</w:t>
      </w:r>
      <w:r w:rsidR="00AE2F28" w:rsidRPr="003B11BD">
        <w:rPr>
          <w:noProof/>
          <w:lang w:val="en-IE"/>
        </w:rPr>
        <w:t>,</w:t>
      </w:r>
      <w:r w:rsidR="00434A1B" w:rsidRPr="003B11BD">
        <w:rPr>
          <w:noProof/>
          <w:lang w:val="en-IE"/>
        </w:rPr>
        <w:t xml:space="preserve"> N=28</w:t>
      </w:r>
      <w:r w:rsidR="00E9432E" w:rsidRPr="003B11BD">
        <w:rPr>
          <w:noProof/>
          <w:lang w:val="en-IE"/>
        </w:rPr>
        <w:t>)</w:t>
      </w:r>
      <w:r w:rsidRPr="003B11BD">
        <w:rPr>
          <w:noProof/>
          <w:lang w:val="en-IE"/>
        </w:rPr>
        <w:t>, the content of an application for a compulsory licence</w:t>
      </w:r>
      <w:r w:rsidR="009147FD" w:rsidRPr="003B11BD">
        <w:rPr>
          <w:noProof/>
          <w:lang w:val="en-IE"/>
        </w:rPr>
        <w:t xml:space="preserve"> </w:t>
      </w:r>
      <w:r w:rsidR="00CD7E6A" w:rsidRPr="003B11BD">
        <w:rPr>
          <w:noProof/>
          <w:lang w:val="en-IE"/>
        </w:rPr>
        <w:t>(e.g. indicat</w:t>
      </w:r>
      <w:r w:rsidR="00FF608B" w:rsidRPr="003B11BD">
        <w:rPr>
          <w:noProof/>
          <w:lang w:val="en-IE"/>
        </w:rPr>
        <w:t>e the patent, the owner of the patent, the concerned products, etc.) (35%</w:t>
      </w:r>
      <w:r w:rsidR="00AE2F28" w:rsidRPr="003B11BD">
        <w:rPr>
          <w:noProof/>
          <w:lang w:val="en-IE"/>
        </w:rPr>
        <w:t>,</w:t>
      </w:r>
      <w:r w:rsidR="0084717B" w:rsidRPr="003B11BD">
        <w:rPr>
          <w:noProof/>
          <w:lang w:val="en-IE"/>
        </w:rPr>
        <w:t xml:space="preserve"> N=26</w:t>
      </w:r>
      <w:r w:rsidR="00FF608B" w:rsidRPr="003B11BD">
        <w:rPr>
          <w:noProof/>
          <w:lang w:val="en-IE"/>
        </w:rPr>
        <w:t>)</w:t>
      </w:r>
      <w:r w:rsidRPr="003B11BD">
        <w:rPr>
          <w:noProof/>
          <w:lang w:val="en-IE"/>
        </w:rPr>
        <w:t xml:space="preserve">, remuneration </w:t>
      </w:r>
      <w:r w:rsidR="00FF608B" w:rsidRPr="003B11BD">
        <w:rPr>
          <w:noProof/>
          <w:lang w:val="en-IE"/>
        </w:rPr>
        <w:t>(34%</w:t>
      </w:r>
      <w:r w:rsidR="00AE2F28" w:rsidRPr="003B11BD">
        <w:rPr>
          <w:noProof/>
          <w:lang w:val="en-IE"/>
        </w:rPr>
        <w:t>,</w:t>
      </w:r>
      <w:r w:rsidR="0084717B" w:rsidRPr="003B11BD">
        <w:rPr>
          <w:noProof/>
          <w:lang w:val="en-IE"/>
        </w:rPr>
        <w:t xml:space="preserve"> N=25</w:t>
      </w:r>
      <w:r w:rsidR="00FF608B" w:rsidRPr="003B11BD">
        <w:rPr>
          <w:noProof/>
          <w:lang w:val="en-IE"/>
        </w:rPr>
        <w:t xml:space="preserve">) </w:t>
      </w:r>
      <w:r w:rsidRPr="003B11BD">
        <w:rPr>
          <w:noProof/>
          <w:lang w:val="en-IE"/>
        </w:rPr>
        <w:t>and the framework and duration of the negotiations</w:t>
      </w:r>
      <w:r w:rsidR="00FF608B" w:rsidRPr="003B11BD">
        <w:rPr>
          <w:noProof/>
          <w:lang w:val="en-IE"/>
        </w:rPr>
        <w:t xml:space="preserve"> (31%</w:t>
      </w:r>
      <w:r w:rsidR="00F468D2" w:rsidRPr="003B11BD">
        <w:rPr>
          <w:noProof/>
          <w:lang w:val="en-IE"/>
        </w:rPr>
        <w:t>,</w:t>
      </w:r>
      <w:r w:rsidR="0084717B" w:rsidRPr="003B11BD">
        <w:rPr>
          <w:noProof/>
          <w:lang w:val="en-IE"/>
        </w:rPr>
        <w:t xml:space="preserve"> N=23</w:t>
      </w:r>
      <w:r w:rsidR="00FF608B" w:rsidRPr="003B11BD">
        <w:rPr>
          <w:noProof/>
          <w:lang w:val="en-IE"/>
        </w:rPr>
        <w:t>)</w:t>
      </w:r>
      <w:r w:rsidRPr="003B11BD">
        <w:rPr>
          <w:noProof/>
          <w:lang w:val="en-IE"/>
        </w:rPr>
        <w:t>. During the consultation activities, stakeholders explained that patent holders which are subjected to a compulsory licence run risks that may not adequately be dealt with by the enforcement of patent and compulsory licence-relevant laws</w:t>
      </w:r>
      <w:r w:rsidRPr="003B11BD" w:rsidDel="00E1055F">
        <w:rPr>
          <w:noProof/>
          <w:lang w:val="en-IE"/>
        </w:rPr>
        <w:t xml:space="preserve"> </w:t>
      </w:r>
      <w:r w:rsidRPr="003B11BD">
        <w:rPr>
          <w:noProof/>
          <w:lang w:val="en-IE"/>
        </w:rPr>
        <w:t>alone.</w:t>
      </w:r>
      <w:r w:rsidRPr="003B11BD">
        <w:rPr>
          <w:noProof/>
          <w:vertAlign w:val="superscript"/>
          <w:lang w:val="en-IE"/>
        </w:rPr>
        <w:footnoteReference w:id="149"/>
      </w:r>
      <w:r w:rsidRPr="003B11BD">
        <w:rPr>
          <w:noProof/>
          <w:lang w:val="en-IE"/>
        </w:rPr>
        <w:t xml:space="preserve"> Insofar safeguards are needed in the form of complementary contractual control mechanisms which can help to reduce the negative consequences of the compulsory licence. In this sense, protection for rights holders, such as a reasonable period of time to allow negotiations between the licence seeker and the rights holder, a clear limitation of the duration of the compulsory licence and an adequate remuneration for rights holders is considered of high priority by the majority of respondents of the Public Consultation (69%).</w:t>
      </w:r>
    </w:p>
    <w:p w14:paraId="6F7D7222" w14:textId="2B61A6F3" w:rsidR="00011AD3" w:rsidRPr="003B11BD" w:rsidRDefault="00011AD3" w:rsidP="00011AD3">
      <w:pPr>
        <w:rPr>
          <w:noProof/>
          <w:lang w:val="en-IE"/>
        </w:rPr>
      </w:pPr>
      <w:r w:rsidRPr="003B11BD">
        <w:rPr>
          <w:b/>
          <w:noProof/>
          <w:lang w:val="en-IE"/>
        </w:rPr>
        <w:t>Procedure for granting a compulsory licence</w:t>
      </w:r>
      <w:r w:rsidRPr="003B11BD">
        <w:rPr>
          <w:i/>
          <w:noProof/>
          <w:lang w:val="en-IE"/>
        </w:rPr>
        <w:t xml:space="preserve"> – </w:t>
      </w:r>
      <w:r w:rsidRPr="003B11BD">
        <w:rPr>
          <w:noProof/>
          <w:lang w:val="en-IE"/>
        </w:rPr>
        <w:t xml:space="preserve">As regards the procedure for granting a compulsory licence, 43% of the respondents to the public consultation </w:t>
      </w:r>
      <w:r w:rsidR="0011799B" w:rsidRPr="003B11BD">
        <w:rPr>
          <w:noProof/>
          <w:lang w:val="en-IE"/>
        </w:rPr>
        <w:t xml:space="preserve">(N=32) </w:t>
      </w:r>
      <w:r w:rsidRPr="003B11BD">
        <w:rPr>
          <w:noProof/>
          <w:lang w:val="en-IE"/>
        </w:rPr>
        <w:t xml:space="preserve">would welcome an alignment of the type of procedure (administrative or judicial procedure). When it comes to NGOs and </w:t>
      </w:r>
      <w:r w:rsidR="00143D2E" w:rsidRPr="003B11BD">
        <w:rPr>
          <w:noProof/>
          <w:lang w:val="en-IE"/>
        </w:rPr>
        <w:t>academia</w:t>
      </w:r>
      <w:r w:rsidRPr="003B11BD">
        <w:rPr>
          <w:noProof/>
          <w:lang w:val="en-IE"/>
        </w:rPr>
        <w:t xml:space="preserve">, 8 out of the 11 respondents are in favour of such alignment. Only 27% of the respondents to the public consultation </w:t>
      </w:r>
      <w:r w:rsidR="00C672AF" w:rsidRPr="003B11BD">
        <w:rPr>
          <w:noProof/>
          <w:lang w:val="en-IE"/>
        </w:rPr>
        <w:t xml:space="preserve">(N=20) </w:t>
      </w:r>
      <w:r w:rsidRPr="003B11BD">
        <w:rPr>
          <w:noProof/>
          <w:lang w:val="en-IE"/>
        </w:rPr>
        <w:t>would like to see an alignment on whether or not the manufacturing should be subject to a final decision on all aspects of the compulsory licence.</w:t>
      </w:r>
    </w:p>
    <w:p w14:paraId="22D96DDF" w14:textId="537DE28D" w:rsidR="00011AD3" w:rsidRPr="003B11BD" w:rsidRDefault="00011AD3" w:rsidP="00011AD3">
      <w:pPr>
        <w:rPr>
          <w:noProof/>
          <w:lang w:val="en-IE"/>
        </w:rPr>
      </w:pPr>
      <w:r w:rsidRPr="003B11BD">
        <w:rPr>
          <w:noProof/>
          <w:lang w:val="en-IE"/>
        </w:rPr>
        <w:t>Procedures on compulsory licences for crisis management should, according to stakeholders, rather be initiated by a competent authority (28%</w:t>
      </w:r>
      <w:r w:rsidR="00AE2F28" w:rsidRPr="003B11BD">
        <w:rPr>
          <w:noProof/>
          <w:lang w:val="en-IE"/>
        </w:rPr>
        <w:t xml:space="preserve">, </w:t>
      </w:r>
      <w:r w:rsidR="002D7748" w:rsidRPr="003B11BD">
        <w:rPr>
          <w:noProof/>
          <w:lang w:val="en-IE"/>
        </w:rPr>
        <w:t>N=</w:t>
      </w:r>
      <w:r w:rsidRPr="003B11BD">
        <w:rPr>
          <w:noProof/>
          <w:lang w:val="en-IE"/>
        </w:rPr>
        <w:t>21) than on req</w:t>
      </w:r>
      <w:r w:rsidR="00AE2F28" w:rsidRPr="003B11BD">
        <w:rPr>
          <w:noProof/>
          <w:lang w:val="en-IE"/>
        </w:rPr>
        <w:t>uest of the licence seeker (4%,</w:t>
      </w:r>
      <w:r w:rsidRPr="003B11BD">
        <w:rPr>
          <w:noProof/>
          <w:lang w:val="en-IE"/>
        </w:rPr>
        <w:t xml:space="preserve"> </w:t>
      </w:r>
      <w:r w:rsidR="002D7748" w:rsidRPr="003B11BD">
        <w:rPr>
          <w:noProof/>
          <w:lang w:val="en-IE"/>
        </w:rPr>
        <w:t>N=</w:t>
      </w:r>
      <w:r w:rsidRPr="003B11BD">
        <w:rPr>
          <w:noProof/>
          <w:lang w:val="en-IE"/>
        </w:rPr>
        <w:t>3), or alternatively, providing both possibilities (23%</w:t>
      </w:r>
      <w:r w:rsidR="00AE2F28" w:rsidRPr="003B11BD">
        <w:rPr>
          <w:noProof/>
          <w:lang w:val="en-IE"/>
        </w:rPr>
        <w:t>,</w:t>
      </w:r>
      <w:r w:rsidR="002D7748" w:rsidRPr="003B11BD">
        <w:rPr>
          <w:noProof/>
          <w:lang w:val="en-IE"/>
        </w:rPr>
        <w:t xml:space="preserve"> N=</w:t>
      </w:r>
      <w:r w:rsidRPr="003B11BD">
        <w:rPr>
          <w:noProof/>
          <w:lang w:val="en-IE"/>
        </w:rPr>
        <w:t>17).</w:t>
      </w:r>
    </w:p>
    <w:p w14:paraId="0A58C7FA" w14:textId="58F1AB2B" w:rsidR="00011AD3" w:rsidRPr="003B11BD" w:rsidRDefault="00011AD3" w:rsidP="00011AD3">
      <w:pPr>
        <w:rPr>
          <w:noProof/>
          <w:lang w:val="en-IE"/>
        </w:rPr>
      </w:pPr>
      <w:r w:rsidRPr="003B11BD">
        <w:rPr>
          <w:noProof/>
          <w:lang w:val="en-IE"/>
        </w:rPr>
        <w:t>As regards an alignment of the recourse procedure for granting a compulsory licence, a majority of respondents to the public consultation would agree with an alignment of the time limit within which the application of an appeal is admissible (</w:t>
      </w:r>
      <w:r w:rsidR="002A381E" w:rsidRPr="003B11BD">
        <w:rPr>
          <w:noProof/>
          <w:lang w:val="en-IE"/>
        </w:rPr>
        <w:t>42</w:t>
      </w:r>
      <w:r w:rsidRPr="003B11BD">
        <w:rPr>
          <w:noProof/>
          <w:lang w:val="en-IE"/>
        </w:rPr>
        <w:t>%</w:t>
      </w:r>
      <w:r w:rsidR="00AE2F28" w:rsidRPr="003B11BD">
        <w:rPr>
          <w:noProof/>
          <w:lang w:val="en-IE"/>
        </w:rPr>
        <w:t>,</w:t>
      </w:r>
      <w:r w:rsidR="002A381E" w:rsidRPr="003B11BD">
        <w:rPr>
          <w:noProof/>
          <w:lang w:val="en-IE"/>
        </w:rPr>
        <w:t xml:space="preserve"> N=31</w:t>
      </w:r>
      <w:r w:rsidRPr="003B11BD">
        <w:rPr>
          <w:noProof/>
          <w:lang w:val="en-IE"/>
        </w:rPr>
        <w:t>) and an accelerated appeal procedure (</w:t>
      </w:r>
      <w:r w:rsidR="002A381E" w:rsidRPr="003B11BD">
        <w:rPr>
          <w:noProof/>
          <w:lang w:val="en-IE"/>
        </w:rPr>
        <w:t>3</w:t>
      </w:r>
      <w:r w:rsidR="00614EBB" w:rsidRPr="003B11BD">
        <w:rPr>
          <w:noProof/>
          <w:lang w:val="en-IE"/>
        </w:rPr>
        <w:t>8</w:t>
      </w:r>
      <w:r w:rsidRPr="003B11BD">
        <w:rPr>
          <w:noProof/>
          <w:lang w:val="en-IE"/>
        </w:rPr>
        <w:t>%</w:t>
      </w:r>
      <w:r w:rsidR="00AE2F28" w:rsidRPr="003B11BD">
        <w:rPr>
          <w:noProof/>
          <w:lang w:val="en-IE"/>
        </w:rPr>
        <w:t>,</w:t>
      </w:r>
      <w:r w:rsidR="002A381E" w:rsidRPr="003B11BD">
        <w:rPr>
          <w:noProof/>
          <w:lang w:val="en-IE"/>
        </w:rPr>
        <w:t xml:space="preserve"> N=28</w:t>
      </w:r>
      <w:r w:rsidRPr="003B11BD">
        <w:rPr>
          <w:noProof/>
          <w:lang w:val="en-IE"/>
        </w:rPr>
        <w:t xml:space="preserve">). </w:t>
      </w:r>
      <w:r w:rsidR="00B16116" w:rsidRPr="003B11BD">
        <w:rPr>
          <w:noProof/>
          <w:lang w:val="en-IE"/>
        </w:rPr>
        <w:t>35%</w:t>
      </w:r>
      <w:r w:rsidR="009C69AC" w:rsidRPr="003B11BD">
        <w:rPr>
          <w:noProof/>
          <w:lang w:val="en-IE"/>
        </w:rPr>
        <w:t xml:space="preserve"> </w:t>
      </w:r>
      <w:r w:rsidRPr="003B11BD">
        <w:rPr>
          <w:noProof/>
          <w:lang w:val="en-IE"/>
        </w:rPr>
        <w:t>of the respondents (</w:t>
      </w:r>
      <w:r w:rsidR="009C69AC" w:rsidRPr="003B11BD">
        <w:rPr>
          <w:noProof/>
          <w:lang w:val="en-IE"/>
        </w:rPr>
        <w:t>N=</w:t>
      </w:r>
      <w:r w:rsidR="00CC7C27" w:rsidRPr="003B11BD">
        <w:rPr>
          <w:noProof/>
          <w:lang w:val="en-IE"/>
        </w:rPr>
        <w:t>26</w:t>
      </w:r>
      <w:r w:rsidRPr="003B11BD">
        <w:rPr>
          <w:noProof/>
          <w:lang w:val="en-IE"/>
        </w:rPr>
        <w:t xml:space="preserve">) are in favour of the suspensive effect of an appeal. </w:t>
      </w:r>
    </w:p>
    <w:p w14:paraId="0AFC6BA2" w14:textId="460DDFB4" w:rsidR="00011AD3" w:rsidRPr="003B11BD" w:rsidRDefault="00011AD3" w:rsidP="00011AD3">
      <w:pPr>
        <w:rPr>
          <w:noProof/>
          <w:lang w:val="en-IE"/>
        </w:rPr>
      </w:pPr>
      <w:r w:rsidRPr="003B11BD">
        <w:rPr>
          <w:b/>
          <w:bCs/>
          <w:noProof/>
          <w:lang w:val="en-IE"/>
        </w:rPr>
        <w:t>Competence to administer compulsory licences</w:t>
      </w:r>
      <w:r w:rsidRPr="003B11BD">
        <w:rPr>
          <w:i/>
          <w:iCs/>
          <w:noProof/>
          <w:lang w:val="en-IE"/>
        </w:rPr>
        <w:t xml:space="preserve"> – </w:t>
      </w:r>
      <w:r w:rsidRPr="003B11BD">
        <w:rPr>
          <w:noProof/>
          <w:lang w:val="en-IE"/>
        </w:rPr>
        <w:t>Even though at national level, as demonstrated in the questionnaires sent to national experts and as confirmed by stakeholders across all categories, various types of authorities are empowered to issue a compulsory licence for different purposes</w:t>
      </w:r>
      <w:r w:rsidRPr="003B11BD">
        <w:rPr>
          <w:noProof/>
          <w:vertAlign w:val="superscript"/>
          <w:lang w:val="en-IE"/>
        </w:rPr>
        <w:footnoteReference w:id="150"/>
      </w:r>
      <w:r w:rsidRPr="003B11BD">
        <w:rPr>
          <w:noProof/>
          <w:lang w:val="en-IE"/>
        </w:rPr>
        <w:t>, a strong preference was expressed by stakeholders during interviews and workshops for allocating responsibilities for administering compulsory licences to ‘specialised’</w:t>
      </w:r>
      <w:r w:rsidRPr="003B11BD">
        <w:rPr>
          <w:noProof/>
          <w:u w:val="single"/>
          <w:lang w:val="en-IE"/>
        </w:rPr>
        <w:t xml:space="preserve"> </w:t>
      </w:r>
      <w:r w:rsidRPr="003B11BD">
        <w:rPr>
          <w:noProof/>
          <w:lang w:val="en-IE"/>
        </w:rPr>
        <w:t>or expert authorities: authorities which hold the requisite knowledge of a product and relevant expertise in order to properly evaluate applications for compulsory licences and make key assessments regarding the necessary scope of a compulsory licence.</w:t>
      </w:r>
      <w:r w:rsidRPr="003B11BD">
        <w:rPr>
          <w:noProof/>
          <w:vertAlign w:val="superscript"/>
          <w:lang w:val="en-IE"/>
        </w:rPr>
        <w:footnoteReference w:id="151"/>
      </w:r>
      <w:r w:rsidRPr="003B11BD">
        <w:rPr>
          <w:noProof/>
          <w:lang w:val="en-IE"/>
        </w:rPr>
        <w:t xml:space="preserve"> </w:t>
      </w:r>
    </w:p>
    <w:p w14:paraId="10B9E6F8" w14:textId="50F250F7" w:rsidR="00011AD3" w:rsidRPr="003B11BD" w:rsidRDefault="00011AD3" w:rsidP="00011AD3">
      <w:pPr>
        <w:rPr>
          <w:noProof/>
          <w:lang w:val="en-IE"/>
        </w:rPr>
      </w:pPr>
      <w:r w:rsidRPr="003B11BD">
        <w:rPr>
          <w:noProof/>
          <w:lang w:val="en-IE"/>
        </w:rPr>
        <w:t>As to the role of the European institutions, the Public Consultation revealed that a slight majority of respondents favour a consultative role on the request of EU countries, public authorities, rights holders, licence seekers, etc., asking for advice (</w:t>
      </w:r>
      <w:r w:rsidR="00A12EBB" w:rsidRPr="003B11BD">
        <w:rPr>
          <w:noProof/>
          <w:lang w:val="en-IE"/>
        </w:rPr>
        <w:t>39</w:t>
      </w:r>
      <w:r w:rsidRPr="003B11BD">
        <w:rPr>
          <w:noProof/>
          <w:lang w:val="en-IE"/>
        </w:rPr>
        <w:t>%</w:t>
      </w:r>
      <w:r w:rsidR="009001B0" w:rsidRPr="003B11BD">
        <w:rPr>
          <w:noProof/>
          <w:lang w:val="en-IE"/>
        </w:rPr>
        <w:t>,</w:t>
      </w:r>
      <w:r w:rsidR="00A12EBB" w:rsidRPr="003B11BD">
        <w:rPr>
          <w:noProof/>
          <w:lang w:val="en-IE"/>
        </w:rPr>
        <w:t xml:space="preserve"> N=29</w:t>
      </w:r>
      <w:r w:rsidRPr="003B11BD">
        <w:rPr>
          <w:noProof/>
          <w:lang w:val="en-IE"/>
        </w:rPr>
        <w:t>) or a coordinating role (e.g. by setting up channels/forums and methods for information sharing among EU countries and steering mutual assistance between EU countries) (</w:t>
      </w:r>
      <w:r w:rsidR="002B23E6" w:rsidRPr="003B11BD">
        <w:rPr>
          <w:noProof/>
          <w:lang w:val="en-IE"/>
        </w:rPr>
        <w:t>36</w:t>
      </w:r>
      <w:r w:rsidRPr="003B11BD">
        <w:rPr>
          <w:noProof/>
          <w:lang w:val="en-IE"/>
        </w:rPr>
        <w:t>%</w:t>
      </w:r>
      <w:r w:rsidR="009001B0" w:rsidRPr="003B11BD">
        <w:rPr>
          <w:noProof/>
          <w:lang w:val="en-IE"/>
        </w:rPr>
        <w:t>,</w:t>
      </w:r>
      <w:r w:rsidR="002B23E6" w:rsidRPr="003B11BD">
        <w:rPr>
          <w:noProof/>
          <w:lang w:val="en-IE"/>
        </w:rPr>
        <w:t xml:space="preserve"> N=27</w:t>
      </w:r>
      <w:r w:rsidRPr="003B11BD">
        <w:rPr>
          <w:noProof/>
          <w:lang w:val="en-IE"/>
        </w:rPr>
        <w:t>) over a decision-making role of European institutions (e.g. by declaring a crisis, possibly triggering the granting of a compulsory licence (</w:t>
      </w:r>
      <w:r w:rsidR="005C7B06" w:rsidRPr="003B11BD">
        <w:rPr>
          <w:noProof/>
          <w:lang w:val="en-IE"/>
        </w:rPr>
        <w:t>28</w:t>
      </w:r>
      <w:r w:rsidRPr="003B11BD">
        <w:rPr>
          <w:noProof/>
          <w:lang w:val="en-IE"/>
        </w:rPr>
        <w:t>%</w:t>
      </w:r>
      <w:r w:rsidR="009001B0" w:rsidRPr="003B11BD">
        <w:rPr>
          <w:noProof/>
          <w:lang w:val="en-IE"/>
        </w:rPr>
        <w:t>,</w:t>
      </w:r>
      <w:r w:rsidR="005C7B06" w:rsidRPr="003B11BD">
        <w:rPr>
          <w:noProof/>
          <w:lang w:val="en-IE"/>
        </w:rPr>
        <w:t xml:space="preserve"> N=21</w:t>
      </w:r>
      <w:r w:rsidRPr="003B11BD">
        <w:rPr>
          <w:noProof/>
          <w:lang w:val="en-IE"/>
        </w:rPr>
        <w:t>).</w:t>
      </w:r>
    </w:p>
    <w:p w14:paraId="46DE65A6" w14:textId="77777777" w:rsidR="00011AD3" w:rsidRPr="003B11BD" w:rsidRDefault="00011AD3" w:rsidP="00C905A4">
      <w:pPr>
        <w:pStyle w:val="Stakeholders"/>
        <w:rPr>
          <w:noProof/>
        </w:rPr>
      </w:pPr>
      <w:r w:rsidRPr="003B11BD">
        <w:rPr>
          <w:noProof/>
        </w:rPr>
        <w:t xml:space="preserve">Compulsory licensing for exports </w:t>
      </w:r>
    </w:p>
    <w:p w14:paraId="5CEE7BED" w14:textId="1D54354C" w:rsidR="00011AD3" w:rsidRPr="003B11BD" w:rsidRDefault="000C155F" w:rsidP="00011AD3">
      <w:pPr>
        <w:rPr>
          <w:noProof/>
          <w:lang w:val="en-IE"/>
        </w:rPr>
      </w:pPr>
      <w:r w:rsidRPr="003B11BD">
        <w:rPr>
          <w:noProof/>
          <w:lang w:val="en-IE"/>
        </w:rPr>
        <w:t>Regulation (EC) No 816/2006</w:t>
      </w:r>
      <w:r w:rsidR="00011AD3" w:rsidRPr="003B11BD">
        <w:rPr>
          <w:noProof/>
          <w:lang w:val="en-IE"/>
        </w:rPr>
        <w:t xml:space="preserve"> regulating compulsory licensing </w:t>
      </w:r>
      <w:r w:rsidR="0068311D" w:rsidRPr="003B11BD">
        <w:rPr>
          <w:noProof/>
          <w:lang w:val="en-IE"/>
        </w:rPr>
        <w:t xml:space="preserve">of patents for pharmaceutical products </w:t>
      </w:r>
      <w:r w:rsidR="00011AD3" w:rsidRPr="003B11BD">
        <w:rPr>
          <w:noProof/>
          <w:lang w:val="en-IE"/>
        </w:rPr>
        <w:t>for export purposes had never been used. It was therefore important to collect views from stakeholders on how they consider this regulation, and in particular the fact that it was never used.</w:t>
      </w:r>
    </w:p>
    <w:p w14:paraId="44151F25" w14:textId="30F371D6" w:rsidR="00011AD3" w:rsidRPr="003B11BD" w:rsidRDefault="00EF09CB" w:rsidP="00011AD3">
      <w:pPr>
        <w:rPr>
          <w:noProof/>
          <w:lang w:val="en-IE"/>
        </w:rPr>
      </w:pPr>
      <w:r w:rsidRPr="003B11BD">
        <w:rPr>
          <w:noProof/>
          <w:lang w:val="en-IE"/>
        </w:rPr>
        <w:t>41%</w:t>
      </w:r>
      <w:r w:rsidR="00011AD3" w:rsidRPr="003B11BD">
        <w:rPr>
          <w:noProof/>
          <w:lang w:val="en-IE"/>
        </w:rPr>
        <w:t xml:space="preserve"> of the respondents to the public consultation </w:t>
      </w:r>
      <w:r w:rsidR="00840A46" w:rsidRPr="003B11BD">
        <w:rPr>
          <w:noProof/>
          <w:lang w:val="en-IE"/>
        </w:rPr>
        <w:t>(N=</w:t>
      </w:r>
      <w:r w:rsidR="000E17C1" w:rsidRPr="003B11BD">
        <w:rPr>
          <w:noProof/>
          <w:lang w:val="en-IE"/>
        </w:rPr>
        <w:t xml:space="preserve">30) </w:t>
      </w:r>
      <w:r w:rsidR="00011AD3" w:rsidRPr="003B11BD">
        <w:rPr>
          <w:noProof/>
          <w:lang w:val="en-IE"/>
        </w:rPr>
        <w:t xml:space="preserve">considered that </w:t>
      </w:r>
      <w:r w:rsidR="000C155F" w:rsidRPr="003B11BD">
        <w:rPr>
          <w:noProof/>
          <w:lang w:val="en-IE"/>
        </w:rPr>
        <w:t>Regulation (EC) No 816/2006</w:t>
      </w:r>
      <w:r w:rsidR="00011AD3" w:rsidRPr="003B11BD">
        <w:rPr>
          <w:noProof/>
          <w:lang w:val="en-IE"/>
        </w:rPr>
        <w:t xml:space="preserve"> allows for speedy and efficient procedures for granting compulsory licences to export pharmaceutical products to non-EU countries.</w:t>
      </w:r>
    </w:p>
    <w:p w14:paraId="7958A56E" w14:textId="759E3552" w:rsidR="00011AD3" w:rsidRPr="003B11BD" w:rsidRDefault="00011AD3" w:rsidP="00011AD3">
      <w:pPr>
        <w:rPr>
          <w:noProof/>
          <w:lang w:val="en-IE"/>
        </w:rPr>
      </w:pPr>
      <w:r w:rsidRPr="003B11BD">
        <w:rPr>
          <w:noProof/>
          <w:lang w:eastAsia="en-GB"/>
        </w:rPr>
        <w:drawing>
          <wp:inline distT="0" distB="0" distL="0" distR="0" wp14:anchorId="669BBBC9" wp14:editId="7B4DC4C0">
            <wp:extent cx="5506579" cy="222039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8884" t="23996" r="8115" b="30842"/>
                    <a:stretch/>
                  </pic:blipFill>
                  <pic:spPr bwMode="auto">
                    <a:xfrm>
                      <a:off x="0" y="0"/>
                      <a:ext cx="5544468" cy="2235675"/>
                    </a:xfrm>
                    <a:prstGeom prst="rect">
                      <a:avLst/>
                    </a:prstGeom>
                    <a:ln>
                      <a:noFill/>
                    </a:ln>
                    <a:extLst>
                      <a:ext uri="{53640926-AAD7-44D8-BBD7-CCE9431645EC}">
                        <a14:shadowObscured xmlns:a14="http://schemas.microsoft.com/office/drawing/2010/main"/>
                      </a:ext>
                    </a:extLst>
                  </pic:spPr>
                </pic:pic>
              </a:graphicData>
            </a:graphic>
          </wp:inline>
        </w:drawing>
      </w:r>
    </w:p>
    <w:p w14:paraId="58CF68BE" w14:textId="77777777" w:rsidR="00011AD3" w:rsidRPr="003B11BD" w:rsidRDefault="00011AD3" w:rsidP="00011AD3">
      <w:pPr>
        <w:rPr>
          <w:noProof/>
          <w:lang w:val="en-IE"/>
        </w:rPr>
      </w:pPr>
      <w:r w:rsidRPr="003B11BD">
        <w:rPr>
          <w:noProof/>
          <w:lang w:val="en-IE"/>
        </w:rPr>
        <w:t xml:space="preserve">Views are however extremely contrasted on this issue: among companies and business associations, 95% agree with this view. In contrast, all NGOs having participated in the public consultation consider that this is not the case. </w:t>
      </w:r>
    </w:p>
    <w:p w14:paraId="27F21D90" w14:textId="63CB08E2" w:rsidR="00011AD3" w:rsidRPr="003B11BD" w:rsidRDefault="00011AD3" w:rsidP="00011AD3">
      <w:pPr>
        <w:rPr>
          <w:noProof/>
          <w:lang w:val="en-IE"/>
        </w:rPr>
      </w:pPr>
      <w:r w:rsidRPr="003B11BD">
        <w:rPr>
          <w:noProof/>
          <w:lang w:val="en-IE"/>
        </w:rPr>
        <w:t xml:space="preserve">On aspects of the </w:t>
      </w:r>
      <w:r w:rsidR="00F62DC0" w:rsidRPr="003B11BD">
        <w:rPr>
          <w:noProof/>
          <w:lang w:val="en-IE"/>
        </w:rPr>
        <w:t>R</w:t>
      </w:r>
      <w:r w:rsidRPr="003B11BD">
        <w:rPr>
          <w:noProof/>
          <w:lang w:val="en-IE"/>
        </w:rPr>
        <w:t xml:space="preserve">egulation that could be streamlined, we witness a lot of respondents having no opinion (around a third) or having not replied (around 15%). Replies appear again contrasted between companies and business associations, on the one hand, and NGOs, on the other hand. In the first group, only one respondent considered that elements of the regulation should be streamlined (i.e. conditions to submit an application, calculation of the remuneration and the simplified and accelerated procedure). In contrast, all but one NGOs considered that conditions to submit an application and the calculation of the remuneration should be streamlined. All NGOs considered that the simplified and accelerated procedure should be streamlined. </w:t>
      </w:r>
    </w:p>
    <w:p w14:paraId="0E64DD4E" w14:textId="446065C2" w:rsidR="00011AD3" w:rsidRPr="003B11BD" w:rsidRDefault="00011AD3" w:rsidP="00011AD3">
      <w:pPr>
        <w:rPr>
          <w:noProof/>
          <w:lang w:val="en-IE"/>
        </w:rPr>
      </w:pPr>
      <w:r w:rsidRPr="003B11BD">
        <w:rPr>
          <w:noProof/>
          <w:lang w:val="en-IE"/>
        </w:rPr>
        <w:t xml:space="preserve">Stakeholders generally disagree that the procedure set by </w:t>
      </w:r>
      <w:r w:rsidR="000C155F" w:rsidRPr="003B11BD">
        <w:rPr>
          <w:noProof/>
          <w:lang w:val="en-IE"/>
        </w:rPr>
        <w:t>Regulation (EC) No 816/2006</w:t>
      </w:r>
      <w:r w:rsidRPr="003B11BD">
        <w:rPr>
          <w:noProof/>
          <w:lang w:val="en-IE"/>
        </w:rPr>
        <w:t xml:space="preserve"> should be made more flexible to adapt to the needs of the importing country (25 respondents disagreed, 17 agreed and 32 did not reply or had no opinion). On whether the </w:t>
      </w:r>
      <w:r w:rsidR="002761F0" w:rsidRPr="003B11BD">
        <w:rPr>
          <w:noProof/>
          <w:lang w:val="en-IE"/>
        </w:rPr>
        <w:t>R</w:t>
      </w:r>
      <w:r w:rsidRPr="003B11BD">
        <w:rPr>
          <w:noProof/>
          <w:lang w:val="en-IE"/>
        </w:rPr>
        <w:t>egulation provides for sufficient guarantee against trade diversion, the majority of respondents (</w:t>
      </w:r>
      <w:r w:rsidR="00F30F42" w:rsidRPr="003B11BD">
        <w:rPr>
          <w:noProof/>
          <w:lang w:val="en-IE"/>
        </w:rPr>
        <w:t>38%</w:t>
      </w:r>
      <w:r w:rsidR="00AE2F28" w:rsidRPr="003B11BD">
        <w:rPr>
          <w:noProof/>
          <w:lang w:val="en-IE"/>
        </w:rPr>
        <w:t>,</w:t>
      </w:r>
      <w:r w:rsidR="00F30F42" w:rsidRPr="003B11BD">
        <w:rPr>
          <w:noProof/>
          <w:lang w:val="en-IE"/>
        </w:rPr>
        <w:t xml:space="preserve"> N=</w:t>
      </w:r>
      <w:r w:rsidRPr="003B11BD">
        <w:rPr>
          <w:noProof/>
          <w:lang w:val="en-IE"/>
        </w:rPr>
        <w:t xml:space="preserve">28) agreed, while a minority of 6 respondents </w:t>
      </w:r>
      <w:r w:rsidR="00704597" w:rsidRPr="003B11BD">
        <w:rPr>
          <w:noProof/>
          <w:lang w:val="en-IE"/>
        </w:rPr>
        <w:t xml:space="preserve">(8%) </w:t>
      </w:r>
      <w:r w:rsidRPr="003B11BD">
        <w:rPr>
          <w:noProof/>
          <w:lang w:val="en-IE"/>
        </w:rPr>
        <w:t>disagreed (the largest majority – 40 respondents – did no reply or had no opinion on the issue).</w:t>
      </w:r>
    </w:p>
    <w:p w14:paraId="4E8AB175" w14:textId="77777777" w:rsidR="00011AD3" w:rsidRPr="003B11BD" w:rsidRDefault="00011AD3" w:rsidP="001E5551">
      <w:pPr>
        <w:pStyle w:val="Stakeholders"/>
        <w:rPr>
          <w:noProof/>
        </w:rPr>
      </w:pPr>
      <w:r w:rsidRPr="003B11BD">
        <w:rPr>
          <w:noProof/>
        </w:rPr>
        <w:t>Impacts of the different options</w:t>
      </w:r>
    </w:p>
    <w:p w14:paraId="7FF1DA98" w14:textId="5DD739D1" w:rsidR="005D501E" w:rsidRPr="003B11BD" w:rsidRDefault="005D501E" w:rsidP="00011AD3">
      <w:pPr>
        <w:rPr>
          <w:noProof/>
          <w:lang w:val="en-IE"/>
        </w:rPr>
      </w:pPr>
      <w:r w:rsidRPr="003B11BD">
        <w:rPr>
          <w:noProof/>
          <w:lang w:val="en-IE"/>
        </w:rPr>
        <w:t>Several questions on the impact of possible options were part of the public consultation</w:t>
      </w:r>
      <w:r w:rsidR="006A24AE" w:rsidRPr="003B11BD">
        <w:rPr>
          <w:noProof/>
          <w:lang w:val="en-IE"/>
        </w:rPr>
        <w:t xml:space="preserve">. These impacts are summarised below, with a particular focus on the impacts </w:t>
      </w:r>
      <w:r w:rsidR="00DD337E" w:rsidRPr="003B11BD">
        <w:rPr>
          <w:noProof/>
          <w:lang w:val="en-IE"/>
        </w:rPr>
        <w:t>on EU businesses, IP owner, the ability of the EU to tackle crisis and the access to critical goods in crises.</w:t>
      </w:r>
    </w:p>
    <w:p w14:paraId="39C6B138" w14:textId="6CDD939D" w:rsidR="00011AD3" w:rsidRPr="003B11BD" w:rsidRDefault="00B53EAB" w:rsidP="00011AD3">
      <w:pPr>
        <w:rPr>
          <w:noProof/>
          <w:lang w:val="en-IE"/>
        </w:rPr>
      </w:pPr>
      <w:r w:rsidRPr="003B11BD">
        <w:rPr>
          <w:noProof/>
          <w:lang w:val="en-IE"/>
        </w:rPr>
        <w:t xml:space="preserve">The majority </w:t>
      </w:r>
      <w:r w:rsidR="00011AD3" w:rsidRPr="003B11BD">
        <w:rPr>
          <w:noProof/>
          <w:lang w:val="en-IE"/>
        </w:rPr>
        <w:t xml:space="preserve">of the respondents of the Public Consultation are seeing the </w:t>
      </w:r>
      <w:r w:rsidR="00011AD3" w:rsidRPr="003B11BD">
        <w:rPr>
          <w:b/>
          <w:noProof/>
          <w:lang w:val="en-IE"/>
        </w:rPr>
        <w:t>introduction of a uniform compulsory licensing scheme</w:t>
      </w:r>
      <w:r w:rsidR="00011AD3" w:rsidRPr="003B11BD">
        <w:rPr>
          <w:noProof/>
          <w:lang w:val="en-IE"/>
        </w:rPr>
        <w:t xml:space="preserve"> for crisis management rather negative for EU businesses </w:t>
      </w:r>
      <w:r w:rsidR="0006055A" w:rsidRPr="003B11BD">
        <w:rPr>
          <w:noProof/>
          <w:lang w:val="en-IE"/>
        </w:rPr>
        <w:t>(38%</w:t>
      </w:r>
      <w:r w:rsidR="00AE2F28" w:rsidRPr="003B11BD">
        <w:rPr>
          <w:noProof/>
          <w:lang w:val="en-IE"/>
        </w:rPr>
        <w:t>,</w:t>
      </w:r>
      <w:r w:rsidR="0006055A" w:rsidRPr="003B11BD">
        <w:rPr>
          <w:noProof/>
          <w:lang w:val="en-IE"/>
        </w:rPr>
        <w:t xml:space="preserve"> N=28) </w:t>
      </w:r>
      <w:r w:rsidR="00011AD3" w:rsidRPr="003B11BD">
        <w:rPr>
          <w:noProof/>
          <w:lang w:val="en-IE"/>
        </w:rPr>
        <w:t>and EU IP owners</w:t>
      </w:r>
      <w:r w:rsidR="0006055A" w:rsidRPr="003B11BD">
        <w:rPr>
          <w:noProof/>
          <w:lang w:val="en-IE"/>
        </w:rPr>
        <w:t xml:space="preserve"> (</w:t>
      </w:r>
      <w:r w:rsidR="00885494" w:rsidRPr="003B11BD">
        <w:rPr>
          <w:noProof/>
          <w:lang w:val="en-IE"/>
        </w:rPr>
        <w:t>43%</w:t>
      </w:r>
      <w:r w:rsidR="00AE2F28" w:rsidRPr="003B11BD">
        <w:rPr>
          <w:noProof/>
          <w:lang w:val="en-IE"/>
        </w:rPr>
        <w:t>,</w:t>
      </w:r>
      <w:r w:rsidR="00885494" w:rsidRPr="003B11BD">
        <w:rPr>
          <w:noProof/>
          <w:lang w:val="en-IE"/>
        </w:rPr>
        <w:t xml:space="preserve"> N=32)</w:t>
      </w:r>
      <w:r w:rsidR="00723627" w:rsidRPr="003B11BD">
        <w:rPr>
          <w:noProof/>
          <w:lang w:val="en-IE"/>
        </w:rPr>
        <w:t>. However</w:t>
      </w:r>
      <w:r w:rsidR="00011AD3" w:rsidRPr="003B11BD">
        <w:rPr>
          <w:noProof/>
          <w:lang w:val="en-IE"/>
        </w:rPr>
        <w:t xml:space="preserve">, it is generally perceived more positive as regards the EU’s ability to tackle crises </w:t>
      </w:r>
      <w:r w:rsidR="005F2B1C" w:rsidRPr="003B11BD">
        <w:rPr>
          <w:noProof/>
          <w:lang w:val="en-IE"/>
        </w:rPr>
        <w:t>(</w:t>
      </w:r>
      <w:r w:rsidR="007815B8" w:rsidRPr="003B11BD">
        <w:rPr>
          <w:noProof/>
          <w:lang w:val="en-IE"/>
        </w:rPr>
        <w:t>38%</w:t>
      </w:r>
      <w:r w:rsidR="00AE2F28" w:rsidRPr="003B11BD">
        <w:rPr>
          <w:noProof/>
          <w:lang w:val="en-IE"/>
        </w:rPr>
        <w:t>,</w:t>
      </w:r>
      <w:r w:rsidR="007815B8" w:rsidRPr="003B11BD">
        <w:rPr>
          <w:noProof/>
          <w:lang w:val="en-IE"/>
        </w:rPr>
        <w:t xml:space="preserve"> </w:t>
      </w:r>
      <w:r w:rsidR="005F2B1C" w:rsidRPr="003B11BD">
        <w:rPr>
          <w:noProof/>
          <w:lang w:val="en-IE"/>
        </w:rPr>
        <w:t xml:space="preserve">N=28) </w:t>
      </w:r>
      <w:r w:rsidR="00011AD3" w:rsidRPr="003B11BD">
        <w:rPr>
          <w:noProof/>
          <w:lang w:val="en-IE"/>
        </w:rPr>
        <w:t>and the provision of access to critical goods</w:t>
      </w:r>
      <w:r w:rsidR="00295574" w:rsidRPr="003B11BD">
        <w:rPr>
          <w:noProof/>
          <w:lang w:val="en-IE"/>
        </w:rPr>
        <w:t xml:space="preserve"> (</w:t>
      </w:r>
      <w:r w:rsidR="0065697E" w:rsidRPr="003B11BD">
        <w:rPr>
          <w:noProof/>
          <w:lang w:val="en-IE"/>
        </w:rPr>
        <w:t>36%</w:t>
      </w:r>
      <w:r w:rsidR="00AE2F28" w:rsidRPr="003B11BD">
        <w:rPr>
          <w:noProof/>
          <w:lang w:val="en-IE"/>
        </w:rPr>
        <w:t>,</w:t>
      </w:r>
      <w:r w:rsidR="00E1143B" w:rsidRPr="003B11BD">
        <w:rPr>
          <w:noProof/>
          <w:lang w:val="en-IE"/>
        </w:rPr>
        <w:t xml:space="preserve"> </w:t>
      </w:r>
      <w:r w:rsidR="00D15E51" w:rsidRPr="003B11BD">
        <w:rPr>
          <w:noProof/>
          <w:lang w:val="en-IE"/>
        </w:rPr>
        <w:t>N=27)</w:t>
      </w:r>
      <w:r w:rsidR="00011AD3" w:rsidRPr="003B11BD">
        <w:rPr>
          <w:noProof/>
          <w:lang w:val="en-IE"/>
        </w:rPr>
        <w:t xml:space="preserve">. </w:t>
      </w:r>
    </w:p>
    <w:p w14:paraId="16897169" w14:textId="2063F2C3" w:rsidR="00011AD3" w:rsidRPr="003B11BD" w:rsidRDefault="00011AD3" w:rsidP="00011AD3">
      <w:pPr>
        <w:rPr>
          <w:noProof/>
          <w:lang w:val="en-IE"/>
        </w:rPr>
      </w:pPr>
      <w:r w:rsidRPr="003B11BD">
        <w:rPr>
          <w:noProof/>
          <w:lang w:eastAsia="en-GB"/>
        </w:rPr>
        <w:drawing>
          <wp:inline distT="0" distB="0" distL="0" distR="0" wp14:anchorId="6E1EB8D8" wp14:editId="2BA61E19">
            <wp:extent cx="5662246" cy="39492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9006" t="12535" r="10639" b="12626"/>
                    <a:stretch/>
                  </pic:blipFill>
                  <pic:spPr bwMode="auto">
                    <a:xfrm>
                      <a:off x="0" y="0"/>
                      <a:ext cx="5683524" cy="3964137"/>
                    </a:xfrm>
                    <a:prstGeom prst="rect">
                      <a:avLst/>
                    </a:prstGeom>
                    <a:ln>
                      <a:noFill/>
                    </a:ln>
                    <a:extLst>
                      <a:ext uri="{53640926-AAD7-44D8-BBD7-CCE9431645EC}">
                        <a14:shadowObscured xmlns:a14="http://schemas.microsoft.com/office/drawing/2010/main"/>
                      </a:ext>
                    </a:extLst>
                  </pic:spPr>
                </pic:pic>
              </a:graphicData>
            </a:graphic>
          </wp:inline>
        </w:drawing>
      </w:r>
    </w:p>
    <w:p w14:paraId="616A2568" w14:textId="77777777" w:rsidR="00421A76" w:rsidRPr="003B11BD" w:rsidRDefault="00421A76" w:rsidP="00011AD3">
      <w:pPr>
        <w:rPr>
          <w:noProof/>
          <w:lang w:val="en-IE"/>
        </w:rPr>
      </w:pPr>
    </w:p>
    <w:p w14:paraId="31D0883C" w14:textId="256DFFCD" w:rsidR="00011AD3" w:rsidRPr="003B11BD" w:rsidRDefault="00011AD3" w:rsidP="00011AD3">
      <w:pPr>
        <w:rPr>
          <w:noProof/>
          <w:lang w:val="en-IE"/>
        </w:rPr>
      </w:pPr>
      <w:r w:rsidRPr="003B11BD">
        <w:rPr>
          <w:noProof/>
          <w:lang w:val="en-IE"/>
        </w:rPr>
        <w:t xml:space="preserve">Stakeholders favour the </w:t>
      </w:r>
      <w:r w:rsidRPr="003B11BD">
        <w:rPr>
          <w:b/>
          <w:noProof/>
          <w:lang w:val="en-IE"/>
        </w:rPr>
        <w:t>option of allowing a compulsory licence to be granted at EU level in the event of an EU-wide crisis</w:t>
      </w:r>
      <w:r w:rsidRPr="003B11BD">
        <w:rPr>
          <w:noProof/>
          <w:lang w:val="en-IE"/>
        </w:rPr>
        <w:t xml:space="preserve"> compared to nationally granted compulsory licences for EU-wide crises. In that respect, the responses to the Public Consultation show that the option of granting a compulsory licence at EU level is generally deemed more positive by stakeholders as regards the EU’s ability to tackle crises (</w:t>
      </w:r>
      <w:r w:rsidR="00266A68" w:rsidRPr="003B11BD">
        <w:rPr>
          <w:noProof/>
          <w:lang w:val="en-IE"/>
        </w:rPr>
        <w:t>35</w:t>
      </w:r>
      <w:r w:rsidRPr="003B11BD">
        <w:rPr>
          <w:noProof/>
          <w:lang w:val="en-IE"/>
        </w:rPr>
        <w:t>%</w:t>
      </w:r>
      <w:r w:rsidR="00AE2F28" w:rsidRPr="003B11BD">
        <w:rPr>
          <w:noProof/>
          <w:lang w:val="en-IE"/>
        </w:rPr>
        <w:t>,</w:t>
      </w:r>
      <w:r w:rsidR="00900A16" w:rsidRPr="003B11BD">
        <w:rPr>
          <w:noProof/>
          <w:lang w:val="en-IE"/>
        </w:rPr>
        <w:t xml:space="preserve"> N=26</w:t>
      </w:r>
      <w:r w:rsidRPr="003B11BD">
        <w:rPr>
          <w:noProof/>
          <w:lang w:val="en-IE"/>
        </w:rPr>
        <w:t>) and for providing access to critical goods (</w:t>
      </w:r>
      <w:r w:rsidR="00CA315C" w:rsidRPr="003B11BD">
        <w:rPr>
          <w:noProof/>
          <w:lang w:val="en-IE"/>
        </w:rPr>
        <w:t>34</w:t>
      </w:r>
      <w:r w:rsidRPr="003B11BD">
        <w:rPr>
          <w:noProof/>
          <w:lang w:val="en-IE"/>
        </w:rPr>
        <w:t>%</w:t>
      </w:r>
      <w:r w:rsidR="00AE2F28" w:rsidRPr="003B11BD">
        <w:rPr>
          <w:noProof/>
          <w:lang w:val="en-IE"/>
        </w:rPr>
        <w:t>,</w:t>
      </w:r>
      <w:r w:rsidR="00C705F9" w:rsidRPr="003B11BD">
        <w:rPr>
          <w:noProof/>
          <w:lang w:val="en-IE"/>
        </w:rPr>
        <w:t xml:space="preserve"> N=25</w:t>
      </w:r>
      <w:r w:rsidRPr="003B11BD">
        <w:rPr>
          <w:noProof/>
          <w:lang w:val="en-IE"/>
        </w:rPr>
        <w:t xml:space="preserve">) than the granting of a compulsory licence at national level (respectively, </w:t>
      </w:r>
      <w:r w:rsidR="00E95B3E" w:rsidRPr="003B11BD">
        <w:rPr>
          <w:noProof/>
          <w:lang w:val="en-IE"/>
        </w:rPr>
        <w:t>11</w:t>
      </w:r>
      <w:r w:rsidRPr="003B11BD">
        <w:rPr>
          <w:noProof/>
          <w:lang w:val="en-IE"/>
        </w:rPr>
        <w:t>%</w:t>
      </w:r>
      <w:r w:rsidR="00AE2F28" w:rsidRPr="003B11BD">
        <w:rPr>
          <w:noProof/>
          <w:lang w:val="en-IE"/>
        </w:rPr>
        <w:t>,</w:t>
      </w:r>
      <w:r w:rsidR="00780D3A" w:rsidRPr="003B11BD">
        <w:rPr>
          <w:noProof/>
          <w:lang w:val="en-IE"/>
        </w:rPr>
        <w:t xml:space="preserve"> N=8</w:t>
      </w:r>
      <w:r w:rsidR="0098577B" w:rsidRPr="003B11BD">
        <w:rPr>
          <w:noProof/>
          <w:lang w:val="en-IE"/>
        </w:rPr>
        <w:t xml:space="preserve"> </w:t>
      </w:r>
      <w:r w:rsidRPr="003B11BD">
        <w:rPr>
          <w:noProof/>
          <w:lang w:val="en-IE"/>
        </w:rPr>
        <w:t xml:space="preserve">and </w:t>
      </w:r>
      <w:r w:rsidR="00DA1DC2" w:rsidRPr="003B11BD">
        <w:rPr>
          <w:noProof/>
          <w:lang w:val="en-IE"/>
        </w:rPr>
        <w:t>12</w:t>
      </w:r>
      <w:r w:rsidRPr="003B11BD">
        <w:rPr>
          <w:noProof/>
          <w:lang w:val="en-IE"/>
        </w:rPr>
        <w:t>%</w:t>
      </w:r>
      <w:r w:rsidR="00AE2F28" w:rsidRPr="003B11BD">
        <w:rPr>
          <w:noProof/>
          <w:lang w:val="en-IE"/>
        </w:rPr>
        <w:t>,</w:t>
      </w:r>
      <w:r w:rsidR="0098577B" w:rsidRPr="003B11BD">
        <w:rPr>
          <w:noProof/>
          <w:lang w:val="en-IE"/>
        </w:rPr>
        <w:t xml:space="preserve"> N=9</w:t>
      </w:r>
      <w:r w:rsidRPr="003B11BD">
        <w:rPr>
          <w:noProof/>
          <w:lang w:val="en-IE"/>
        </w:rPr>
        <w:t>). There is again a stark contrast between stakeholders. All NGOs consider that the granting of a compulsory licence at EU level for EU-wide crises would have a positive effect on the ability to tackle crises and the access to critical goods. However, a majority (around 50%) of companies and business associations consider that the impact would be negative. A larger majority of companies and business associations considers that such option would have a negative effect on EU businesses (87%) and IP owners (90%).</w:t>
      </w:r>
    </w:p>
    <w:p w14:paraId="7DAD092B" w14:textId="77777777" w:rsidR="00921741" w:rsidRPr="003B11BD" w:rsidRDefault="00921741" w:rsidP="00011AD3">
      <w:pPr>
        <w:rPr>
          <w:noProof/>
          <w:lang w:val="en-IE"/>
        </w:rPr>
      </w:pPr>
    </w:p>
    <w:p w14:paraId="738B6C1D" w14:textId="5D90B88E" w:rsidR="00921741" w:rsidRPr="003B11BD" w:rsidRDefault="00921741" w:rsidP="00011AD3">
      <w:pPr>
        <w:rPr>
          <w:noProof/>
          <w:lang w:val="en-IE"/>
        </w:rPr>
      </w:pPr>
      <w:r w:rsidRPr="003B11BD">
        <w:rPr>
          <w:noProof/>
          <w:lang w:eastAsia="en-GB"/>
        </w:rPr>
        <w:drawing>
          <wp:inline distT="0" distB="0" distL="0" distR="0" wp14:anchorId="329B7B7B" wp14:editId="190FEDCD">
            <wp:extent cx="6000750" cy="3969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9067" t="12376" r="4096" b="9035"/>
                    <a:stretch/>
                  </pic:blipFill>
                  <pic:spPr bwMode="auto">
                    <a:xfrm>
                      <a:off x="0" y="0"/>
                      <a:ext cx="6009509" cy="3975040"/>
                    </a:xfrm>
                    <a:prstGeom prst="rect">
                      <a:avLst/>
                    </a:prstGeom>
                    <a:ln>
                      <a:noFill/>
                    </a:ln>
                    <a:extLst>
                      <a:ext uri="{53640926-AAD7-44D8-BBD7-CCE9431645EC}">
                        <a14:shadowObscured xmlns:a14="http://schemas.microsoft.com/office/drawing/2010/main"/>
                      </a:ext>
                    </a:extLst>
                  </pic:spPr>
                </pic:pic>
              </a:graphicData>
            </a:graphic>
          </wp:inline>
        </w:drawing>
      </w:r>
    </w:p>
    <w:p w14:paraId="35361A52" w14:textId="1DF13A3F" w:rsidR="008121B2" w:rsidRPr="003B11BD" w:rsidRDefault="00B143A0" w:rsidP="00011AD3">
      <w:pPr>
        <w:rPr>
          <w:noProof/>
          <w:lang w:val="en-IE"/>
        </w:rPr>
      </w:pPr>
      <w:r w:rsidRPr="003B11BD">
        <w:rPr>
          <w:noProof/>
          <w:lang w:val="en-IE"/>
        </w:rPr>
        <w:t xml:space="preserve">As regards the impact of </w:t>
      </w:r>
      <w:r w:rsidRPr="003B11BD">
        <w:rPr>
          <w:b/>
          <w:noProof/>
          <w:lang w:val="en-IE"/>
        </w:rPr>
        <w:t>introducing a mechanism for coordinating compulsory licensing among EU countries</w:t>
      </w:r>
      <w:r w:rsidR="005B1CC5" w:rsidRPr="003B11BD">
        <w:rPr>
          <w:b/>
          <w:noProof/>
          <w:lang w:val="en-IE"/>
        </w:rPr>
        <w:t xml:space="preserve">, </w:t>
      </w:r>
      <w:r w:rsidR="005B1CC5" w:rsidRPr="003B11BD">
        <w:rPr>
          <w:noProof/>
          <w:lang w:val="en-IE"/>
        </w:rPr>
        <w:t xml:space="preserve">it is seen positive for the </w:t>
      </w:r>
      <w:r w:rsidR="00603713" w:rsidRPr="003B11BD">
        <w:rPr>
          <w:noProof/>
          <w:lang w:val="en-IE"/>
        </w:rPr>
        <w:t xml:space="preserve">EU </w:t>
      </w:r>
      <w:r w:rsidR="00D43F3F" w:rsidRPr="003B11BD">
        <w:rPr>
          <w:noProof/>
          <w:lang w:val="en-IE"/>
        </w:rPr>
        <w:t>Single Market</w:t>
      </w:r>
      <w:r w:rsidR="00603713" w:rsidRPr="003B11BD">
        <w:rPr>
          <w:noProof/>
          <w:lang w:val="en-IE"/>
        </w:rPr>
        <w:t xml:space="preserve"> </w:t>
      </w:r>
      <w:r w:rsidR="00C32F80" w:rsidRPr="003B11BD">
        <w:rPr>
          <w:noProof/>
          <w:lang w:val="en-IE"/>
        </w:rPr>
        <w:t xml:space="preserve">by </w:t>
      </w:r>
      <w:r w:rsidR="00844E75" w:rsidRPr="003B11BD">
        <w:rPr>
          <w:noProof/>
          <w:lang w:val="en-IE"/>
        </w:rPr>
        <w:t xml:space="preserve">35% </w:t>
      </w:r>
      <w:r w:rsidR="00075C89" w:rsidRPr="003B11BD">
        <w:rPr>
          <w:noProof/>
          <w:lang w:val="en-IE"/>
        </w:rPr>
        <w:t xml:space="preserve">of the respondents </w:t>
      </w:r>
      <w:r w:rsidR="00844E75" w:rsidRPr="003B11BD">
        <w:rPr>
          <w:noProof/>
          <w:lang w:val="en-IE"/>
        </w:rPr>
        <w:t>(N=26)</w:t>
      </w:r>
      <w:r w:rsidR="00077EBD" w:rsidRPr="003B11BD">
        <w:rPr>
          <w:noProof/>
          <w:lang w:val="en-IE"/>
        </w:rPr>
        <w:t>. For the impact on EU businesses</w:t>
      </w:r>
      <w:r w:rsidR="000F2200" w:rsidRPr="003B11BD">
        <w:rPr>
          <w:noProof/>
          <w:lang w:val="en-IE"/>
        </w:rPr>
        <w:t xml:space="preserve"> (</w:t>
      </w:r>
      <w:r w:rsidR="00B7146C" w:rsidRPr="003B11BD">
        <w:rPr>
          <w:noProof/>
          <w:lang w:val="en-IE"/>
        </w:rPr>
        <w:t>28%</w:t>
      </w:r>
      <w:r w:rsidR="00AE2F28" w:rsidRPr="003B11BD">
        <w:rPr>
          <w:noProof/>
          <w:lang w:val="en-IE"/>
        </w:rPr>
        <w:t>,</w:t>
      </w:r>
      <w:r w:rsidR="00B7146C" w:rsidRPr="003B11BD">
        <w:rPr>
          <w:noProof/>
          <w:lang w:val="en-IE"/>
        </w:rPr>
        <w:t xml:space="preserve"> </w:t>
      </w:r>
      <w:r w:rsidR="000F2200" w:rsidRPr="003B11BD">
        <w:rPr>
          <w:noProof/>
          <w:lang w:val="en-IE"/>
        </w:rPr>
        <w:t>N=21)</w:t>
      </w:r>
      <w:r w:rsidR="00077EBD" w:rsidRPr="003B11BD">
        <w:rPr>
          <w:noProof/>
          <w:lang w:val="en-IE"/>
        </w:rPr>
        <w:t>, EU IP owner</w:t>
      </w:r>
      <w:r w:rsidR="00EC4FB5" w:rsidRPr="003B11BD">
        <w:rPr>
          <w:noProof/>
          <w:lang w:val="en-IE"/>
        </w:rPr>
        <w:t xml:space="preserve">s </w:t>
      </w:r>
      <w:r w:rsidR="000F2200" w:rsidRPr="003B11BD">
        <w:rPr>
          <w:noProof/>
          <w:lang w:val="en-IE"/>
        </w:rPr>
        <w:t>(</w:t>
      </w:r>
      <w:r w:rsidR="00614A94" w:rsidRPr="003B11BD">
        <w:rPr>
          <w:noProof/>
          <w:lang w:val="en-IE"/>
        </w:rPr>
        <w:t>25%</w:t>
      </w:r>
      <w:r w:rsidR="00AE2F28" w:rsidRPr="003B11BD">
        <w:rPr>
          <w:noProof/>
          <w:lang w:val="en-IE"/>
        </w:rPr>
        <w:t>,</w:t>
      </w:r>
      <w:r w:rsidR="00614A94" w:rsidRPr="003B11BD">
        <w:rPr>
          <w:noProof/>
          <w:lang w:val="en-IE"/>
        </w:rPr>
        <w:t xml:space="preserve"> </w:t>
      </w:r>
      <w:r w:rsidR="000F2200" w:rsidRPr="003B11BD">
        <w:rPr>
          <w:noProof/>
          <w:lang w:val="en-IE"/>
        </w:rPr>
        <w:t xml:space="preserve">N=26) </w:t>
      </w:r>
      <w:r w:rsidR="00EC4FB5" w:rsidRPr="003B11BD">
        <w:rPr>
          <w:noProof/>
          <w:lang w:val="en-IE"/>
        </w:rPr>
        <w:t>and the EU patent system</w:t>
      </w:r>
      <w:r w:rsidR="00C82548" w:rsidRPr="003B11BD">
        <w:rPr>
          <w:noProof/>
          <w:lang w:val="en-IE"/>
        </w:rPr>
        <w:t xml:space="preserve"> (</w:t>
      </w:r>
      <w:r w:rsidR="00A906D4" w:rsidRPr="003B11BD">
        <w:rPr>
          <w:noProof/>
          <w:lang w:val="en-IE"/>
        </w:rPr>
        <w:t>35%</w:t>
      </w:r>
      <w:r w:rsidR="00AE2F28" w:rsidRPr="003B11BD">
        <w:rPr>
          <w:noProof/>
          <w:lang w:val="en-IE"/>
        </w:rPr>
        <w:t>,</w:t>
      </w:r>
      <w:r w:rsidR="00A906D4" w:rsidRPr="003B11BD">
        <w:rPr>
          <w:noProof/>
          <w:lang w:val="en-IE"/>
        </w:rPr>
        <w:t xml:space="preserve"> </w:t>
      </w:r>
      <w:r w:rsidR="00C82548" w:rsidRPr="003B11BD">
        <w:rPr>
          <w:noProof/>
          <w:lang w:val="en-IE"/>
        </w:rPr>
        <w:t>N=26)</w:t>
      </w:r>
      <w:r w:rsidR="00531DE3" w:rsidRPr="003B11BD">
        <w:rPr>
          <w:noProof/>
          <w:lang w:val="en-IE"/>
        </w:rPr>
        <w:t>, negative responses predominate</w:t>
      </w:r>
      <w:r w:rsidR="00F54067" w:rsidRPr="003B11BD">
        <w:rPr>
          <w:noProof/>
          <w:lang w:val="en-IE"/>
        </w:rPr>
        <w:t xml:space="preserve">, </w:t>
      </w:r>
      <w:r w:rsidR="00034152" w:rsidRPr="003B11BD">
        <w:rPr>
          <w:noProof/>
          <w:lang w:val="en-IE"/>
        </w:rPr>
        <w:t xml:space="preserve">especially by companies, business organisations and business associations, </w:t>
      </w:r>
      <w:r w:rsidR="00F54067" w:rsidRPr="003B11BD">
        <w:rPr>
          <w:noProof/>
          <w:lang w:val="en-IE"/>
        </w:rPr>
        <w:t xml:space="preserve">whereas, again, </w:t>
      </w:r>
      <w:r w:rsidR="008B477E" w:rsidRPr="003B11BD">
        <w:rPr>
          <w:noProof/>
          <w:lang w:val="en-IE"/>
        </w:rPr>
        <w:t xml:space="preserve">respondents are more positive </w:t>
      </w:r>
      <w:r w:rsidR="008F73E7" w:rsidRPr="003B11BD">
        <w:rPr>
          <w:noProof/>
          <w:lang w:val="en-IE"/>
        </w:rPr>
        <w:t xml:space="preserve">about </w:t>
      </w:r>
      <w:r w:rsidR="00172DD3" w:rsidRPr="003B11BD">
        <w:rPr>
          <w:noProof/>
          <w:lang w:val="en-IE"/>
        </w:rPr>
        <w:t xml:space="preserve">the impact on the </w:t>
      </w:r>
      <w:r w:rsidR="001D498A" w:rsidRPr="003B11BD">
        <w:rPr>
          <w:noProof/>
          <w:lang w:val="en-IE"/>
        </w:rPr>
        <w:t xml:space="preserve">EU’s ability to tackle crises </w:t>
      </w:r>
      <w:r w:rsidR="00A3298E" w:rsidRPr="003B11BD">
        <w:rPr>
          <w:noProof/>
          <w:lang w:val="en-IE"/>
        </w:rPr>
        <w:t>(</w:t>
      </w:r>
      <w:r w:rsidR="008121B2" w:rsidRPr="003B11BD">
        <w:rPr>
          <w:noProof/>
          <w:lang w:val="en-IE"/>
        </w:rPr>
        <w:t>35%</w:t>
      </w:r>
      <w:r w:rsidR="00AE2F28" w:rsidRPr="003B11BD">
        <w:rPr>
          <w:noProof/>
          <w:lang w:val="en-IE"/>
        </w:rPr>
        <w:t>,</w:t>
      </w:r>
      <w:r w:rsidR="008121B2" w:rsidRPr="003B11BD">
        <w:rPr>
          <w:noProof/>
          <w:lang w:val="en-IE"/>
        </w:rPr>
        <w:t xml:space="preserve"> </w:t>
      </w:r>
      <w:r w:rsidR="00A3298E" w:rsidRPr="003B11BD">
        <w:rPr>
          <w:noProof/>
          <w:lang w:val="en-IE"/>
        </w:rPr>
        <w:t>N=</w:t>
      </w:r>
      <w:r w:rsidR="000A5339" w:rsidRPr="003B11BD">
        <w:rPr>
          <w:noProof/>
          <w:lang w:val="en-IE"/>
        </w:rPr>
        <w:t xml:space="preserve">26) </w:t>
      </w:r>
      <w:r w:rsidR="001D498A" w:rsidRPr="003B11BD">
        <w:rPr>
          <w:noProof/>
          <w:lang w:val="en-IE"/>
        </w:rPr>
        <w:t xml:space="preserve">and </w:t>
      </w:r>
      <w:r w:rsidR="00C2485C" w:rsidRPr="003B11BD">
        <w:rPr>
          <w:noProof/>
          <w:lang w:val="en-IE"/>
        </w:rPr>
        <w:t xml:space="preserve">the impact </w:t>
      </w:r>
      <w:r w:rsidR="00F87936" w:rsidRPr="003B11BD">
        <w:rPr>
          <w:noProof/>
          <w:lang w:val="en-IE"/>
        </w:rPr>
        <w:t xml:space="preserve">on the access </w:t>
      </w:r>
      <w:r w:rsidR="00254B67" w:rsidRPr="003B11BD">
        <w:rPr>
          <w:noProof/>
          <w:lang w:val="en-IE"/>
        </w:rPr>
        <w:t xml:space="preserve">to critical </w:t>
      </w:r>
      <w:r w:rsidR="009155C3" w:rsidRPr="003B11BD">
        <w:rPr>
          <w:noProof/>
          <w:lang w:val="en-IE"/>
        </w:rPr>
        <w:t>goods for the public</w:t>
      </w:r>
      <w:r w:rsidR="00857EC8" w:rsidRPr="003B11BD">
        <w:rPr>
          <w:noProof/>
          <w:lang w:val="en-IE"/>
        </w:rPr>
        <w:t xml:space="preserve"> </w:t>
      </w:r>
      <w:r w:rsidR="000A5339" w:rsidRPr="003B11BD">
        <w:rPr>
          <w:noProof/>
          <w:lang w:val="en-IE"/>
        </w:rPr>
        <w:t>(</w:t>
      </w:r>
      <w:r w:rsidR="008121B2" w:rsidRPr="003B11BD">
        <w:rPr>
          <w:noProof/>
          <w:lang w:val="en-IE"/>
        </w:rPr>
        <w:t>28%</w:t>
      </w:r>
      <w:r w:rsidR="00AE2F28" w:rsidRPr="003B11BD">
        <w:rPr>
          <w:noProof/>
          <w:lang w:val="en-IE"/>
        </w:rPr>
        <w:t>,</w:t>
      </w:r>
      <w:r w:rsidR="008121B2" w:rsidRPr="003B11BD">
        <w:rPr>
          <w:noProof/>
          <w:lang w:val="en-IE"/>
        </w:rPr>
        <w:t xml:space="preserve"> </w:t>
      </w:r>
      <w:r w:rsidR="000A5339" w:rsidRPr="003B11BD">
        <w:rPr>
          <w:noProof/>
          <w:lang w:val="en-IE"/>
        </w:rPr>
        <w:t>N=</w:t>
      </w:r>
      <w:r w:rsidR="008121B2" w:rsidRPr="003B11BD">
        <w:rPr>
          <w:noProof/>
          <w:lang w:val="en-IE"/>
        </w:rPr>
        <w:t>21)</w:t>
      </w:r>
      <w:r w:rsidR="00C2485C" w:rsidRPr="003B11BD">
        <w:rPr>
          <w:noProof/>
          <w:lang w:val="en-IE"/>
        </w:rPr>
        <w:t>. This</w:t>
      </w:r>
      <w:r w:rsidR="00034152" w:rsidRPr="003B11BD">
        <w:rPr>
          <w:noProof/>
          <w:lang w:val="en-IE"/>
        </w:rPr>
        <w:t xml:space="preserve"> is the case, above all</w:t>
      </w:r>
      <w:r w:rsidR="00C2485C" w:rsidRPr="003B11BD">
        <w:rPr>
          <w:noProof/>
          <w:lang w:val="en-IE"/>
        </w:rPr>
        <w:t>,</w:t>
      </w:r>
      <w:r w:rsidR="00034152" w:rsidRPr="003B11BD">
        <w:rPr>
          <w:noProof/>
          <w:lang w:val="en-IE"/>
        </w:rPr>
        <w:t xml:space="preserve"> for NGOs.</w:t>
      </w:r>
      <w:r w:rsidR="008121B2" w:rsidRPr="003B11BD">
        <w:rPr>
          <w:noProof/>
          <w:lang w:val="en-IE"/>
        </w:rPr>
        <w:t xml:space="preserve"> Moreover, </w:t>
      </w:r>
      <w:r w:rsidR="00340C76" w:rsidRPr="003B11BD">
        <w:rPr>
          <w:noProof/>
          <w:lang w:val="en-IE"/>
        </w:rPr>
        <w:t>the impact of introducing a mechanism for coordinating compulsory licensing among EU countries</w:t>
      </w:r>
      <w:r w:rsidR="006D3765" w:rsidRPr="003B11BD">
        <w:rPr>
          <w:noProof/>
          <w:lang w:val="en-IE"/>
        </w:rPr>
        <w:t xml:space="preserve"> </w:t>
      </w:r>
      <w:r w:rsidR="00C73F12" w:rsidRPr="003B11BD">
        <w:rPr>
          <w:noProof/>
          <w:lang w:val="en-IE"/>
        </w:rPr>
        <w:t xml:space="preserve">on the public authorities’ decision-making processes </w:t>
      </w:r>
      <w:r w:rsidR="006D3765" w:rsidRPr="003B11BD">
        <w:rPr>
          <w:noProof/>
          <w:lang w:val="en-IE"/>
        </w:rPr>
        <w:t>is viewed positively</w:t>
      </w:r>
      <w:r w:rsidR="00C73F12" w:rsidRPr="003B11BD">
        <w:rPr>
          <w:noProof/>
          <w:lang w:val="en-IE"/>
        </w:rPr>
        <w:t xml:space="preserve"> by</w:t>
      </w:r>
      <w:r w:rsidR="006D3765" w:rsidRPr="003B11BD">
        <w:rPr>
          <w:noProof/>
          <w:lang w:val="en-IE"/>
        </w:rPr>
        <w:t xml:space="preserve"> the majority</w:t>
      </w:r>
      <w:r w:rsidR="00C73F12" w:rsidRPr="003B11BD">
        <w:rPr>
          <w:noProof/>
          <w:lang w:val="en-IE"/>
        </w:rPr>
        <w:t xml:space="preserve"> </w:t>
      </w:r>
      <w:r w:rsidR="00034152" w:rsidRPr="003B11BD">
        <w:rPr>
          <w:noProof/>
          <w:lang w:val="en-IE"/>
        </w:rPr>
        <w:t>of the respondents</w:t>
      </w:r>
      <w:r w:rsidR="00C73F12" w:rsidRPr="003B11BD">
        <w:rPr>
          <w:noProof/>
          <w:lang w:val="en-IE"/>
        </w:rPr>
        <w:t xml:space="preserve"> (</w:t>
      </w:r>
      <w:r w:rsidR="00DC563C" w:rsidRPr="003B11BD">
        <w:rPr>
          <w:noProof/>
          <w:lang w:val="en-IE"/>
        </w:rPr>
        <w:t>29%</w:t>
      </w:r>
      <w:r w:rsidR="00AE2F28" w:rsidRPr="003B11BD">
        <w:rPr>
          <w:noProof/>
          <w:lang w:val="en-IE"/>
        </w:rPr>
        <w:t>,</w:t>
      </w:r>
      <w:r w:rsidR="00DC563C" w:rsidRPr="003B11BD">
        <w:rPr>
          <w:noProof/>
          <w:lang w:val="en-IE"/>
        </w:rPr>
        <w:t xml:space="preserve"> </w:t>
      </w:r>
      <w:r w:rsidR="00C73F12" w:rsidRPr="003B11BD">
        <w:rPr>
          <w:noProof/>
          <w:lang w:val="en-IE"/>
        </w:rPr>
        <w:t>N=</w:t>
      </w:r>
      <w:r w:rsidR="000465EF" w:rsidRPr="003B11BD">
        <w:rPr>
          <w:noProof/>
          <w:lang w:val="en-IE"/>
        </w:rPr>
        <w:t>22).</w:t>
      </w:r>
    </w:p>
    <w:p w14:paraId="04A4DC2A" w14:textId="073AFF6C" w:rsidR="002A4747" w:rsidRPr="003B11BD" w:rsidRDefault="008765DA" w:rsidP="00011AD3">
      <w:pPr>
        <w:rPr>
          <w:b/>
          <w:noProof/>
          <w:lang w:val="en-IE"/>
        </w:rPr>
      </w:pPr>
      <w:r w:rsidRPr="003B11BD">
        <w:rPr>
          <w:noProof/>
          <w:lang w:eastAsia="en-GB"/>
        </w:rPr>
        <w:drawing>
          <wp:inline distT="0" distB="0" distL="0" distR="0" wp14:anchorId="4C57E1AF" wp14:editId="77BBD7E8">
            <wp:extent cx="4962862" cy="272310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rotWithShape="1">
                    <a:blip r:embed="rId55">
                      <a:extLst>
                        <a:ext uri="{28A0092B-C50C-407E-A947-70E740481C1C}">
                          <a14:useLocalDpi xmlns:a14="http://schemas.microsoft.com/office/drawing/2010/main" val="0"/>
                        </a:ext>
                      </a:extLst>
                    </a:blip>
                    <a:srcRect l="1785" r="-1"/>
                    <a:stretch/>
                  </pic:blipFill>
                  <pic:spPr bwMode="auto">
                    <a:xfrm>
                      <a:off x="0" y="0"/>
                      <a:ext cx="5003216" cy="2745245"/>
                    </a:xfrm>
                    <a:prstGeom prst="rect">
                      <a:avLst/>
                    </a:prstGeom>
                    <a:ln>
                      <a:noFill/>
                    </a:ln>
                    <a:extLst>
                      <a:ext uri="{53640926-AAD7-44D8-BBD7-CCE9431645EC}">
                        <a14:shadowObscured xmlns:a14="http://schemas.microsoft.com/office/drawing/2010/main"/>
                      </a:ext>
                    </a:extLst>
                  </pic:spPr>
                </pic:pic>
              </a:graphicData>
            </a:graphic>
          </wp:inline>
        </w:drawing>
      </w:r>
    </w:p>
    <w:p w14:paraId="581415B2" w14:textId="084E7B82" w:rsidR="002A4747" w:rsidRPr="003B11BD" w:rsidRDefault="007C5584" w:rsidP="00011AD3">
      <w:pPr>
        <w:rPr>
          <w:noProof/>
          <w:lang w:val="en-IE"/>
        </w:rPr>
      </w:pPr>
      <w:r w:rsidRPr="003B11BD">
        <w:rPr>
          <w:noProof/>
          <w:lang w:val="en-IE"/>
        </w:rPr>
        <w:t>T</w:t>
      </w:r>
      <w:r w:rsidR="00D12826" w:rsidRPr="003B11BD">
        <w:rPr>
          <w:noProof/>
          <w:lang w:val="en-IE"/>
        </w:rPr>
        <w:t>he question</w:t>
      </w:r>
      <w:r w:rsidR="00143F58" w:rsidRPr="003B11BD">
        <w:rPr>
          <w:noProof/>
          <w:lang w:val="en-IE"/>
        </w:rPr>
        <w:t>s</w:t>
      </w:r>
      <w:r w:rsidR="00D12826" w:rsidRPr="003B11BD">
        <w:rPr>
          <w:noProof/>
          <w:lang w:val="en-IE"/>
        </w:rPr>
        <w:t xml:space="preserve"> </w:t>
      </w:r>
      <w:r w:rsidR="0095003B" w:rsidRPr="003B11BD">
        <w:rPr>
          <w:noProof/>
          <w:lang w:val="en-IE"/>
        </w:rPr>
        <w:t xml:space="preserve">on the </w:t>
      </w:r>
      <w:r w:rsidR="00CB63F7" w:rsidRPr="003B11BD">
        <w:rPr>
          <w:noProof/>
          <w:lang w:val="en-IE"/>
        </w:rPr>
        <w:t xml:space="preserve">impact of creating an EU single contact point and coordination mechanism between Member States </w:t>
      </w:r>
      <w:r w:rsidR="005706EA" w:rsidRPr="003B11BD">
        <w:rPr>
          <w:noProof/>
          <w:lang w:val="en-IE"/>
        </w:rPr>
        <w:t>and of an EU-level centralised procedure to grant compulsory licen</w:t>
      </w:r>
      <w:r w:rsidR="00C2485C" w:rsidRPr="003B11BD">
        <w:rPr>
          <w:noProof/>
          <w:lang w:val="en-IE"/>
        </w:rPr>
        <w:t>ces</w:t>
      </w:r>
      <w:r w:rsidR="005706EA" w:rsidRPr="003B11BD">
        <w:rPr>
          <w:noProof/>
          <w:lang w:val="en-IE"/>
        </w:rPr>
        <w:t xml:space="preserve"> on export of pharmaceutical products to non-EU countries </w:t>
      </w:r>
      <w:r w:rsidR="002D1FD3" w:rsidRPr="003B11BD">
        <w:rPr>
          <w:noProof/>
          <w:lang w:val="en-IE"/>
        </w:rPr>
        <w:t>re</w:t>
      </w:r>
      <w:r w:rsidR="00B83C42" w:rsidRPr="003B11BD">
        <w:rPr>
          <w:noProof/>
          <w:lang w:val="en-IE"/>
        </w:rPr>
        <w:t xml:space="preserve">ceived only few </w:t>
      </w:r>
      <w:r w:rsidR="00D478B9" w:rsidRPr="003B11BD">
        <w:rPr>
          <w:noProof/>
          <w:lang w:val="en-IE"/>
        </w:rPr>
        <w:t xml:space="preserve">evaluable </w:t>
      </w:r>
      <w:r w:rsidR="00B83C42" w:rsidRPr="003B11BD">
        <w:rPr>
          <w:noProof/>
          <w:lang w:val="en-IE"/>
        </w:rPr>
        <w:t xml:space="preserve">answers. </w:t>
      </w:r>
      <w:r w:rsidR="00625B34" w:rsidRPr="003B11BD">
        <w:rPr>
          <w:noProof/>
          <w:lang w:val="en-IE"/>
        </w:rPr>
        <w:t xml:space="preserve">Most of the respondents either had no </w:t>
      </w:r>
      <w:r w:rsidR="00FD5758" w:rsidRPr="003B11BD">
        <w:rPr>
          <w:noProof/>
          <w:lang w:val="en-IE"/>
        </w:rPr>
        <w:t>opinion, answered in a neutral way</w:t>
      </w:r>
      <w:r w:rsidR="005706EA" w:rsidRPr="003B11BD">
        <w:rPr>
          <w:noProof/>
          <w:lang w:val="en-IE"/>
        </w:rPr>
        <w:t>,</w:t>
      </w:r>
      <w:r w:rsidR="00FD5758" w:rsidRPr="003B11BD">
        <w:rPr>
          <w:noProof/>
          <w:lang w:val="en-IE"/>
        </w:rPr>
        <w:t xml:space="preserve"> or did not submit any answer.</w:t>
      </w:r>
      <w:r w:rsidR="00256CCA" w:rsidRPr="003B11BD">
        <w:rPr>
          <w:noProof/>
          <w:lang w:val="en-IE"/>
        </w:rPr>
        <w:t xml:space="preserve"> However, of the responses </w:t>
      </w:r>
      <w:r w:rsidR="006E78BB" w:rsidRPr="003B11BD">
        <w:rPr>
          <w:noProof/>
          <w:lang w:val="en-IE"/>
        </w:rPr>
        <w:t xml:space="preserve">on the impact of </w:t>
      </w:r>
      <w:r w:rsidR="006E78BB" w:rsidRPr="003B11BD">
        <w:rPr>
          <w:b/>
          <w:noProof/>
          <w:lang w:val="en-IE"/>
        </w:rPr>
        <w:t>creating an EU single contact point and coordination mechanism between Member States</w:t>
      </w:r>
      <w:r w:rsidR="006E78BB" w:rsidRPr="003B11BD">
        <w:rPr>
          <w:noProof/>
          <w:lang w:val="en-IE"/>
        </w:rPr>
        <w:t xml:space="preserve"> </w:t>
      </w:r>
      <w:r w:rsidR="00C2485C" w:rsidRPr="003B11BD">
        <w:rPr>
          <w:noProof/>
          <w:lang w:val="en-IE"/>
        </w:rPr>
        <w:t xml:space="preserve">for </w:t>
      </w:r>
      <w:r w:rsidR="00512148" w:rsidRPr="003B11BD">
        <w:rPr>
          <w:noProof/>
          <w:lang w:val="en-IE"/>
        </w:rPr>
        <w:t xml:space="preserve">compulsory </w:t>
      </w:r>
      <w:r w:rsidR="00C2485C" w:rsidRPr="003B11BD">
        <w:rPr>
          <w:noProof/>
          <w:lang w:val="en-IE"/>
        </w:rPr>
        <w:t>licences</w:t>
      </w:r>
      <w:r w:rsidR="00512148" w:rsidRPr="003B11BD">
        <w:rPr>
          <w:noProof/>
          <w:lang w:val="en-IE"/>
        </w:rPr>
        <w:t xml:space="preserve"> for</w:t>
      </w:r>
      <w:r w:rsidR="006E78BB" w:rsidRPr="003B11BD">
        <w:rPr>
          <w:noProof/>
          <w:lang w:val="en-IE"/>
        </w:rPr>
        <w:t xml:space="preserve"> export of pharmaceutical products to non-EU countries</w:t>
      </w:r>
      <w:r w:rsidR="000F1D79" w:rsidRPr="003B11BD">
        <w:rPr>
          <w:noProof/>
          <w:lang w:val="en-IE"/>
        </w:rPr>
        <w:t xml:space="preserve">, positive answers </w:t>
      </w:r>
      <w:r w:rsidR="00887DB1" w:rsidRPr="003B11BD">
        <w:rPr>
          <w:noProof/>
          <w:lang w:val="en-IE"/>
        </w:rPr>
        <w:t xml:space="preserve">on the impact </w:t>
      </w:r>
      <w:r w:rsidR="0041435B" w:rsidRPr="003B11BD">
        <w:rPr>
          <w:noProof/>
          <w:lang w:val="en-IE"/>
        </w:rPr>
        <w:t xml:space="preserve">on the EU </w:t>
      </w:r>
      <w:r w:rsidR="00D43F3F" w:rsidRPr="003B11BD">
        <w:rPr>
          <w:noProof/>
          <w:lang w:val="en-IE"/>
        </w:rPr>
        <w:t>Single Market</w:t>
      </w:r>
      <w:r w:rsidR="0041435B" w:rsidRPr="003B11BD">
        <w:rPr>
          <w:noProof/>
          <w:lang w:val="en-IE"/>
        </w:rPr>
        <w:t xml:space="preserve"> predominate (</w:t>
      </w:r>
      <w:r w:rsidR="00F02062" w:rsidRPr="003B11BD">
        <w:rPr>
          <w:noProof/>
          <w:lang w:val="en-IE"/>
        </w:rPr>
        <w:t>19%</w:t>
      </w:r>
      <w:r w:rsidR="00AE2F28" w:rsidRPr="003B11BD">
        <w:rPr>
          <w:noProof/>
          <w:lang w:val="en-IE"/>
        </w:rPr>
        <w:t>,</w:t>
      </w:r>
      <w:r w:rsidR="00F02062" w:rsidRPr="003B11BD">
        <w:rPr>
          <w:noProof/>
          <w:lang w:val="en-IE"/>
        </w:rPr>
        <w:t xml:space="preserve"> </w:t>
      </w:r>
      <w:r w:rsidR="0041435B" w:rsidRPr="003B11BD">
        <w:rPr>
          <w:noProof/>
          <w:lang w:val="en-IE"/>
        </w:rPr>
        <w:t>N=14 vs negative</w:t>
      </w:r>
      <w:r w:rsidR="008B08EF" w:rsidRPr="003B11BD">
        <w:rPr>
          <w:noProof/>
          <w:lang w:val="en-IE"/>
        </w:rPr>
        <w:t xml:space="preserve"> answers</w:t>
      </w:r>
      <w:r w:rsidR="0041435B" w:rsidRPr="003B11BD">
        <w:rPr>
          <w:noProof/>
          <w:lang w:val="en-IE"/>
        </w:rPr>
        <w:t xml:space="preserve">: </w:t>
      </w:r>
      <w:r w:rsidR="008B08EF" w:rsidRPr="003B11BD">
        <w:rPr>
          <w:noProof/>
          <w:lang w:val="en-IE"/>
        </w:rPr>
        <w:t>3%</w:t>
      </w:r>
      <w:r w:rsidR="00AE2F28" w:rsidRPr="003B11BD">
        <w:rPr>
          <w:noProof/>
          <w:lang w:val="en-IE"/>
        </w:rPr>
        <w:t>,</w:t>
      </w:r>
      <w:r w:rsidR="008B08EF" w:rsidRPr="003B11BD">
        <w:rPr>
          <w:noProof/>
          <w:lang w:val="en-IE"/>
        </w:rPr>
        <w:t xml:space="preserve"> </w:t>
      </w:r>
      <w:r w:rsidR="0041435B" w:rsidRPr="003B11BD">
        <w:rPr>
          <w:noProof/>
          <w:lang w:val="en-IE"/>
        </w:rPr>
        <w:t>N=4)</w:t>
      </w:r>
      <w:r w:rsidR="009D3504" w:rsidRPr="003B11BD">
        <w:rPr>
          <w:noProof/>
          <w:lang w:val="en-IE"/>
        </w:rPr>
        <w:t>, even by companies, business organisations and business associations.</w:t>
      </w:r>
      <w:r w:rsidR="0041435B" w:rsidRPr="003B11BD">
        <w:rPr>
          <w:noProof/>
          <w:lang w:val="en-IE"/>
        </w:rPr>
        <w:t xml:space="preserve"> As to the impact on EU businesses and EU IP owners, </w:t>
      </w:r>
      <w:r w:rsidR="009D3504" w:rsidRPr="003B11BD">
        <w:rPr>
          <w:noProof/>
          <w:lang w:val="en-IE"/>
        </w:rPr>
        <w:t>companies, business organisations and business associations see it rather negative (53%</w:t>
      </w:r>
      <w:r w:rsidR="00AE2F28" w:rsidRPr="003B11BD">
        <w:rPr>
          <w:noProof/>
          <w:lang w:val="en-IE"/>
        </w:rPr>
        <w:t>,</w:t>
      </w:r>
      <w:r w:rsidR="009D3504" w:rsidRPr="003B11BD">
        <w:rPr>
          <w:noProof/>
          <w:lang w:val="en-IE"/>
        </w:rPr>
        <w:t xml:space="preserve"> N=21 and 55%</w:t>
      </w:r>
      <w:r w:rsidR="00AE2F28" w:rsidRPr="003B11BD">
        <w:rPr>
          <w:noProof/>
          <w:lang w:val="en-IE"/>
        </w:rPr>
        <w:t>,</w:t>
      </w:r>
      <w:r w:rsidR="009D3504" w:rsidRPr="003B11BD">
        <w:rPr>
          <w:noProof/>
          <w:lang w:val="en-IE"/>
        </w:rPr>
        <w:t xml:space="preserve"> N=22), whereas NGOs have a rather positive view. </w:t>
      </w:r>
      <w:r w:rsidR="001143B9" w:rsidRPr="003B11BD">
        <w:rPr>
          <w:noProof/>
          <w:lang w:val="en-IE"/>
        </w:rPr>
        <w:t xml:space="preserve">The majority of the respondents </w:t>
      </w:r>
      <w:r w:rsidR="009460F9" w:rsidRPr="003B11BD">
        <w:rPr>
          <w:noProof/>
          <w:lang w:val="en-IE"/>
        </w:rPr>
        <w:t xml:space="preserve">also </w:t>
      </w:r>
      <w:r w:rsidR="001143B9" w:rsidRPr="003B11BD">
        <w:rPr>
          <w:noProof/>
          <w:lang w:val="en-IE"/>
        </w:rPr>
        <w:t xml:space="preserve">saw the creation </w:t>
      </w:r>
      <w:r w:rsidR="552D795B" w:rsidRPr="003B11BD">
        <w:rPr>
          <w:noProof/>
          <w:lang w:val="en-IE"/>
        </w:rPr>
        <w:t>of</w:t>
      </w:r>
      <w:r w:rsidR="268C7E51" w:rsidRPr="003B11BD">
        <w:rPr>
          <w:noProof/>
          <w:lang w:val="en-IE"/>
        </w:rPr>
        <w:t xml:space="preserve"> </w:t>
      </w:r>
      <w:r w:rsidR="552D795B" w:rsidRPr="003B11BD">
        <w:rPr>
          <w:noProof/>
          <w:lang w:val="en-IE"/>
        </w:rPr>
        <w:t>an</w:t>
      </w:r>
      <w:r w:rsidR="001143B9" w:rsidRPr="003B11BD">
        <w:rPr>
          <w:noProof/>
          <w:lang w:val="en-IE"/>
        </w:rPr>
        <w:t xml:space="preserve"> EU single contact point and coordination mechanism between Member States</w:t>
      </w:r>
      <w:r w:rsidR="00771B12" w:rsidRPr="003B11BD">
        <w:rPr>
          <w:noProof/>
          <w:lang w:val="en-IE"/>
        </w:rPr>
        <w:t xml:space="preserve"> for compulsory licences</w:t>
      </w:r>
      <w:r w:rsidR="001143B9" w:rsidRPr="003B11BD">
        <w:rPr>
          <w:noProof/>
          <w:lang w:val="en-IE"/>
        </w:rPr>
        <w:t xml:space="preserve"> for export of pharmaceutical products to non-EU countries more positively as regards</w:t>
      </w:r>
      <w:r w:rsidR="000D7A2C" w:rsidRPr="003B11BD">
        <w:rPr>
          <w:noProof/>
          <w:lang w:val="en-IE"/>
        </w:rPr>
        <w:t xml:space="preserve"> the </w:t>
      </w:r>
      <w:r w:rsidR="005518E0" w:rsidRPr="003B11BD">
        <w:rPr>
          <w:noProof/>
          <w:lang w:val="en-IE"/>
        </w:rPr>
        <w:t xml:space="preserve">impact on </w:t>
      </w:r>
      <w:r w:rsidR="000D7A2C" w:rsidRPr="003B11BD">
        <w:rPr>
          <w:noProof/>
          <w:lang w:val="en-IE"/>
        </w:rPr>
        <w:t xml:space="preserve">the </w:t>
      </w:r>
      <w:r w:rsidR="005518E0" w:rsidRPr="003B11BD">
        <w:rPr>
          <w:noProof/>
          <w:lang w:val="en-IE"/>
        </w:rPr>
        <w:t>EU patent s</w:t>
      </w:r>
      <w:r w:rsidR="00846942" w:rsidRPr="003B11BD">
        <w:rPr>
          <w:noProof/>
          <w:lang w:val="en-IE"/>
        </w:rPr>
        <w:t>ystem</w:t>
      </w:r>
      <w:r w:rsidR="000D7A2C" w:rsidRPr="003B11BD">
        <w:rPr>
          <w:noProof/>
          <w:lang w:val="en-IE"/>
        </w:rPr>
        <w:t xml:space="preserve"> </w:t>
      </w:r>
      <w:r w:rsidR="00D06BAB" w:rsidRPr="003B11BD">
        <w:rPr>
          <w:noProof/>
          <w:lang w:val="en-IE"/>
        </w:rPr>
        <w:t>(</w:t>
      </w:r>
      <w:r w:rsidR="00943DA9" w:rsidRPr="003B11BD">
        <w:rPr>
          <w:noProof/>
          <w:lang w:val="en-IE"/>
        </w:rPr>
        <w:t>18%</w:t>
      </w:r>
      <w:r w:rsidR="00AE2F28" w:rsidRPr="003B11BD">
        <w:rPr>
          <w:noProof/>
          <w:lang w:val="en-IE"/>
        </w:rPr>
        <w:t>,</w:t>
      </w:r>
      <w:r w:rsidR="00943DA9" w:rsidRPr="003B11BD">
        <w:rPr>
          <w:noProof/>
          <w:lang w:val="en-IE"/>
        </w:rPr>
        <w:t xml:space="preserve"> </w:t>
      </w:r>
      <w:r w:rsidR="00D06BAB" w:rsidRPr="003B11BD">
        <w:rPr>
          <w:noProof/>
          <w:lang w:val="en-IE"/>
        </w:rPr>
        <w:t>N=13)</w:t>
      </w:r>
      <w:r w:rsidR="001143B9" w:rsidRPr="003B11BD">
        <w:rPr>
          <w:noProof/>
          <w:lang w:val="en-IE"/>
        </w:rPr>
        <w:t>,</w:t>
      </w:r>
      <w:r w:rsidR="005B431D" w:rsidRPr="003B11BD">
        <w:rPr>
          <w:noProof/>
          <w:lang w:val="en-IE"/>
        </w:rPr>
        <w:t xml:space="preserve"> </w:t>
      </w:r>
      <w:r w:rsidR="000D7A2C" w:rsidRPr="003B11BD">
        <w:rPr>
          <w:noProof/>
          <w:lang w:val="en-IE"/>
        </w:rPr>
        <w:t>the</w:t>
      </w:r>
      <w:r w:rsidR="00846942" w:rsidRPr="003B11BD">
        <w:rPr>
          <w:noProof/>
          <w:lang w:val="en-IE"/>
        </w:rPr>
        <w:t xml:space="preserve"> </w:t>
      </w:r>
      <w:r w:rsidR="005609A6" w:rsidRPr="003B11BD">
        <w:rPr>
          <w:noProof/>
          <w:lang w:val="en-IE"/>
        </w:rPr>
        <w:t xml:space="preserve">EU’s ability to tackle crises </w:t>
      </w:r>
      <w:r w:rsidR="00AF72A3" w:rsidRPr="003B11BD">
        <w:rPr>
          <w:noProof/>
          <w:lang w:val="en-IE"/>
        </w:rPr>
        <w:t>(</w:t>
      </w:r>
      <w:r w:rsidR="00D52F0C" w:rsidRPr="003B11BD">
        <w:rPr>
          <w:noProof/>
          <w:lang w:val="en-IE"/>
        </w:rPr>
        <w:t>18%</w:t>
      </w:r>
      <w:r w:rsidR="00AE2F28" w:rsidRPr="003B11BD">
        <w:rPr>
          <w:noProof/>
          <w:lang w:val="en-IE"/>
        </w:rPr>
        <w:t>,</w:t>
      </w:r>
      <w:r w:rsidR="00D52F0C" w:rsidRPr="003B11BD">
        <w:rPr>
          <w:noProof/>
          <w:lang w:val="en-IE"/>
        </w:rPr>
        <w:t xml:space="preserve"> </w:t>
      </w:r>
      <w:r w:rsidR="00AF72A3" w:rsidRPr="003B11BD">
        <w:rPr>
          <w:noProof/>
          <w:lang w:val="en-IE"/>
        </w:rPr>
        <w:t>N=</w:t>
      </w:r>
      <w:r w:rsidR="00CB049C" w:rsidRPr="003B11BD">
        <w:rPr>
          <w:noProof/>
          <w:lang w:val="en-IE"/>
        </w:rPr>
        <w:t>13)</w:t>
      </w:r>
      <w:r w:rsidR="007A34CC" w:rsidRPr="003B11BD">
        <w:rPr>
          <w:noProof/>
          <w:lang w:val="en-IE"/>
        </w:rPr>
        <w:t>,</w:t>
      </w:r>
      <w:r w:rsidR="005609A6" w:rsidRPr="003B11BD">
        <w:rPr>
          <w:noProof/>
          <w:lang w:val="en-IE"/>
        </w:rPr>
        <w:t xml:space="preserve"> </w:t>
      </w:r>
      <w:r w:rsidR="00011DED" w:rsidRPr="003B11BD">
        <w:rPr>
          <w:noProof/>
          <w:lang w:val="en-IE"/>
        </w:rPr>
        <w:t xml:space="preserve">access to critical pharmaceutical products for non-EU countries </w:t>
      </w:r>
      <w:r w:rsidR="00300DFB" w:rsidRPr="003B11BD">
        <w:rPr>
          <w:noProof/>
          <w:lang w:val="en-IE"/>
        </w:rPr>
        <w:t>(</w:t>
      </w:r>
      <w:r w:rsidR="006117BA" w:rsidRPr="003B11BD">
        <w:rPr>
          <w:noProof/>
          <w:lang w:val="en-IE"/>
        </w:rPr>
        <w:t>19%</w:t>
      </w:r>
      <w:r w:rsidR="00AE2F28" w:rsidRPr="003B11BD">
        <w:rPr>
          <w:noProof/>
          <w:lang w:val="en-IE"/>
        </w:rPr>
        <w:t>,</w:t>
      </w:r>
      <w:r w:rsidR="006117BA" w:rsidRPr="003B11BD">
        <w:rPr>
          <w:noProof/>
          <w:lang w:val="en-IE"/>
        </w:rPr>
        <w:t xml:space="preserve"> </w:t>
      </w:r>
      <w:r w:rsidR="00300DFB" w:rsidRPr="003B11BD">
        <w:rPr>
          <w:noProof/>
          <w:lang w:val="en-IE"/>
        </w:rPr>
        <w:t xml:space="preserve">N=15) </w:t>
      </w:r>
      <w:r w:rsidR="007A34CC" w:rsidRPr="003B11BD">
        <w:rPr>
          <w:noProof/>
          <w:lang w:val="en-IE"/>
        </w:rPr>
        <w:t>and</w:t>
      </w:r>
      <w:r w:rsidR="009C257F" w:rsidRPr="003B11BD">
        <w:rPr>
          <w:noProof/>
          <w:lang w:val="en-IE"/>
        </w:rPr>
        <w:t xml:space="preserve"> </w:t>
      </w:r>
      <w:r w:rsidR="009460F9" w:rsidRPr="003B11BD">
        <w:rPr>
          <w:noProof/>
          <w:lang w:val="en-IE"/>
        </w:rPr>
        <w:t xml:space="preserve">on the </w:t>
      </w:r>
      <w:r w:rsidR="009C257F" w:rsidRPr="003B11BD">
        <w:rPr>
          <w:noProof/>
          <w:lang w:val="en-IE"/>
        </w:rPr>
        <w:t xml:space="preserve">public authorities’ decision-making process </w:t>
      </w:r>
      <w:r w:rsidR="009460F9" w:rsidRPr="003B11BD">
        <w:rPr>
          <w:noProof/>
          <w:lang w:val="en-IE"/>
        </w:rPr>
        <w:t>(19%</w:t>
      </w:r>
      <w:r w:rsidR="00AE2F28" w:rsidRPr="003B11BD">
        <w:rPr>
          <w:noProof/>
          <w:lang w:val="en-IE"/>
        </w:rPr>
        <w:t>,</w:t>
      </w:r>
      <w:r w:rsidR="009460F9" w:rsidRPr="003B11BD">
        <w:rPr>
          <w:noProof/>
          <w:lang w:val="en-IE"/>
        </w:rPr>
        <w:t xml:space="preserve"> N=15</w:t>
      </w:r>
      <w:r w:rsidR="005448B2" w:rsidRPr="003B11BD">
        <w:rPr>
          <w:noProof/>
          <w:lang w:val="en-IE"/>
        </w:rPr>
        <w:t>).</w:t>
      </w:r>
    </w:p>
    <w:p w14:paraId="40BF048F" w14:textId="1444F6FD" w:rsidR="00DE5425" w:rsidRPr="003B11BD" w:rsidRDefault="00D11372" w:rsidP="00011AD3">
      <w:pPr>
        <w:rPr>
          <w:noProof/>
          <w:lang w:val="en-IE"/>
        </w:rPr>
      </w:pPr>
      <w:r w:rsidRPr="003B11BD">
        <w:rPr>
          <w:noProof/>
          <w:lang w:val="en-IE"/>
        </w:rPr>
        <w:t xml:space="preserve">Of the answers received </w:t>
      </w:r>
      <w:r w:rsidR="009460F9" w:rsidRPr="003B11BD">
        <w:rPr>
          <w:noProof/>
          <w:lang w:val="en-IE"/>
        </w:rPr>
        <w:t>on</w:t>
      </w:r>
      <w:r w:rsidR="000274B5" w:rsidRPr="003B11BD">
        <w:rPr>
          <w:noProof/>
          <w:lang w:val="en-IE"/>
        </w:rPr>
        <w:t xml:space="preserve"> the impact </w:t>
      </w:r>
      <w:r w:rsidRPr="003B11BD">
        <w:rPr>
          <w:noProof/>
          <w:lang w:val="en-IE"/>
        </w:rPr>
        <w:t xml:space="preserve">of an </w:t>
      </w:r>
      <w:r w:rsidRPr="003B11BD">
        <w:rPr>
          <w:b/>
          <w:noProof/>
          <w:lang w:val="en-IE"/>
        </w:rPr>
        <w:t>EU-level centralised procedure to grant compulsory licensing on export of pharmaceutical products to non-EU countries</w:t>
      </w:r>
      <w:r w:rsidR="000274B5" w:rsidRPr="003B11BD">
        <w:rPr>
          <w:noProof/>
          <w:lang w:val="en-IE"/>
        </w:rPr>
        <w:t xml:space="preserve">, </w:t>
      </w:r>
      <w:r w:rsidR="00DE5425" w:rsidRPr="003B11BD">
        <w:rPr>
          <w:noProof/>
          <w:lang w:val="en-IE"/>
        </w:rPr>
        <w:t xml:space="preserve">negative answers predominate </w:t>
      </w:r>
      <w:r w:rsidR="00C2485C" w:rsidRPr="003B11BD">
        <w:rPr>
          <w:noProof/>
          <w:lang w:val="en-IE"/>
        </w:rPr>
        <w:t>on</w:t>
      </w:r>
      <w:r w:rsidR="00DE5425" w:rsidRPr="003B11BD">
        <w:rPr>
          <w:noProof/>
          <w:lang w:val="en-IE"/>
        </w:rPr>
        <w:t xml:space="preserve"> the questions </w:t>
      </w:r>
      <w:r w:rsidR="009460F9" w:rsidRPr="003B11BD">
        <w:rPr>
          <w:noProof/>
          <w:lang w:val="en-IE"/>
        </w:rPr>
        <w:t>about</w:t>
      </w:r>
      <w:r w:rsidR="00DE5425" w:rsidRPr="003B11BD">
        <w:rPr>
          <w:noProof/>
          <w:lang w:val="en-IE"/>
        </w:rPr>
        <w:t xml:space="preserve"> the impact on EU businesses and EU IP owners, </w:t>
      </w:r>
      <w:r w:rsidR="009460F9" w:rsidRPr="003B11BD">
        <w:rPr>
          <w:noProof/>
          <w:lang w:val="en-IE"/>
        </w:rPr>
        <w:t xml:space="preserve">mostly stemming from </w:t>
      </w:r>
      <w:r w:rsidR="0006277C" w:rsidRPr="003B11BD">
        <w:rPr>
          <w:noProof/>
          <w:lang w:val="en-IE"/>
        </w:rPr>
        <w:t xml:space="preserve">companies, business organisations and business associations, </w:t>
      </w:r>
      <w:r w:rsidR="23859429" w:rsidRPr="003B11BD">
        <w:rPr>
          <w:noProof/>
          <w:lang w:val="en-IE"/>
        </w:rPr>
        <w:t xml:space="preserve">whereas </w:t>
      </w:r>
      <w:r w:rsidR="673CBC50" w:rsidRPr="003B11BD">
        <w:rPr>
          <w:noProof/>
          <w:lang w:val="en-IE"/>
        </w:rPr>
        <w:t>more positive answers were received on</w:t>
      </w:r>
      <w:r w:rsidR="00DE5425" w:rsidRPr="003B11BD">
        <w:rPr>
          <w:noProof/>
          <w:lang w:val="en-IE"/>
        </w:rPr>
        <w:t xml:space="preserve"> the impact on the EU patent</w:t>
      </w:r>
      <w:r w:rsidR="00C2485C" w:rsidRPr="003B11BD">
        <w:rPr>
          <w:noProof/>
          <w:lang w:val="en-IE"/>
        </w:rPr>
        <w:t xml:space="preserve"> system</w:t>
      </w:r>
      <w:r w:rsidR="00DE5425" w:rsidRPr="003B11BD">
        <w:rPr>
          <w:noProof/>
          <w:lang w:val="en-IE"/>
        </w:rPr>
        <w:t xml:space="preserve">, on EU’s ability to tackle crises, access to critical pharmaceutical products for non-EU countries and </w:t>
      </w:r>
      <w:r w:rsidR="792A88A5" w:rsidRPr="003B11BD">
        <w:rPr>
          <w:noProof/>
          <w:lang w:val="en-IE"/>
        </w:rPr>
        <w:t xml:space="preserve">on the </w:t>
      </w:r>
      <w:r w:rsidR="00DE5425" w:rsidRPr="003B11BD">
        <w:rPr>
          <w:noProof/>
          <w:lang w:val="en-IE"/>
        </w:rPr>
        <w:t>public authorities’ decision-making process</w:t>
      </w:r>
      <w:r w:rsidR="00DB5ABF" w:rsidRPr="003B11BD">
        <w:rPr>
          <w:noProof/>
          <w:lang w:val="en-IE"/>
        </w:rPr>
        <w:t>.</w:t>
      </w:r>
    </w:p>
    <w:p w14:paraId="38CAE5C4" w14:textId="77777777" w:rsidR="00011AD3" w:rsidRPr="003B11BD" w:rsidRDefault="00011AD3" w:rsidP="001E5551">
      <w:pPr>
        <w:pStyle w:val="Stakeholders"/>
        <w:rPr>
          <w:noProof/>
        </w:rPr>
      </w:pPr>
      <w:r w:rsidRPr="003B11BD">
        <w:rPr>
          <w:noProof/>
        </w:rPr>
        <w:t>How the results of consultation activities were used?</w:t>
      </w:r>
    </w:p>
    <w:p w14:paraId="5ADD7222" w14:textId="44982529" w:rsidR="00011AD3" w:rsidRPr="003B11BD" w:rsidRDefault="00011AD3" w:rsidP="00011AD3">
      <w:pPr>
        <w:rPr>
          <w:noProof/>
          <w:lang w:val="en-IE"/>
        </w:rPr>
      </w:pPr>
      <w:r w:rsidRPr="003B11BD">
        <w:rPr>
          <w:noProof/>
          <w:lang w:val="en-IE"/>
        </w:rPr>
        <w:t>The results of the various consultations presented above underpin the whole evaluation of the currently fragmented framework of national compulsory licensing systems of patents for domestic purposes as well as of the efficiency of the EU procedure on compulsory licensing of patents for export to countries with public health problems (</w:t>
      </w:r>
      <w:r w:rsidR="000C155F" w:rsidRPr="003B11BD">
        <w:rPr>
          <w:noProof/>
          <w:lang w:val="en-IE"/>
        </w:rPr>
        <w:t>Regulation (EC) No 816/2006</w:t>
      </w:r>
      <w:r w:rsidRPr="003B11BD">
        <w:rPr>
          <w:noProof/>
          <w:lang w:val="en-IE"/>
        </w:rPr>
        <w:t>). They were used to judge the effectiveness and efficiency of compulsory licensing in the EU to tackle cross-border crises and helped in formulating policy options for the future.</w:t>
      </w:r>
    </w:p>
    <w:p w14:paraId="555B075A" w14:textId="32F2DDDD" w:rsidR="006B087E" w:rsidRPr="003B11BD" w:rsidRDefault="006B087E" w:rsidP="00FC6D56">
      <w:pPr>
        <w:pStyle w:val="AnnexTitle"/>
        <w:rPr>
          <w:noProof/>
        </w:rPr>
      </w:pPr>
      <w:bookmarkStart w:id="1118" w:name="_Toc120731251"/>
      <w:bookmarkStart w:id="1119" w:name="_Toc121386413"/>
      <w:bookmarkStart w:id="1120" w:name="_Toc121489637"/>
      <w:bookmarkStart w:id="1121" w:name="_Toc121496397"/>
      <w:bookmarkStart w:id="1122" w:name="_Toc121748050"/>
      <w:bookmarkStart w:id="1123" w:name="_Toc133435403"/>
      <w:r w:rsidRPr="003B11BD">
        <w:rPr>
          <w:noProof/>
        </w:rPr>
        <w:t>Annex 3: Who is affected and how?</w:t>
      </w:r>
      <w:bookmarkEnd w:id="1118"/>
      <w:bookmarkEnd w:id="1119"/>
      <w:bookmarkEnd w:id="1120"/>
      <w:bookmarkEnd w:id="1121"/>
      <w:bookmarkEnd w:id="1122"/>
      <w:bookmarkEnd w:id="1123"/>
    </w:p>
    <w:p w14:paraId="2035F671" w14:textId="10E325B1" w:rsidR="006B087E" w:rsidRPr="003B11BD" w:rsidRDefault="01D55878">
      <w:pPr>
        <w:pStyle w:val="Annexsubsections"/>
        <w:numPr>
          <w:ilvl w:val="0"/>
          <w:numId w:val="117"/>
        </w:numPr>
        <w:rPr>
          <w:noProof/>
        </w:rPr>
      </w:pPr>
      <w:r w:rsidRPr="003B11BD">
        <w:rPr>
          <w:noProof/>
        </w:rPr>
        <w:t>Practical implications of the initiative</w:t>
      </w:r>
    </w:p>
    <w:p w14:paraId="38EF853B" w14:textId="0EB4E0F0" w:rsidR="00713DBC" w:rsidRPr="003B11BD" w:rsidRDefault="37EDCBC0" w:rsidP="00713DBC">
      <w:pPr>
        <w:rPr>
          <w:noProof/>
          <w:lang w:val="en-IE"/>
        </w:rPr>
      </w:pPr>
      <w:r w:rsidRPr="003B11BD">
        <w:rPr>
          <w:noProof/>
          <w:lang w:val="en-IE"/>
        </w:rPr>
        <w:t>The new instrument is intended to make the issuing of CLs in crisis situation</w:t>
      </w:r>
      <w:r w:rsidR="0997EF86" w:rsidRPr="003B11BD">
        <w:rPr>
          <w:noProof/>
          <w:lang w:val="en-IE"/>
        </w:rPr>
        <w:t>s</w:t>
      </w:r>
      <w:r w:rsidRPr="003B11BD">
        <w:rPr>
          <w:noProof/>
          <w:lang w:val="en-IE"/>
        </w:rPr>
        <w:t xml:space="preserve"> more coherent and streamlined, especially in terms of timing. This would reduce the multiplicity of </w:t>
      </w:r>
      <w:r w:rsidR="0997EF86" w:rsidRPr="003B11BD">
        <w:rPr>
          <w:noProof/>
          <w:lang w:val="en-IE"/>
        </w:rPr>
        <w:t>authorities</w:t>
      </w:r>
      <w:r w:rsidRPr="003B11BD">
        <w:rPr>
          <w:noProof/>
          <w:lang w:val="en-IE"/>
        </w:rPr>
        <w:t xml:space="preserve"> involved in such procedures</w:t>
      </w:r>
      <w:r w:rsidR="0997EF86" w:rsidRPr="003B11BD">
        <w:rPr>
          <w:noProof/>
          <w:lang w:val="en-IE"/>
        </w:rPr>
        <w:t xml:space="preserve"> and therefore</w:t>
      </w:r>
      <w:r w:rsidRPr="003B11BD">
        <w:rPr>
          <w:noProof/>
          <w:lang w:val="en-IE"/>
        </w:rPr>
        <w:t xml:space="preserve"> increase legal certainty that is crucial for </w:t>
      </w:r>
      <w:r w:rsidR="0997EF86" w:rsidRPr="003B11BD">
        <w:rPr>
          <w:noProof/>
          <w:lang w:val="en-IE"/>
        </w:rPr>
        <w:t>patent holders/</w:t>
      </w:r>
      <w:r w:rsidRPr="003B11BD">
        <w:rPr>
          <w:noProof/>
          <w:lang w:val="en-IE"/>
        </w:rPr>
        <w:t>companies that may be concerned by a CL. The proposed changes will also improve the transparency of the process, which is especia</w:t>
      </w:r>
      <w:r w:rsidR="7D06A127" w:rsidRPr="003B11BD">
        <w:rPr>
          <w:noProof/>
          <w:lang w:val="en-IE"/>
        </w:rPr>
        <w:t>lly important for stakeholders.</w:t>
      </w:r>
      <w:r w:rsidR="00713DBC" w:rsidRPr="003B11BD">
        <w:rPr>
          <w:noProof/>
          <w:lang w:val="en-IE"/>
        </w:rPr>
        <w:t xml:space="preserve"> </w:t>
      </w:r>
      <w:r w:rsidR="00C647DB" w:rsidRPr="003B11BD">
        <w:rPr>
          <w:noProof/>
          <w:lang w:val="en-IE"/>
        </w:rPr>
        <w:t>The key stakeholders</w:t>
      </w:r>
      <w:r w:rsidR="00713DBC" w:rsidRPr="003B11BD">
        <w:rPr>
          <w:noProof/>
          <w:lang w:val="en-IE"/>
        </w:rPr>
        <w:t xml:space="preserve"> that </w:t>
      </w:r>
      <w:r w:rsidR="00C647DB" w:rsidRPr="003B11BD">
        <w:rPr>
          <w:noProof/>
          <w:lang w:val="en-IE"/>
        </w:rPr>
        <w:t>may be affected by the new provisions are the current patent holders, followed by any company that may take the role of a future manufacturer (licensee). As far as patent holders are concerned</w:t>
      </w:r>
      <w:r w:rsidR="00713DBC" w:rsidRPr="003B11BD">
        <w:rPr>
          <w:noProof/>
          <w:lang w:val="en-IE"/>
        </w:rPr>
        <w:t xml:space="preserve">, the majority of </w:t>
      </w:r>
      <w:r w:rsidR="00C647DB" w:rsidRPr="003B11BD">
        <w:rPr>
          <w:noProof/>
          <w:lang w:val="en-IE"/>
        </w:rPr>
        <w:t xml:space="preserve">such </w:t>
      </w:r>
      <w:r w:rsidR="00713DBC" w:rsidRPr="003B11BD">
        <w:rPr>
          <w:noProof/>
          <w:lang w:val="en-IE"/>
        </w:rPr>
        <w:t xml:space="preserve">companies </w:t>
      </w:r>
      <w:r w:rsidR="00C647DB" w:rsidRPr="003B11BD">
        <w:rPr>
          <w:noProof/>
          <w:lang w:val="en-IE"/>
        </w:rPr>
        <w:t>are</w:t>
      </w:r>
      <w:r w:rsidR="00713DBC" w:rsidRPr="003B11BD">
        <w:rPr>
          <w:noProof/>
          <w:lang w:val="en-IE"/>
        </w:rPr>
        <w:t xml:space="preserve"> large enterprises - a breakdown of patent applications originating from European countries shows that 75% of them were filed by large companies, 20% by individual inventors and SMEs, and 5% by universities and public research organisations.</w:t>
      </w:r>
    </w:p>
    <w:p w14:paraId="43FE8F87" w14:textId="2639BC26" w:rsidR="00713DBC" w:rsidRPr="003B11BD" w:rsidRDefault="00713DBC">
      <w:pPr>
        <w:pStyle w:val="Caption"/>
        <w:rPr>
          <w:noProof/>
          <w:lang w:val="en-IE"/>
        </w:rPr>
      </w:pPr>
      <w:bookmarkStart w:id="1124" w:name="_Ref121688573"/>
      <w:bookmarkStart w:id="1125" w:name="_Ref121733743"/>
      <w:r w:rsidRPr="003B11BD">
        <w:rPr>
          <w:noProof/>
          <w:lang w:val="en-IE"/>
        </w:rPr>
        <w:t>Figure</w:t>
      </w:r>
      <w:bookmarkEnd w:id="1124"/>
      <w:r w:rsidRPr="003B11BD">
        <w:rPr>
          <w:noProof/>
          <w:lang w:val="en-IE"/>
        </w:rPr>
        <w:t xml:space="preserve"> </w:t>
      </w:r>
      <w:r w:rsidR="00C6592A">
        <w:rPr>
          <w:noProof/>
          <w:lang w:val="en-IE"/>
        </w:rPr>
        <w:t>11</w:t>
      </w:r>
      <w:bookmarkEnd w:id="1125"/>
      <w:r w:rsidR="00594F1E" w:rsidRPr="003B11BD">
        <w:rPr>
          <w:noProof/>
          <w:lang w:val="en-IE"/>
        </w:rPr>
        <w:t>:</w:t>
      </w:r>
      <w:r w:rsidRPr="003B11BD">
        <w:rPr>
          <w:noProof/>
          <w:lang w:val="en-IE"/>
        </w:rPr>
        <w:t xml:space="preserve"> Patent applications originating from European countries by applicant type [%]</w:t>
      </w:r>
    </w:p>
    <w:p w14:paraId="0FE635A6" w14:textId="08B9DB75" w:rsidR="00713DBC" w:rsidRPr="003B11BD" w:rsidRDefault="00594F1E" w:rsidP="00713DBC">
      <w:pPr>
        <w:rPr>
          <w:noProof/>
          <w:lang w:val="en-IE"/>
        </w:rPr>
      </w:pPr>
      <w:r w:rsidRPr="003B11BD">
        <w:rPr>
          <w:noProof/>
          <w:lang w:eastAsia="en-GB"/>
        </w:rPr>
        <w:drawing>
          <wp:inline distT="0" distB="0" distL="0" distR="0" wp14:anchorId="358D8BCC" wp14:editId="1238DF30">
            <wp:extent cx="5472428" cy="21056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6">
                      <a:extLst>
                        <a:ext uri="{28A0092B-C50C-407E-A947-70E740481C1C}">
                          <a14:useLocalDpi xmlns:a14="http://schemas.microsoft.com/office/drawing/2010/main" val="0"/>
                        </a:ext>
                      </a:extLst>
                    </a:blip>
                    <a:stretch>
                      <a:fillRect/>
                    </a:stretch>
                  </pic:blipFill>
                  <pic:spPr>
                    <a:xfrm>
                      <a:off x="0" y="0"/>
                      <a:ext cx="5472428" cy="2105660"/>
                    </a:xfrm>
                    <a:prstGeom prst="rect">
                      <a:avLst/>
                    </a:prstGeom>
                  </pic:spPr>
                </pic:pic>
              </a:graphicData>
            </a:graphic>
          </wp:inline>
        </w:drawing>
      </w:r>
    </w:p>
    <w:p w14:paraId="2371F8F7" w14:textId="1FF6FB7A" w:rsidR="00713DBC" w:rsidRPr="003B11BD" w:rsidRDefault="00713DBC" w:rsidP="00242E05">
      <w:pPr>
        <w:pStyle w:val="Caption"/>
        <w:rPr>
          <w:noProof/>
          <w:lang w:val="en-IE"/>
        </w:rPr>
      </w:pPr>
      <w:r w:rsidRPr="003B11BD">
        <w:rPr>
          <w:noProof/>
          <w:lang w:val="en-IE"/>
        </w:rPr>
        <w:t>Source: Patent Index 2021 – At a glance, EPO, status: 1.2.2022</w:t>
      </w:r>
    </w:p>
    <w:p w14:paraId="08992DF0" w14:textId="77777777" w:rsidR="006B087E" w:rsidRPr="003B11BD" w:rsidRDefault="006B087E">
      <w:pPr>
        <w:pStyle w:val="Annexsubsections"/>
        <w:rPr>
          <w:noProof/>
        </w:rPr>
      </w:pPr>
      <w:r w:rsidRPr="003B11BD">
        <w:rPr>
          <w:noProof/>
        </w:rPr>
        <w:t>Summary of costs and benefits</w:t>
      </w:r>
    </w:p>
    <w:tbl>
      <w:tblPr>
        <w:tblStyle w:val="CV12"/>
        <w:tblW w:w="8647"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894"/>
        <w:gridCol w:w="1934"/>
        <w:gridCol w:w="4819"/>
      </w:tblGrid>
      <w:tr w:rsidR="008C4A83" w:rsidRPr="003B11BD" w14:paraId="3C6F47E2" w14:textId="77777777" w:rsidTr="00242E05">
        <w:tc>
          <w:tcPr>
            <w:tcW w:w="8647" w:type="dxa"/>
            <w:gridSpan w:val="3"/>
            <w:tcBorders>
              <w:top w:val="double" w:sz="4" w:space="0" w:color="auto"/>
              <w:bottom w:val="single" w:sz="4" w:space="0" w:color="auto"/>
            </w:tcBorders>
            <w:shd w:val="clear" w:color="auto" w:fill="C6D9F1" w:themeFill="text2" w:themeFillTint="33"/>
          </w:tcPr>
          <w:p w14:paraId="20FA467F" w14:textId="77777777" w:rsidR="00801268" w:rsidRPr="003B11BD" w:rsidRDefault="00801268" w:rsidP="009D4C15">
            <w:pPr>
              <w:spacing w:after="0"/>
              <w:rPr>
                <w:b/>
                <w:noProof/>
                <w:sz w:val="20"/>
                <w:lang w:val="en-IE"/>
              </w:rPr>
            </w:pPr>
            <w:r w:rsidRPr="003B11BD">
              <w:rPr>
                <w:b/>
                <w:noProof/>
                <w:sz w:val="20"/>
                <w:lang w:val="en-IE"/>
              </w:rPr>
              <w:t>I. Overview of Benefits (total for all provisions) – Preferred Option</w:t>
            </w:r>
          </w:p>
        </w:tc>
      </w:tr>
      <w:tr w:rsidR="001213EA" w:rsidRPr="003B11BD" w14:paraId="60C753F2" w14:textId="77777777" w:rsidTr="00242E05">
        <w:tc>
          <w:tcPr>
            <w:tcW w:w="1894" w:type="dxa"/>
            <w:tcBorders>
              <w:top w:val="single" w:sz="4" w:space="0" w:color="auto"/>
            </w:tcBorders>
            <w:shd w:val="clear" w:color="auto" w:fill="C6D9F1" w:themeFill="text2" w:themeFillTint="33"/>
          </w:tcPr>
          <w:p w14:paraId="14258976" w14:textId="77777777" w:rsidR="00801268" w:rsidRPr="003B11BD" w:rsidRDefault="00801268" w:rsidP="009D4C15">
            <w:pPr>
              <w:spacing w:after="0"/>
              <w:jc w:val="center"/>
              <w:rPr>
                <w:b/>
                <w:i/>
                <w:noProof/>
                <w:sz w:val="20"/>
                <w:lang w:val="en-IE"/>
              </w:rPr>
            </w:pPr>
            <w:r w:rsidRPr="003B11BD">
              <w:rPr>
                <w:b/>
                <w:i/>
                <w:noProof/>
                <w:sz w:val="20"/>
                <w:lang w:val="en-IE"/>
              </w:rPr>
              <w:t>Description</w:t>
            </w:r>
          </w:p>
        </w:tc>
        <w:tc>
          <w:tcPr>
            <w:tcW w:w="1934" w:type="dxa"/>
            <w:tcBorders>
              <w:top w:val="single" w:sz="4" w:space="0" w:color="auto"/>
            </w:tcBorders>
            <w:shd w:val="clear" w:color="auto" w:fill="C6D9F1" w:themeFill="text2" w:themeFillTint="33"/>
          </w:tcPr>
          <w:p w14:paraId="7F173DF8" w14:textId="77777777" w:rsidR="00801268" w:rsidRPr="003B11BD" w:rsidRDefault="00801268" w:rsidP="009D4C15">
            <w:pPr>
              <w:spacing w:after="0"/>
              <w:jc w:val="center"/>
              <w:rPr>
                <w:b/>
                <w:i/>
                <w:noProof/>
                <w:sz w:val="20"/>
                <w:lang w:val="en-IE"/>
              </w:rPr>
            </w:pPr>
            <w:r w:rsidRPr="003B11BD">
              <w:rPr>
                <w:b/>
                <w:i/>
                <w:noProof/>
                <w:sz w:val="20"/>
                <w:lang w:val="en-IE"/>
              </w:rPr>
              <w:t>Amount</w:t>
            </w:r>
          </w:p>
        </w:tc>
        <w:tc>
          <w:tcPr>
            <w:tcW w:w="4819" w:type="dxa"/>
            <w:tcBorders>
              <w:top w:val="single" w:sz="4" w:space="0" w:color="auto"/>
            </w:tcBorders>
            <w:shd w:val="clear" w:color="auto" w:fill="C6D9F1" w:themeFill="text2" w:themeFillTint="33"/>
            <w:tcMar>
              <w:top w:w="57" w:type="dxa"/>
              <w:left w:w="57" w:type="dxa"/>
              <w:bottom w:w="57" w:type="dxa"/>
              <w:right w:w="57" w:type="dxa"/>
            </w:tcMar>
          </w:tcPr>
          <w:p w14:paraId="39B14596" w14:textId="77777777" w:rsidR="00801268" w:rsidRPr="003B11BD" w:rsidRDefault="00801268" w:rsidP="009D4C15">
            <w:pPr>
              <w:spacing w:after="0"/>
              <w:jc w:val="center"/>
              <w:rPr>
                <w:b/>
                <w:i/>
                <w:noProof/>
                <w:sz w:val="20"/>
                <w:lang w:val="en-IE"/>
              </w:rPr>
            </w:pPr>
            <w:r w:rsidRPr="003B11BD">
              <w:rPr>
                <w:b/>
                <w:i/>
                <w:noProof/>
                <w:sz w:val="20"/>
                <w:lang w:val="en-IE"/>
              </w:rPr>
              <w:t>Comments</w:t>
            </w:r>
          </w:p>
        </w:tc>
      </w:tr>
      <w:tr w:rsidR="001213EA" w:rsidRPr="003B11BD" w14:paraId="5BCDE6FA" w14:textId="77777777" w:rsidTr="00242E05">
        <w:tc>
          <w:tcPr>
            <w:tcW w:w="8647" w:type="dxa"/>
            <w:gridSpan w:val="3"/>
            <w:tcBorders>
              <w:top w:val="double" w:sz="4" w:space="0" w:color="auto"/>
            </w:tcBorders>
            <w:shd w:val="clear" w:color="auto" w:fill="F2F2F2" w:themeFill="background1" w:themeFillShade="F2"/>
          </w:tcPr>
          <w:p w14:paraId="59EC5D8E" w14:textId="77777777" w:rsidR="00801268" w:rsidRPr="003B11BD" w:rsidRDefault="00801268" w:rsidP="009D4C15">
            <w:pPr>
              <w:spacing w:after="0"/>
              <w:jc w:val="center"/>
              <w:rPr>
                <w:b/>
                <w:i/>
                <w:noProof/>
                <w:sz w:val="20"/>
                <w:lang w:val="en-IE"/>
              </w:rPr>
            </w:pPr>
            <w:r w:rsidRPr="003B11BD">
              <w:rPr>
                <w:b/>
                <w:i/>
                <w:noProof/>
                <w:sz w:val="20"/>
                <w:lang w:val="en-IE"/>
              </w:rPr>
              <w:t>Direct benefits</w:t>
            </w:r>
          </w:p>
        </w:tc>
      </w:tr>
      <w:tr w:rsidR="008C4A83" w:rsidRPr="003B11BD" w14:paraId="77FBD9B6" w14:textId="77777777" w:rsidTr="0010202B">
        <w:trPr>
          <w:trHeight w:val="985"/>
        </w:trPr>
        <w:tc>
          <w:tcPr>
            <w:tcW w:w="1894" w:type="dxa"/>
            <w:tcBorders>
              <w:top w:val="double" w:sz="4" w:space="0" w:color="auto"/>
              <w:bottom w:val="single" w:sz="4" w:space="0" w:color="auto"/>
            </w:tcBorders>
          </w:tcPr>
          <w:p w14:paraId="0522EF39" w14:textId="74115B27" w:rsidR="00801268" w:rsidRPr="003B11BD" w:rsidRDefault="006245A0" w:rsidP="006245A0">
            <w:pPr>
              <w:spacing w:after="0"/>
              <w:rPr>
                <w:noProof/>
                <w:sz w:val="20"/>
                <w:lang w:val="en-IE"/>
              </w:rPr>
            </w:pPr>
            <w:r w:rsidRPr="003B11BD">
              <w:rPr>
                <w:noProof/>
                <w:sz w:val="20"/>
                <w:lang w:val="en-IE"/>
              </w:rPr>
              <w:t>Savings for patent holders and manufacturers (potential licensees)</w:t>
            </w:r>
          </w:p>
        </w:tc>
        <w:tc>
          <w:tcPr>
            <w:tcW w:w="1934" w:type="dxa"/>
            <w:tcBorders>
              <w:top w:val="double" w:sz="4" w:space="0" w:color="auto"/>
              <w:bottom w:val="single" w:sz="4" w:space="0" w:color="auto"/>
            </w:tcBorders>
            <w:tcMar>
              <w:top w:w="57" w:type="dxa"/>
              <w:left w:w="57" w:type="dxa"/>
              <w:bottom w:w="57" w:type="dxa"/>
              <w:right w:w="57" w:type="dxa"/>
            </w:tcMar>
          </w:tcPr>
          <w:p w14:paraId="65936655" w14:textId="4BBA8FDD" w:rsidR="0010202B" w:rsidRPr="003B11BD" w:rsidRDefault="002162A7" w:rsidP="00DE2845">
            <w:pPr>
              <w:spacing w:after="0"/>
              <w:rPr>
                <w:noProof/>
                <w:sz w:val="20"/>
                <w:lang w:val="en-IE"/>
              </w:rPr>
            </w:pPr>
            <w:r w:rsidRPr="003B11BD">
              <w:rPr>
                <w:noProof/>
                <w:sz w:val="20"/>
                <w:lang w:val="en-IE"/>
              </w:rPr>
              <w:t xml:space="preserve">75%-80% less </w:t>
            </w:r>
            <w:r w:rsidR="007E6428" w:rsidRPr="003B11BD">
              <w:rPr>
                <w:noProof/>
                <w:sz w:val="20"/>
                <w:lang w:val="en-IE"/>
              </w:rPr>
              <w:t>resources than in the baseline</w:t>
            </w:r>
            <w:r w:rsidR="0010202B" w:rsidRPr="003B11BD">
              <w:rPr>
                <w:noProof/>
                <w:sz w:val="20"/>
                <w:lang w:val="en-IE"/>
              </w:rPr>
              <w:t xml:space="preserve">, </w:t>
            </w:r>
            <w:r w:rsidR="007976EA" w:rsidRPr="003B11BD">
              <w:rPr>
                <w:noProof/>
                <w:sz w:val="20"/>
                <w:lang w:val="en-IE"/>
              </w:rPr>
              <w:t>in the event of a</w:t>
            </w:r>
            <w:r w:rsidR="0010202B" w:rsidRPr="003B11BD">
              <w:rPr>
                <w:noProof/>
                <w:sz w:val="20"/>
                <w:lang w:val="en-IE"/>
              </w:rPr>
              <w:t xml:space="preserve"> cross border crisis.</w:t>
            </w:r>
          </w:p>
          <w:p w14:paraId="28400E7D" w14:textId="42A22D69" w:rsidR="00801268" w:rsidRPr="003B11BD" w:rsidRDefault="007E6428" w:rsidP="0010202B">
            <w:pPr>
              <w:spacing w:after="0"/>
              <w:rPr>
                <w:noProof/>
                <w:sz w:val="20"/>
                <w:lang w:val="en-IE"/>
              </w:rPr>
            </w:pPr>
            <w:r w:rsidRPr="003B11BD">
              <w:rPr>
                <w:noProof/>
                <w:sz w:val="20"/>
                <w:lang w:val="en-IE"/>
              </w:rPr>
              <w:t xml:space="preserve"> </w:t>
            </w:r>
          </w:p>
        </w:tc>
        <w:tc>
          <w:tcPr>
            <w:tcW w:w="4819" w:type="dxa"/>
            <w:tcBorders>
              <w:top w:val="double" w:sz="4" w:space="0" w:color="auto"/>
              <w:bottom w:val="single" w:sz="4" w:space="0" w:color="auto"/>
            </w:tcBorders>
            <w:tcMar>
              <w:top w:w="57" w:type="dxa"/>
              <w:left w:w="57" w:type="dxa"/>
              <w:bottom w:w="57" w:type="dxa"/>
              <w:right w:w="57" w:type="dxa"/>
            </w:tcMar>
          </w:tcPr>
          <w:p w14:paraId="1FC90628" w14:textId="1827DEE9" w:rsidR="00801268" w:rsidRPr="003B11BD" w:rsidRDefault="006245A0" w:rsidP="009D4C15">
            <w:pPr>
              <w:spacing w:after="0"/>
              <w:rPr>
                <w:noProof/>
                <w:sz w:val="20"/>
                <w:lang w:val="en-IE"/>
              </w:rPr>
            </w:pPr>
            <w:r w:rsidRPr="003B11BD">
              <w:rPr>
                <w:noProof/>
                <w:sz w:val="20"/>
                <w:lang w:val="en-IE"/>
              </w:rPr>
              <w:t>The compulsory licensing negotiations would take place only once at the EU-level instead of fragmented and overlapping processes in several EU countries (or instead of ca. 4-5 procedures in each jurisdiction that could be needed otherwise)</w:t>
            </w:r>
            <w:r w:rsidR="0010202B" w:rsidRPr="003B11BD">
              <w:rPr>
                <w:noProof/>
                <w:sz w:val="20"/>
                <w:lang w:val="en-IE"/>
              </w:rPr>
              <w:t>.</w:t>
            </w:r>
          </w:p>
          <w:p w14:paraId="6261EE70" w14:textId="77777777" w:rsidR="00E84F8B" w:rsidRPr="003B11BD" w:rsidRDefault="00E84F8B" w:rsidP="009D4C15">
            <w:pPr>
              <w:spacing w:after="0"/>
              <w:rPr>
                <w:noProof/>
                <w:sz w:val="20"/>
                <w:lang w:val="en-IE"/>
              </w:rPr>
            </w:pPr>
          </w:p>
          <w:p w14:paraId="3C788E67" w14:textId="081F7AD1" w:rsidR="00801268" w:rsidRPr="003B11BD" w:rsidRDefault="00E84F8B" w:rsidP="009D4C15">
            <w:pPr>
              <w:spacing w:after="0"/>
              <w:rPr>
                <w:noProof/>
                <w:sz w:val="20"/>
                <w:lang w:val="en-IE"/>
              </w:rPr>
            </w:pPr>
            <w:r w:rsidRPr="003B11BD">
              <w:rPr>
                <w:b/>
                <w:noProof/>
                <w:sz w:val="20"/>
                <w:lang w:val="en-IE"/>
              </w:rPr>
              <w:t>Main recipients</w:t>
            </w:r>
            <w:r w:rsidRPr="003B11BD">
              <w:rPr>
                <w:noProof/>
                <w:sz w:val="20"/>
                <w:lang w:val="en-IE"/>
              </w:rPr>
              <w:t xml:space="preserve">: firms involved in </w:t>
            </w:r>
            <w:r w:rsidR="00A16682" w:rsidRPr="003B11BD">
              <w:rPr>
                <w:noProof/>
                <w:sz w:val="20"/>
                <w:lang w:val="en-IE"/>
              </w:rPr>
              <w:t xml:space="preserve">compulsory licensing </w:t>
            </w:r>
            <w:r w:rsidRPr="003B11BD">
              <w:rPr>
                <w:noProof/>
                <w:sz w:val="20"/>
                <w:lang w:val="en-IE"/>
              </w:rPr>
              <w:t xml:space="preserve">granting process. </w:t>
            </w:r>
          </w:p>
        </w:tc>
      </w:tr>
      <w:tr w:rsidR="006245A0" w:rsidRPr="003B11BD" w14:paraId="54679FAE" w14:textId="77777777" w:rsidTr="0010202B">
        <w:trPr>
          <w:trHeight w:val="985"/>
        </w:trPr>
        <w:tc>
          <w:tcPr>
            <w:tcW w:w="1894" w:type="dxa"/>
            <w:tcBorders>
              <w:top w:val="double" w:sz="4" w:space="0" w:color="auto"/>
              <w:bottom w:val="single" w:sz="4" w:space="0" w:color="auto"/>
            </w:tcBorders>
          </w:tcPr>
          <w:p w14:paraId="1C83835C" w14:textId="658B66D0" w:rsidR="006245A0" w:rsidRPr="003B11BD" w:rsidRDefault="006245A0" w:rsidP="006245A0">
            <w:pPr>
              <w:spacing w:after="0"/>
              <w:rPr>
                <w:noProof/>
                <w:sz w:val="20"/>
                <w:lang w:val="en-IE"/>
              </w:rPr>
            </w:pPr>
            <w:r w:rsidRPr="003B11BD">
              <w:rPr>
                <w:noProof/>
                <w:sz w:val="20"/>
                <w:lang w:val="en-IE"/>
              </w:rPr>
              <w:t>Savings for MS administrations.</w:t>
            </w:r>
          </w:p>
        </w:tc>
        <w:tc>
          <w:tcPr>
            <w:tcW w:w="1934" w:type="dxa"/>
            <w:tcBorders>
              <w:top w:val="double" w:sz="4" w:space="0" w:color="auto"/>
              <w:bottom w:val="single" w:sz="4" w:space="0" w:color="auto"/>
            </w:tcBorders>
            <w:tcMar>
              <w:top w:w="57" w:type="dxa"/>
              <w:left w:w="57" w:type="dxa"/>
              <w:bottom w:w="57" w:type="dxa"/>
              <w:right w:w="57" w:type="dxa"/>
            </w:tcMar>
          </w:tcPr>
          <w:p w14:paraId="7C53188A" w14:textId="7185FF84" w:rsidR="006245A0" w:rsidRPr="003B11BD" w:rsidRDefault="006245A0" w:rsidP="00DE2845">
            <w:pPr>
              <w:spacing w:after="0"/>
              <w:rPr>
                <w:noProof/>
                <w:sz w:val="20"/>
                <w:lang w:val="en-IE"/>
              </w:rPr>
            </w:pPr>
            <w:r w:rsidRPr="003B11BD">
              <w:rPr>
                <w:noProof/>
                <w:sz w:val="20"/>
                <w:lang w:val="en-IE"/>
              </w:rPr>
              <w:t>Impossible to estimate precisely</w:t>
            </w:r>
          </w:p>
        </w:tc>
        <w:tc>
          <w:tcPr>
            <w:tcW w:w="4819" w:type="dxa"/>
            <w:tcBorders>
              <w:top w:val="double" w:sz="4" w:space="0" w:color="auto"/>
              <w:bottom w:val="single" w:sz="4" w:space="0" w:color="auto"/>
            </w:tcBorders>
            <w:tcMar>
              <w:top w:w="57" w:type="dxa"/>
              <w:left w:w="57" w:type="dxa"/>
              <w:bottom w:w="57" w:type="dxa"/>
              <w:right w:w="57" w:type="dxa"/>
            </w:tcMar>
          </w:tcPr>
          <w:p w14:paraId="1EEE17C1" w14:textId="30400518" w:rsidR="006245A0" w:rsidRPr="003B11BD" w:rsidRDefault="00BB1FD6" w:rsidP="006245A0">
            <w:pPr>
              <w:spacing w:after="0"/>
              <w:rPr>
                <w:noProof/>
                <w:sz w:val="20"/>
                <w:lang w:val="en-IE"/>
              </w:rPr>
            </w:pPr>
            <w:r w:rsidRPr="003B11BD">
              <w:rPr>
                <w:noProof/>
                <w:sz w:val="20"/>
                <w:lang w:val="en-IE"/>
              </w:rPr>
              <w:t xml:space="preserve">The </w:t>
            </w:r>
            <w:r w:rsidR="006245A0" w:rsidRPr="003B11BD">
              <w:rPr>
                <w:noProof/>
                <w:sz w:val="20"/>
                <w:lang w:val="en-IE"/>
              </w:rPr>
              <w:t xml:space="preserve">cost of running compulsory licensing negotiations </w:t>
            </w:r>
            <w:r w:rsidRPr="003B11BD">
              <w:rPr>
                <w:noProof/>
                <w:sz w:val="20"/>
                <w:lang w:val="en-IE"/>
              </w:rPr>
              <w:t xml:space="preserve">are </w:t>
            </w:r>
            <w:r w:rsidR="006245A0" w:rsidRPr="003B11BD">
              <w:rPr>
                <w:noProof/>
                <w:sz w:val="20"/>
                <w:lang w:val="en-IE"/>
              </w:rPr>
              <w:t>expected to decrease</w:t>
            </w:r>
            <w:r w:rsidRPr="003B11BD">
              <w:rPr>
                <w:rStyle w:val="FootnoteReference"/>
                <w:noProof/>
                <w:sz w:val="20"/>
                <w:lang w:val="en-IE"/>
              </w:rPr>
              <w:footnoteReference w:id="152"/>
            </w:r>
            <w:r w:rsidRPr="003B11BD">
              <w:rPr>
                <w:noProof/>
                <w:sz w:val="20"/>
                <w:lang w:val="en-IE"/>
              </w:rPr>
              <w:t>,</w:t>
            </w:r>
            <w:r w:rsidR="006245A0" w:rsidRPr="003B11BD">
              <w:rPr>
                <w:noProof/>
                <w:sz w:val="20"/>
                <w:lang w:val="en-IE"/>
              </w:rPr>
              <w:t xml:space="preserve"> as resources would be </w:t>
            </w:r>
            <w:r w:rsidRPr="003B11BD">
              <w:rPr>
                <w:noProof/>
                <w:sz w:val="20"/>
                <w:lang w:val="en-IE"/>
              </w:rPr>
              <w:t xml:space="preserve">shared at EU-level </w:t>
            </w:r>
          </w:p>
          <w:p w14:paraId="1AE16836" w14:textId="05D5AAEC" w:rsidR="006245A0" w:rsidRPr="003B11BD" w:rsidRDefault="006245A0" w:rsidP="006245A0">
            <w:pPr>
              <w:spacing w:after="0"/>
              <w:rPr>
                <w:noProof/>
                <w:sz w:val="20"/>
                <w:lang w:val="en-IE"/>
              </w:rPr>
            </w:pPr>
            <w:r w:rsidRPr="003B11BD">
              <w:rPr>
                <w:b/>
                <w:noProof/>
                <w:sz w:val="20"/>
                <w:lang w:val="en-IE"/>
              </w:rPr>
              <w:t>Main recipients</w:t>
            </w:r>
            <w:r w:rsidRPr="003B11BD">
              <w:rPr>
                <w:noProof/>
                <w:sz w:val="20"/>
                <w:lang w:val="en-IE"/>
              </w:rPr>
              <w:t>: MS administrations</w:t>
            </w:r>
          </w:p>
        </w:tc>
      </w:tr>
      <w:tr w:rsidR="008C4A83" w:rsidRPr="003B11BD" w14:paraId="3A8AE06D" w14:textId="77777777" w:rsidTr="00242E05">
        <w:tc>
          <w:tcPr>
            <w:tcW w:w="1894" w:type="dxa"/>
            <w:tcBorders>
              <w:top w:val="single" w:sz="4" w:space="0" w:color="auto"/>
              <w:bottom w:val="double" w:sz="4" w:space="0" w:color="auto"/>
            </w:tcBorders>
          </w:tcPr>
          <w:p w14:paraId="13DC0239" w14:textId="3F9496CA" w:rsidR="00801268" w:rsidRPr="003B11BD" w:rsidRDefault="006F7713" w:rsidP="009D4C15">
            <w:pPr>
              <w:spacing w:after="0"/>
              <w:rPr>
                <w:noProof/>
                <w:sz w:val="20"/>
                <w:lang w:val="en-IE"/>
              </w:rPr>
            </w:pPr>
            <w:r w:rsidRPr="003B11BD">
              <w:rPr>
                <w:noProof/>
                <w:sz w:val="20"/>
                <w:lang w:val="en-IE"/>
              </w:rPr>
              <w:t>Access to critical goods in times of crisis.</w:t>
            </w:r>
          </w:p>
        </w:tc>
        <w:tc>
          <w:tcPr>
            <w:tcW w:w="1934" w:type="dxa"/>
            <w:tcBorders>
              <w:top w:val="single" w:sz="4" w:space="0" w:color="auto"/>
              <w:bottom w:val="double" w:sz="4" w:space="0" w:color="auto"/>
            </w:tcBorders>
            <w:tcMar>
              <w:top w:w="57" w:type="dxa"/>
              <w:left w:w="57" w:type="dxa"/>
              <w:bottom w:w="57" w:type="dxa"/>
              <w:right w:w="57" w:type="dxa"/>
            </w:tcMar>
          </w:tcPr>
          <w:p w14:paraId="7A4DF5C8" w14:textId="0D35E78F" w:rsidR="00801268" w:rsidRPr="003B11BD" w:rsidRDefault="00563BC6" w:rsidP="009D4C15">
            <w:pPr>
              <w:spacing w:after="0"/>
              <w:rPr>
                <w:noProof/>
                <w:sz w:val="20"/>
                <w:lang w:val="en-IE"/>
              </w:rPr>
            </w:pPr>
            <w:r w:rsidRPr="003B11BD">
              <w:rPr>
                <w:noProof/>
                <w:sz w:val="20"/>
                <w:lang w:val="en-IE"/>
              </w:rPr>
              <w:t>Impossible to estimate precisely</w:t>
            </w:r>
          </w:p>
        </w:tc>
        <w:tc>
          <w:tcPr>
            <w:tcW w:w="4819" w:type="dxa"/>
            <w:tcBorders>
              <w:top w:val="single" w:sz="4" w:space="0" w:color="auto"/>
              <w:bottom w:val="double" w:sz="4" w:space="0" w:color="auto"/>
            </w:tcBorders>
            <w:tcMar>
              <w:top w:w="57" w:type="dxa"/>
              <w:left w:w="57" w:type="dxa"/>
              <w:bottom w:w="57" w:type="dxa"/>
              <w:right w:w="57" w:type="dxa"/>
            </w:tcMar>
          </w:tcPr>
          <w:p w14:paraId="07261082" w14:textId="3E18B6F8" w:rsidR="006F7713" w:rsidRPr="003B11BD" w:rsidRDefault="006F7713" w:rsidP="006F7713">
            <w:pPr>
              <w:spacing w:after="0"/>
              <w:rPr>
                <w:noProof/>
                <w:sz w:val="20"/>
                <w:lang w:val="en-IE"/>
              </w:rPr>
            </w:pPr>
            <w:r w:rsidRPr="003B11BD">
              <w:rPr>
                <w:noProof/>
                <w:sz w:val="20"/>
                <w:lang w:val="en-IE"/>
              </w:rPr>
              <w:t>Availability of products that otherwise would not be accessible, which also prevent other costs from occurring.</w:t>
            </w:r>
          </w:p>
          <w:p w14:paraId="55302B73" w14:textId="77777777" w:rsidR="00E84F8B" w:rsidRPr="003B11BD" w:rsidRDefault="00E84F8B" w:rsidP="006F7713">
            <w:pPr>
              <w:spacing w:after="0"/>
              <w:rPr>
                <w:noProof/>
                <w:sz w:val="20"/>
                <w:lang w:val="en-IE"/>
              </w:rPr>
            </w:pPr>
          </w:p>
          <w:p w14:paraId="1BDAF8E3" w14:textId="1FF2B8A4" w:rsidR="00801268" w:rsidRPr="003B11BD" w:rsidRDefault="00E84F8B" w:rsidP="009D4C15">
            <w:pPr>
              <w:spacing w:after="0"/>
              <w:rPr>
                <w:noProof/>
                <w:sz w:val="20"/>
                <w:lang w:val="en-IE"/>
              </w:rPr>
            </w:pPr>
            <w:r w:rsidRPr="003B11BD">
              <w:rPr>
                <w:b/>
                <w:noProof/>
                <w:sz w:val="20"/>
                <w:lang w:val="en-IE"/>
              </w:rPr>
              <w:t>Main recipients:</w:t>
            </w:r>
            <w:r w:rsidRPr="003B11BD">
              <w:rPr>
                <w:noProof/>
                <w:sz w:val="20"/>
                <w:lang w:val="en-IE"/>
              </w:rPr>
              <w:t xml:space="preserve"> </w:t>
            </w:r>
            <w:r w:rsidR="006245A0" w:rsidRPr="003B11BD">
              <w:rPr>
                <w:noProof/>
                <w:sz w:val="20"/>
                <w:lang w:val="en-IE"/>
              </w:rPr>
              <w:t>EU c</w:t>
            </w:r>
            <w:r w:rsidRPr="003B11BD">
              <w:rPr>
                <w:noProof/>
                <w:sz w:val="20"/>
                <w:lang w:val="en-IE"/>
              </w:rPr>
              <w:t>itizens or firms in need of the critical goods.</w:t>
            </w:r>
          </w:p>
        </w:tc>
      </w:tr>
      <w:tr w:rsidR="003124AF" w:rsidRPr="003B11BD" w14:paraId="66A8BE0A" w14:textId="77777777" w:rsidTr="00242E05">
        <w:tc>
          <w:tcPr>
            <w:tcW w:w="8647" w:type="dxa"/>
            <w:gridSpan w:val="3"/>
            <w:shd w:val="clear" w:color="auto" w:fill="F2F2F2" w:themeFill="background1" w:themeFillShade="F2"/>
          </w:tcPr>
          <w:p w14:paraId="7CD085C4" w14:textId="13012C00" w:rsidR="00801268" w:rsidRPr="003B11BD" w:rsidRDefault="00801268" w:rsidP="009D4C15">
            <w:pPr>
              <w:spacing w:after="0"/>
              <w:jc w:val="center"/>
              <w:rPr>
                <w:b/>
                <w:i/>
                <w:noProof/>
                <w:sz w:val="20"/>
                <w:lang w:val="en-IE"/>
              </w:rPr>
            </w:pPr>
            <w:r w:rsidRPr="003B11BD">
              <w:rPr>
                <w:b/>
                <w:i/>
                <w:noProof/>
                <w:sz w:val="20"/>
                <w:lang w:val="en-IE"/>
              </w:rPr>
              <w:t>Indirect benefits</w:t>
            </w:r>
          </w:p>
        </w:tc>
      </w:tr>
      <w:tr w:rsidR="008C4A83" w:rsidRPr="003B11BD" w14:paraId="09AB98F8" w14:textId="77777777" w:rsidTr="00242E05">
        <w:tc>
          <w:tcPr>
            <w:tcW w:w="1894" w:type="dxa"/>
            <w:tcBorders>
              <w:top w:val="double" w:sz="4" w:space="0" w:color="auto"/>
            </w:tcBorders>
          </w:tcPr>
          <w:p w14:paraId="728F7FFD" w14:textId="7DCD0FCC" w:rsidR="00801268" w:rsidRPr="003B11BD" w:rsidRDefault="006F7713" w:rsidP="009D4C15">
            <w:pPr>
              <w:spacing w:after="0"/>
              <w:rPr>
                <w:noProof/>
                <w:sz w:val="20"/>
                <w:lang w:val="en-IE"/>
              </w:rPr>
            </w:pPr>
            <w:r w:rsidRPr="003B11BD">
              <w:rPr>
                <w:noProof/>
                <w:sz w:val="20"/>
                <w:lang w:val="en-IE"/>
              </w:rPr>
              <w:t>Better overall EU-level response to crisis</w:t>
            </w:r>
            <w:r w:rsidR="00F720E4" w:rsidRPr="003B11BD">
              <w:rPr>
                <w:noProof/>
                <w:sz w:val="20"/>
                <w:lang w:val="en-IE"/>
              </w:rPr>
              <w:t xml:space="preserve"> due to</w:t>
            </w:r>
            <w:r w:rsidRPr="003B11BD">
              <w:rPr>
                <w:noProof/>
                <w:sz w:val="20"/>
                <w:lang w:val="en-IE"/>
              </w:rPr>
              <w:t xml:space="preserve"> </w:t>
            </w:r>
            <w:r w:rsidR="00F720E4" w:rsidRPr="003B11BD">
              <w:rPr>
                <w:noProof/>
                <w:sz w:val="20"/>
                <w:lang w:val="en-IE"/>
              </w:rPr>
              <w:t xml:space="preserve">availability of </w:t>
            </w:r>
            <w:r w:rsidRPr="003B11BD">
              <w:rPr>
                <w:noProof/>
                <w:sz w:val="20"/>
                <w:lang w:val="en-IE"/>
              </w:rPr>
              <w:t>critical goods</w:t>
            </w:r>
            <w:r w:rsidR="00F720E4" w:rsidRPr="003B11BD">
              <w:rPr>
                <w:noProof/>
                <w:sz w:val="20"/>
                <w:lang w:val="en-IE"/>
              </w:rPr>
              <w:t>.</w:t>
            </w:r>
          </w:p>
        </w:tc>
        <w:tc>
          <w:tcPr>
            <w:tcW w:w="1934" w:type="dxa"/>
            <w:tcBorders>
              <w:top w:val="double" w:sz="4" w:space="0" w:color="auto"/>
            </w:tcBorders>
            <w:tcMar>
              <w:top w:w="57" w:type="dxa"/>
              <w:left w:w="57" w:type="dxa"/>
              <w:bottom w:w="57" w:type="dxa"/>
              <w:right w:w="57" w:type="dxa"/>
            </w:tcMar>
          </w:tcPr>
          <w:p w14:paraId="062DFE81" w14:textId="025B264D" w:rsidR="00801268" w:rsidRPr="003B11BD" w:rsidRDefault="00BB1FD6" w:rsidP="009D4C15">
            <w:pPr>
              <w:spacing w:after="0"/>
              <w:rPr>
                <w:noProof/>
                <w:sz w:val="20"/>
                <w:lang w:val="en-IE"/>
              </w:rPr>
            </w:pPr>
            <w:r w:rsidRPr="003B11BD">
              <w:rPr>
                <w:noProof/>
                <w:sz w:val="20"/>
                <w:lang w:val="en-IE"/>
              </w:rPr>
              <w:t>Impossible to estimate precisely</w:t>
            </w:r>
          </w:p>
        </w:tc>
        <w:tc>
          <w:tcPr>
            <w:tcW w:w="4819" w:type="dxa"/>
            <w:tcBorders>
              <w:top w:val="double" w:sz="4" w:space="0" w:color="auto"/>
            </w:tcBorders>
            <w:tcMar>
              <w:top w:w="57" w:type="dxa"/>
              <w:left w:w="57" w:type="dxa"/>
              <w:bottom w:w="57" w:type="dxa"/>
              <w:right w:w="57" w:type="dxa"/>
            </w:tcMar>
          </w:tcPr>
          <w:p w14:paraId="4D70606C" w14:textId="2719CFCF" w:rsidR="006F7713" w:rsidRPr="003B11BD" w:rsidRDefault="006F7713" w:rsidP="006F7713">
            <w:pPr>
              <w:spacing w:after="0"/>
              <w:rPr>
                <w:noProof/>
                <w:sz w:val="20"/>
                <w:lang w:val="en-IE"/>
              </w:rPr>
            </w:pPr>
            <w:r w:rsidRPr="003B11BD">
              <w:rPr>
                <w:noProof/>
                <w:sz w:val="20"/>
                <w:lang w:val="en-IE"/>
              </w:rPr>
              <w:t>Wide socio-economic benefits due to limited scale of a crisis</w:t>
            </w:r>
          </w:p>
          <w:p w14:paraId="244606BA" w14:textId="77777777" w:rsidR="00E84F8B" w:rsidRPr="003B11BD" w:rsidRDefault="00E84F8B" w:rsidP="006F7713">
            <w:pPr>
              <w:spacing w:after="0"/>
              <w:rPr>
                <w:noProof/>
                <w:sz w:val="20"/>
                <w:lang w:val="en-IE"/>
              </w:rPr>
            </w:pPr>
          </w:p>
          <w:p w14:paraId="2D895C6D" w14:textId="5FB4EA4B" w:rsidR="00801268" w:rsidRPr="003B11BD" w:rsidRDefault="00A8368E" w:rsidP="00CB1D9F">
            <w:pPr>
              <w:spacing w:after="0"/>
              <w:rPr>
                <w:noProof/>
                <w:sz w:val="20"/>
                <w:lang w:val="en-IE"/>
              </w:rPr>
            </w:pPr>
            <w:r w:rsidRPr="003B11BD">
              <w:rPr>
                <w:b/>
                <w:noProof/>
                <w:sz w:val="20"/>
                <w:lang w:val="en-IE"/>
              </w:rPr>
              <w:t>Main recipient</w:t>
            </w:r>
            <w:r w:rsidR="00E84F8B" w:rsidRPr="003B11BD">
              <w:rPr>
                <w:b/>
                <w:noProof/>
                <w:sz w:val="20"/>
                <w:lang w:val="en-IE"/>
              </w:rPr>
              <w:t>s</w:t>
            </w:r>
            <w:r w:rsidRPr="003B11BD">
              <w:rPr>
                <w:b/>
                <w:noProof/>
                <w:sz w:val="20"/>
                <w:lang w:val="en-IE"/>
              </w:rPr>
              <w:t>:</w:t>
            </w:r>
            <w:r w:rsidRPr="003B11BD">
              <w:rPr>
                <w:noProof/>
                <w:sz w:val="20"/>
                <w:lang w:val="en-IE"/>
              </w:rPr>
              <w:t xml:space="preserve"> </w:t>
            </w:r>
            <w:r w:rsidR="00CB1D9F">
              <w:rPr>
                <w:noProof/>
                <w:sz w:val="20"/>
                <w:lang w:val="en-IE"/>
              </w:rPr>
              <w:t>EU c</w:t>
            </w:r>
            <w:r w:rsidR="0051352E" w:rsidRPr="003B11BD">
              <w:rPr>
                <w:noProof/>
                <w:sz w:val="20"/>
                <w:lang w:val="en-IE"/>
              </w:rPr>
              <w:t xml:space="preserve">itizens / </w:t>
            </w:r>
            <w:r w:rsidR="00782E46" w:rsidRPr="003B11BD">
              <w:rPr>
                <w:noProof/>
                <w:sz w:val="20"/>
                <w:lang w:val="en-IE"/>
              </w:rPr>
              <w:t xml:space="preserve">the entire </w:t>
            </w:r>
            <w:r w:rsidRPr="003B11BD">
              <w:rPr>
                <w:noProof/>
                <w:sz w:val="20"/>
                <w:lang w:val="en-IE"/>
              </w:rPr>
              <w:t>society</w:t>
            </w:r>
            <w:r w:rsidR="00782E46" w:rsidRPr="003B11BD">
              <w:rPr>
                <w:noProof/>
                <w:sz w:val="20"/>
                <w:lang w:val="en-IE"/>
              </w:rPr>
              <w:t>.</w:t>
            </w:r>
          </w:p>
        </w:tc>
      </w:tr>
      <w:tr w:rsidR="001213EA" w:rsidRPr="003B11BD" w14:paraId="0572E293" w14:textId="77777777" w:rsidTr="00242E05">
        <w:tc>
          <w:tcPr>
            <w:tcW w:w="8647" w:type="dxa"/>
            <w:gridSpan w:val="3"/>
            <w:tcBorders>
              <w:top w:val="double" w:sz="4" w:space="0" w:color="auto"/>
              <w:bottom w:val="double" w:sz="4" w:space="0" w:color="auto"/>
            </w:tcBorders>
            <w:shd w:val="clear" w:color="auto" w:fill="F2F2F2" w:themeFill="background1" w:themeFillShade="F2"/>
          </w:tcPr>
          <w:p w14:paraId="5DAE5EAC" w14:textId="5A059F11" w:rsidR="00801268" w:rsidRPr="003B11BD" w:rsidRDefault="00801268" w:rsidP="009D4C15">
            <w:pPr>
              <w:spacing w:after="0"/>
              <w:jc w:val="center"/>
              <w:rPr>
                <w:b/>
                <w:i/>
                <w:noProof/>
                <w:sz w:val="20"/>
                <w:lang w:val="en-IE"/>
              </w:rPr>
            </w:pPr>
            <w:r w:rsidRPr="003B11BD">
              <w:rPr>
                <w:b/>
                <w:i/>
                <w:noProof/>
                <w:sz w:val="20"/>
                <w:lang w:val="en-IE"/>
              </w:rPr>
              <w:t>Administrative cost savings related to the ‘one in, one out’ approach*</w:t>
            </w:r>
          </w:p>
        </w:tc>
      </w:tr>
      <w:tr w:rsidR="00073F92" w:rsidRPr="003B11BD" w14:paraId="5E916E04" w14:textId="77777777" w:rsidTr="00242E05">
        <w:tc>
          <w:tcPr>
            <w:tcW w:w="1894" w:type="dxa"/>
          </w:tcPr>
          <w:p w14:paraId="0A6B9270" w14:textId="5C8BC629" w:rsidR="00801268" w:rsidRPr="003B11BD" w:rsidRDefault="00C85A73" w:rsidP="009D4C15">
            <w:pPr>
              <w:spacing w:after="0"/>
              <w:rPr>
                <w:noProof/>
                <w:sz w:val="20"/>
                <w:lang w:val="en-IE"/>
              </w:rPr>
            </w:pPr>
            <w:r w:rsidRPr="003B11BD">
              <w:rPr>
                <w:noProof/>
                <w:sz w:val="20"/>
                <w:lang w:val="en-IE"/>
              </w:rPr>
              <w:t>n.a.</w:t>
            </w:r>
          </w:p>
        </w:tc>
        <w:tc>
          <w:tcPr>
            <w:tcW w:w="1934" w:type="dxa"/>
            <w:tcMar>
              <w:top w:w="57" w:type="dxa"/>
              <w:left w:w="57" w:type="dxa"/>
              <w:bottom w:w="57" w:type="dxa"/>
              <w:right w:w="57" w:type="dxa"/>
            </w:tcMar>
          </w:tcPr>
          <w:p w14:paraId="5BDD7F32" w14:textId="35A6F73E" w:rsidR="00801268" w:rsidRPr="003B11BD" w:rsidRDefault="00C85A73" w:rsidP="009D4C15">
            <w:pPr>
              <w:spacing w:after="0"/>
              <w:rPr>
                <w:noProof/>
                <w:sz w:val="20"/>
                <w:lang w:val="en-IE"/>
              </w:rPr>
            </w:pPr>
            <w:r w:rsidRPr="003B11BD">
              <w:rPr>
                <w:noProof/>
                <w:sz w:val="20"/>
                <w:lang w:val="en-IE"/>
              </w:rPr>
              <w:t>n.a.</w:t>
            </w:r>
          </w:p>
        </w:tc>
        <w:tc>
          <w:tcPr>
            <w:tcW w:w="4819" w:type="dxa"/>
            <w:tcMar>
              <w:top w:w="57" w:type="dxa"/>
              <w:left w:w="57" w:type="dxa"/>
              <w:bottom w:w="57" w:type="dxa"/>
              <w:right w:w="57" w:type="dxa"/>
            </w:tcMar>
          </w:tcPr>
          <w:p w14:paraId="5B6576F5" w14:textId="72525B77" w:rsidR="00801268" w:rsidRPr="003B11BD" w:rsidRDefault="00C85A73" w:rsidP="009D4C15">
            <w:pPr>
              <w:spacing w:after="0"/>
              <w:rPr>
                <w:noProof/>
                <w:sz w:val="20"/>
                <w:lang w:val="en-IE"/>
              </w:rPr>
            </w:pPr>
            <w:r w:rsidRPr="003B11BD">
              <w:rPr>
                <w:noProof/>
                <w:sz w:val="20"/>
                <w:lang w:val="en-IE"/>
              </w:rPr>
              <w:t>n.a.</w:t>
            </w:r>
          </w:p>
        </w:tc>
      </w:tr>
    </w:tbl>
    <w:p w14:paraId="0C368791" w14:textId="32C375A7" w:rsidR="00801268" w:rsidRPr="003B11BD" w:rsidRDefault="00801268" w:rsidP="000E3086">
      <w:pPr>
        <w:rPr>
          <w:i/>
          <w:noProof/>
          <w:sz w:val="20"/>
          <w:lang w:val="en-IE"/>
        </w:rPr>
      </w:pPr>
    </w:p>
    <w:tbl>
      <w:tblPr>
        <w:tblStyle w:val="CV11"/>
        <w:tblW w:w="9072"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36"/>
        <w:gridCol w:w="1276"/>
        <w:gridCol w:w="1041"/>
        <w:gridCol w:w="1035"/>
        <w:gridCol w:w="901"/>
        <w:gridCol w:w="1559"/>
        <w:gridCol w:w="1134"/>
        <w:gridCol w:w="1190"/>
      </w:tblGrid>
      <w:tr w:rsidR="00493B7C" w:rsidRPr="003B11BD" w14:paraId="27CACACA" w14:textId="77777777" w:rsidTr="34EF0D43">
        <w:trPr>
          <w:jc w:val="center"/>
        </w:trPr>
        <w:tc>
          <w:tcPr>
            <w:tcW w:w="9072" w:type="dxa"/>
            <w:gridSpan w:val="8"/>
            <w:shd w:val="clear" w:color="auto" w:fill="C6D9F1" w:themeFill="text2" w:themeFillTint="33"/>
            <w:tcMar>
              <w:top w:w="57" w:type="dxa"/>
              <w:left w:w="57" w:type="dxa"/>
              <w:bottom w:w="57" w:type="dxa"/>
              <w:right w:w="57" w:type="dxa"/>
            </w:tcMar>
          </w:tcPr>
          <w:p w14:paraId="4221DA91" w14:textId="77777777" w:rsidR="00801268" w:rsidRPr="003B11BD" w:rsidRDefault="00801268" w:rsidP="009D4C15">
            <w:pPr>
              <w:spacing w:after="0"/>
              <w:rPr>
                <w:b/>
                <w:noProof/>
                <w:sz w:val="20"/>
                <w:szCs w:val="20"/>
                <w:lang w:val="en-IE"/>
              </w:rPr>
            </w:pPr>
            <w:r w:rsidRPr="003B11BD">
              <w:rPr>
                <w:b/>
                <w:noProof/>
                <w:sz w:val="20"/>
                <w:szCs w:val="20"/>
                <w:lang w:val="en-IE"/>
              </w:rPr>
              <w:t>II. Overview of costs – Preferred option</w:t>
            </w:r>
          </w:p>
        </w:tc>
      </w:tr>
      <w:tr w:rsidR="00E54D0E" w:rsidRPr="003B11BD" w14:paraId="2E5B92E0" w14:textId="77777777" w:rsidTr="34EF0D43">
        <w:trPr>
          <w:jc w:val="center"/>
        </w:trPr>
        <w:tc>
          <w:tcPr>
            <w:tcW w:w="2212"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14:paraId="29D26041" w14:textId="77777777" w:rsidR="00801268" w:rsidRPr="003B11BD" w:rsidRDefault="00801268" w:rsidP="009D4C15">
            <w:pPr>
              <w:spacing w:after="0"/>
              <w:rPr>
                <w:b/>
                <w:noProof/>
                <w:sz w:val="20"/>
                <w:szCs w:val="20"/>
                <w:lang w:val="en-IE"/>
              </w:rPr>
            </w:pPr>
          </w:p>
        </w:tc>
        <w:tc>
          <w:tcPr>
            <w:tcW w:w="2076" w:type="dxa"/>
            <w:gridSpan w:val="2"/>
            <w:tcBorders>
              <w:left w:val="double" w:sz="4" w:space="0" w:color="auto"/>
            </w:tcBorders>
            <w:tcMar>
              <w:top w:w="57" w:type="dxa"/>
              <w:left w:w="57" w:type="dxa"/>
              <w:bottom w:w="57" w:type="dxa"/>
              <w:right w:w="57" w:type="dxa"/>
            </w:tcMar>
          </w:tcPr>
          <w:p w14:paraId="06C37249" w14:textId="77777777" w:rsidR="00801268" w:rsidRPr="003B11BD" w:rsidRDefault="00801268" w:rsidP="009D4C15">
            <w:pPr>
              <w:spacing w:after="0"/>
              <w:jc w:val="center"/>
              <w:rPr>
                <w:b/>
                <w:noProof/>
                <w:sz w:val="20"/>
                <w:szCs w:val="20"/>
                <w:lang w:val="en-IE"/>
              </w:rPr>
            </w:pPr>
            <w:r w:rsidRPr="003B11BD">
              <w:rPr>
                <w:b/>
                <w:noProof/>
                <w:sz w:val="20"/>
                <w:szCs w:val="20"/>
                <w:lang w:val="en-IE"/>
              </w:rPr>
              <w:t>Citizens/Consumers</w:t>
            </w:r>
          </w:p>
        </w:tc>
        <w:tc>
          <w:tcPr>
            <w:tcW w:w="2460" w:type="dxa"/>
            <w:gridSpan w:val="2"/>
            <w:tcMar>
              <w:top w:w="57" w:type="dxa"/>
              <w:left w:w="57" w:type="dxa"/>
              <w:bottom w:w="57" w:type="dxa"/>
              <w:right w:w="57" w:type="dxa"/>
            </w:tcMar>
          </w:tcPr>
          <w:p w14:paraId="130417BD" w14:textId="77777777" w:rsidR="00801268" w:rsidRPr="003B11BD" w:rsidRDefault="00801268" w:rsidP="009D4C15">
            <w:pPr>
              <w:spacing w:after="0"/>
              <w:jc w:val="center"/>
              <w:rPr>
                <w:b/>
                <w:noProof/>
                <w:sz w:val="20"/>
                <w:szCs w:val="20"/>
                <w:lang w:val="en-IE"/>
              </w:rPr>
            </w:pPr>
            <w:r w:rsidRPr="003B11BD">
              <w:rPr>
                <w:b/>
                <w:noProof/>
                <w:sz w:val="20"/>
                <w:szCs w:val="20"/>
                <w:lang w:val="en-IE"/>
              </w:rPr>
              <w:t>Businesses</w:t>
            </w:r>
          </w:p>
        </w:tc>
        <w:tc>
          <w:tcPr>
            <w:tcW w:w="2324" w:type="dxa"/>
            <w:gridSpan w:val="2"/>
            <w:tcMar>
              <w:top w:w="57" w:type="dxa"/>
              <w:left w:w="57" w:type="dxa"/>
              <w:bottom w:w="57" w:type="dxa"/>
              <w:right w:w="57" w:type="dxa"/>
            </w:tcMar>
          </w:tcPr>
          <w:p w14:paraId="75F8B834" w14:textId="77777777" w:rsidR="00801268" w:rsidRPr="003B11BD" w:rsidRDefault="00801268" w:rsidP="009D4C15">
            <w:pPr>
              <w:spacing w:after="0"/>
              <w:jc w:val="center"/>
              <w:rPr>
                <w:b/>
                <w:noProof/>
                <w:sz w:val="20"/>
                <w:szCs w:val="20"/>
                <w:lang w:val="en-IE"/>
              </w:rPr>
            </w:pPr>
            <w:r w:rsidRPr="003B11BD">
              <w:rPr>
                <w:b/>
                <w:noProof/>
                <w:sz w:val="20"/>
                <w:szCs w:val="20"/>
                <w:lang w:val="en-IE"/>
              </w:rPr>
              <w:t>Administrations</w:t>
            </w:r>
          </w:p>
          <w:p w14:paraId="1F0F7080" w14:textId="383CC781" w:rsidR="00145475" w:rsidRPr="003B11BD" w:rsidRDefault="00145475" w:rsidP="009D4C15">
            <w:pPr>
              <w:spacing w:after="0"/>
              <w:jc w:val="center"/>
              <w:rPr>
                <w:b/>
                <w:noProof/>
                <w:sz w:val="20"/>
                <w:szCs w:val="20"/>
                <w:lang w:val="en-IE"/>
              </w:rPr>
            </w:pPr>
            <w:r w:rsidRPr="003B11BD">
              <w:rPr>
                <w:b/>
                <w:noProof/>
                <w:sz w:val="20"/>
                <w:szCs w:val="20"/>
                <w:lang w:val="en-IE"/>
              </w:rPr>
              <w:t>(</w:t>
            </w:r>
            <w:r w:rsidR="00270487" w:rsidRPr="003B11BD">
              <w:rPr>
                <w:b/>
                <w:noProof/>
                <w:sz w:val="20"/>
                <w:szCs w:val="20"/>
                <w:lang w:val="en-IE"/>
              </w:rPr>
              <w:t>EU countries</w:t>
            </w:r>
            <w:r w:rsidRPr="003B11BD">
              <w:rPr>
                <w:b/>
                <w:noProof/>
                <w:sz w:val="20"/>
                <w:szCs w:val="20"/>
                <w:lang w:val="en-IE"/>
              </w:rPr>
              <w:t>)</w:t>
            </w:r>
          </w:p>
        </w:tc>
      </w:tr>
      <w:tr w:rsidR="00E54D0E" w:rsidRPr="003B11BD" w14:paraId="065D9882" w14:textId="77777777" w:rsidTr="34EF0D43">
        <w:trPr>
          <w:jc w:val="center"/>
        </w:trPr>
        <w:tc>
          <w:tcPr>
            <w:tcW w:w="2212" w:type="dxa"/>
            <w:gridSpan w:val="2"/>
            <w:vMerge/>
            <w:tcBorders>
              <w:tl2br w:val="double" w:sz="4" w:space="0" w:color="auto"/>
            </w:tcBorders>
            <w:tcMar>
              <w:top w:w="57" w:type="dxa"/>
              <w:left w:w="57" w:type="dxa"/>
              <w:bottom w:w="57" w:type="dxa"/>
              <w:right w:w="57" w:type="dxa"/>
            </w:tcMar>
          </w:tcPr>
          <w:p w14:paraId="0A1E73F2" w14:textId="77777777" w:rsidR="00801268" w:rsidRPr="003B11BD" w:rsidRDefault="00801268" w:rsidP="009D4C15">
            <w:pPr>
              <w:spacing w:after="0"/>
              <w:rPr>
                <w:b/>
                <w:noProof/>
                <w:sz w:val="20"/>
                <w:szCs w:val="20"/>
                <w:lang w:val="en-IE"/>
              </w:rPr>
            </w:pPr>
          </w:p>
        </w:tc>
        <w:tc>
          <w:tcPr>
            <w:tcW w:w="1041" w:type="dxa"/>
            <w:tcBorders>
              <w:left w:val="double" w:sz="4" w:space="0" w:color="auto"/>
              <w:bottom w:val="double" w:sz="4" w:space="0" w:color="auto"/>
            </w:tcBorders>
            <w:tcMar>
              <w:top w:w="57" w:type="dxa"/>
              <w:left w:w="57" w:type="dxa"/>
              <w:bottom w:w="57" w:type="dxa"/>
              <w:right w:w="57" w:type="dxa"/>
            </w:tcMar>
          </w:tcPr>
          <w:p w14:paraId="4D52B2DA" w14:textId="77777777" w:rsidR="00801268" w:rsidRPr="003B11BD" w:rsidRDefault="00801268" w:rsidP="009D4C15">
            <w:pPr>
              <w:spacing w:after="0"/>
              <w:jc w:val="center"/>
              <w:rPr>
                <w:b/>
                <w:noProof/>
                <w:sz w:val="20"/>
                <w:szCs w:val="20"/>
                <w:lang w:val="en-IE"/>
              </w:rPr>
            </w:pPr>
            <w:r w:rsidRPr="003B11BD">
              <w:rPr>
                <w:b/>
                <w:noProof/>
                <w:sz w:val="20"/>
                <w:szCs w:val="20"/>
                <w:lang w:val="en-IE"/>
              </w:rPr>
              <w:t>One-off</w:t>
            </w:r>
          </w:p>
        </w:tc>
        <w:tc>
          <w:tcPr>
            <w:tcW w:w="1035" w:type="dxa"/>
            <w:tcBorders>
              <w:bottom w:val="double" w:sz="4" w:space="0" w:color="auto"/>
            </w:tcBorders>
            <w:tcMar>
              <w:top w:w="57" w:type="dxa"/>
              <w:left w:w="57" w:type="dxa"/>
              <w:bottom w:w="57" w:type="dxa"/>
              <w:right w:w="57" w:type="dxa"/>
            </w:tcMar>
          </w:tcPr>
          <w:p w14:paraId="78A427EA" w14:textId="77777777" w:rsidR="00801268" w:rsidRPr="003B11BD" w:rsidRDefault="00801268" w:rsidP="009D4C15">
            <w:pPr>
              <w:spacing w:after="0"/>
              <w:jc w:val="center"/>
              <w:rPr>
                <w:b/>
                <w:noProof/>
                <w:sz w:val="20"/>
                <w:szCs w:val="20"/>
                <w:lang w:val="en-IE"/>
              </w:rPr>
            </w:pPr>
            <w:r w:rsidRPr="003B11BD">
              <w:rPr>
                <w:b/>
                <w:noProof/>
                <w:sz w:val="20"/>
                <w:szCs w:val="20"/>
                <w:lang w:val="en-IE"/>
              </w:rPr>
              <w:t>Recurrent</w:t>
            </w:r>
          </w:p>
        </w:tc>
        <w:tc>
          <w:tcPr>
            <w:tcW w:w="901" w:type="dxa"/>
            <w:tcBorders>
              <w:bottom w:val="double" w:sz="4" w:space="0" w:color="auto"/>
            </w:tcBorders>
            <w:tcMar>
              <w:top w:w="57" w:type="dxa"/>
              <w:left w:w="57" w:type="dxa"/>
              <w:bottom w:w="57" w:type="dxa"/>
              <w:right w:w="57" w:type="dxa"/>
            </w:tcMar>
          </w:tcPr>
          <w:p w14:paraId="4C9C2A3A" w14:textId="77777777" w:rsidR="00801268" w:rsidRPr="003B11BD" w:rsidRDefault="00801268" w:rsidP="009D4C15">
            <w:pPr>
              <w:spacing w:after="0"/>
              <w:jc w:val="center"/>
              <w:rPr>
                <w:b/>
                <w:noProof/>
                <w:sz w:val="20"/>
                <w:szCs w:val="20"/>
                <w:lang w:val="en-IE"/>
              </w:rPr>
            </w:pPr>
            <w:r w:rsidRPr="003B11BD">
              <w:rPr>
                <w:b/>
                <w:noProof/>
                <w:sz w:val="20"/>
                <w:szCs w:val="20"/>
                <w:lang w:val="en-IE"/>
              </w:rPr>
              <w:t>One-off</w:t>
            </w:r>
          </w:p>
        </w:tc>
        <w:tc>
          <w:tcPr>
            <w:tcW w:w="1559" w:type="dxa"/>
            <w:tcBorders>
              <w:bottom w:val="double" w:sz="4" w:space="0" w:color="auto"/>
            </w:tcBorders>
            <w:tcMar>
              <w:top w:w="57" w:type="dxa"/>
              <w:left w:w="57" w:type="dxa"/>
              <w:bottom w:w="57" w:type="dxa"/>
              <w:right w:w="57" w:type="dxa"/>
            </w:tcMar>
          </w:tcPr>
          <w:p w14:paraId="1E0CD468" w14:textId="49089717" w:rsidR="00801268" w:rsidRPr="003B11BD" w:rsidRDefault="00801268" w:rsidP="009D4C15">
            <w:pPr>
              <w:spacing w:after="0"/>
              <w:jc w:val="center"/>
              <w:rPr>
                <w:b/>
                <w:noProof/>
                <w:sz w:val="20"/>
                <w:szCs w:val="20"/>
                <w:lang w:val="en-IE"/>
              </w:rPr>
            </w:pPr>
            <w:r w:rsidRPr="003B11BD">
              <w:rPr>
                <w:b/>
                <w:noProof/>
                <w:sz w:val="20"/>
                <w:szCs w:val="20"/>
                <w:lang w:val="en-IE"/>
              </w:rPr>
              <w:t>Recurrent</w:t>
            </w:r>
            <w:r w:rsidR="00314B12" w:rsidRPr="003B11BD">
              <w:rPr>
                <w:rStyle w:val="FootnoteReference"/>
                <w:noProof/>
                <w:sz w:val="20"/>
                <w:szCs w:val="20"/>
                <w:lang w:val="en-IE"/>
              </w:rPr>
              <w:footnoteReference w:id="153"/>
            </w:r>
          </w:p>
        </w:tc>
        <w:tc>
          <w:tcPr>
            <w:tcW w:w="1134" w:type="dxa"/>
            <w:tcBorders>
              <w:bottom w:val="double" w:sz="4" w:space="0" w:color="auto"/>
            </w:tcBorders>
            <w:tcMar>
              <w:top w:w="57" w:type="dxa"/>
              <w:left w:w="57" w:type="dxa"/>
              <w:bottom w:w="57" w:type="dxa"/>
              <w:right w:w="57" w:type="dxa"/>
            </w:tcMar>
          </w:tcPr>
          <w:p w14:paraId="6D3D4B62" w14:textId="77777777" w:rsidR="00801268" w:rsidRPr="003B11BD" w:rsidRDefault="00801268" w:rsidP="009D4C15">
            <w:pPr>
              <w:spacing w:after="0"/>
              <w:jc w:val="center"/>
              <w:rPr>
                <w:b/>
                <w:noProof/>
                <w:sz w:val="20"/>
                <w:szCs w:val="20"/>
                <w:lang w:val="en-IE"/>
              </w:rPr>
            </w:pPr>
            <w:r w:rsidRPr="003B11BD">
              <w:rPr>
                <w:b/>
                <w:noProof/>
                <w:sz w:val="20"/>
                <w:szCs w:val="20"/>
                <w:lang w:val="en-IE"/>
              </w:rPr>
              <w:t>One-off</w:t>
            </w:r>
          </w:p>
        </w:tc>
        <w:tc>
          <w:tcPr>
            <w:tcW w:w="1190" w:type="dxa"/>
            <w:tcBorders>
              <w:bottom w:val="double" w:sz="4" w:space="0" w:color="auto"/>
            </w:tcBorders>
            <w:tcMar>
              <w:top w:w="57" w:type="dxa"/>
              <w:left w:w="57" w:type="dxa"/>
              <w:bottom w:w="57" w:type="dxa"/>
              <w:right w:w="57" w:type="dxa"/>
            </w:tcMar>
          </w:tcPr>
          <w:p w14:paraId="6381D1E1" w14:textId="4970B603" w:rsidR="00801268" w:rsidRPr="003B11BD" w:rsidRDefault="00801268" w:rsidP="00314B12">
            <w:pPr>
              <w:spacing w:after="0"/>
              <w:jc w:val="center"/>
              <w:rPr>
                <w:b/>
                <w:noProof/>
                <w:sz w:val="20"/>
                <w:szCs w:val="20"/>
                <w:lang w:val="en-IE"/>
              </w:rPr>
            </w:pPr>
            <w:r w:rsidRPr="003B11BD">
              <w:rPr>
                <w:b/>
                <w:noProof/>
                <w:sz w:val="20"/>
                <w:szCs w:val="20"/>
                <w:lang w:val="en-IE"/>
              </w:rPr>
              <w:t>Recurrent</w:t>
            </w:r>
          </w:p>
        </w:tc>
      </w:tr>
      <w:tr w:rsidR="00493B7C" w:rsidRPr="003B11BD" w14:paraId="175B5F70" w14:textId="77777777" w:rsidTr="34EF0D43">
        <w:trPr>
          <w:trHeight w:val="307"/>
          <w:jc w:val="center"/>
        </w:trPr>
        <w:tc>
          <w:tcPr>
            <w:tcW w:w="936" w:type="dxa"/>
            <w:vMerge w:val="restart"/>
            <w:tcMar>
              <w:top w:w="57" w:type="dxa"/>
              <w:left w:w="57" w:type="dxa"/>
              <w:bottom w:w="57" w:type="dxa"/>
              <w:right w:w="57" w:type="dxa"/>
            </w:tcMar>
            <w:vAlign w:val="center"/>
          </w:tcPr>
          <w:p w14:paraId="4FB058B1" w14:textId="5EB84A51" w:rsidR="00801268" w:rsidRPr="003B11BD" w:rsidRDefault="000211EC" w:rsidP="000211EC">
            <w:pPr>
              <w:spacing w:after="0"/>
              <w:rPr>
                <w:noProof/>
                <w:sz w:val="20"/>
                <w:szCs w:val="20"/>
                <w:lang w:val="en-IE"/>
              </w:rPr>
            </w:pPr>
            <w:r w:rsidRPr="003B11BD">
              <w:rPr>
                <w:noProof/>
                <w:sz w:val="20"/>
                <w:szCs w:val="20"/>
                <w:lang w:val="en-IE"/>
              </w:rPr>
              <w:t xml:space="preserve">Create EU-level </w:t>
            </w:r>
            <w:r w:rsidR="00A16682" w:rsidRPr="003B11BD">
              <w:rPr>
                <w:noProof/>
                <w:sz w:val="20"/>
                <w:szCs w:val="20"/>
                <w:lang w:val="en-IE"/>
              </w:rPr>
              <w:t xml:space="preserve">compulsory licensing </w:t>
            </w:r>
            <w:r w:rsidRPr="003B11BD">
              <w:rPr>
                <w:noProof/>
                <w:sz w:val="20"/>
                <w:szCs w:val="20"/>
                <w:lang w:val="en-IE"/>
              </w:rPr>
              <w:t>for crisis management</w:t>
            </w:r>
          </w:p>
        </w:tc>
        <w:tc>
          <w:tcPr>
            <w:tcW w:w="1276" w:type="dxa"/>
            <w:tcBorders>
              <w:right w:val="double" w:sz="4" w:space="0" w:color="auto"/>
            </w:tcBorders>
            <w:tcMar>
              <w:top w:w="57" w:type="dxa"/>
              <w:left w:w="57" w:type="dxa"/>
              <w:bottom w:w="57" w:type="dxa"/>
              <w:right w:w="57" w:type="dxa"/>
            </w:tcMar>
            <w:vAlign w:val="center"/>
          </w:tcPr>
          <w:p w14:paraId="3B47513F" w14:textId="77777777" w:rsidR="00801268" w:rsidRPr="003B11BD" w:rsidRDefault="00801268" w:rsidP="009D4C15">
            <w:pPr>
              <w:spacing w:after="0"/>
              <w:jc w:val="left"/>
              <w:rPr>
                <w:noProof/>
                <w:sz w:val="20"/>
                <w:szCs w:val="20"/>
                <w:lang w:val="en-IE"/>
              </w:rPr>
            </w:pPr>
            <w:r w:rsidRPr="003B11BD">
              <w:rPr>
                <w:noProof/>
                <w:sz w:val="20"/>
                <w:szCs w:val="20"/>
                <w:lang w:val="en-IE"/>
              </w:rPr>
              <w:t>Direct adjustment costs</w:t>
            </w:r>
          </w:p>
        </w:tc>
        <w:tc>
          <w:tcPr>
            <w:tcW w:w="1041" w:type="dxa"/>
            <w:tcBorders>
              <w:left w:val="double" w:sz="4" w:space="0" w:color="auto"/>
            </w:tcBorders>
            <w:tcMar>
              <w:top w:w="57" w:type="dxa"/>
              <w:left w:w="57" w:type="dxa"/>
              <w:bottom w:w="57" w:type="dxa"/>
              <w:right w:w="57" w:type="dxa"/>
            </w:tcMar>
            <w:vAlign w:val="center"/>
          </w:tcPr>
          <w:p w14:paraId="3A04BAA6" w14:textId="3D7A1FBD" w:rsidR="00801268" w:rsidRPr="003B11BD" w:rsidRDefault="007B514E" w:rsidP="0051352E">
            <w:pPr>
              <w:spacing w:after="0"/>
              <w:jc w:val="center"/>
              <w:rPr>
                <w:noProof/>
                <w:sz w:val="20"/>
                <w:szCs w:val="20"/>
                <w:lang w:val="en-IE"/>
              </w:rPr>
            </w:pPr>
            <w:r w:rsidRPr="003B11BD">
              <w:rPr>
                <w:noProof/>
                <w:sz w:val="20"/>
                <w:szCs w:val="20"/>
                <w:lang w:val="en-IE"/>
              </w:rPr>
              <w:t>0.</w:t>
            </w:r>
          </w:p>
        </w:tc>
        <w:tc>
          <w:tcPr>
            <w:tcW w:w="1035" w:type="dxa"/>
            <w:tcMar>
              <w:top w:w="57" w:type="dxa"/>
              <w:left w:w="57" w:type="dxa"/>
              <w:bottom w:w="57" w:type="dxa"/>
              <w:right w:w="57" w:type="dxa"/>
            </w:tcMar>
            <w:vAlign w:val="center"/>
          </w:tcPr>
          <w:p w14:paraId="62794732" w14:textId="569EC395" w:rsidR="00801268" w:rsidRPr="003B11BD" w:rsidRDefault="007B514E" w:rsidP="0051352E">
            <w:pPr>
              <w:spacing w:after="0"/>
              <w:jc w:val="center"/>
              <w:rPr>
                <w:noProof/>
                <w:sz w:val="20"/>
                <w:szCs w:val="20"/>
                <w:lang w:val="en-IE"/>
              </w:rPr>
            </w:pPr>
            <w:r w:rsidRPr="003B11BD">
              <w:rPr>
                <w:noProof/>
                <w:sz w:val="20"/>
                <w:szCs w:val="20"/>
                <w:lang w:val="en-IE"/>
              </w:rPr>
              <w:t>0</w:t>
            </w:r>
          </w:p>
        </w:tc>
        <w:tc>
          <w:tcPr>
            <w:tcW w:w="901" w:type="dxa"/>
            <w:tcMar>
              <w:top w:w="57" w:type="dxa"/>
              <w:left w:w="57" w:type="dxa"/>
              <w:bottom w:w="57" w:type="dxa"/>
              <w:right w:w="57" w:type="dxa"/>
            </w:tcMar>
            <w:vAlign w:val="center"/>
          </w:tcPr>
          <w:p w14:paraId="61AD41A6" w14:textId="39CB53A5" w:rsidR="00801268" w:rsidRPr="003B11BD" w:rsidRDefault="007B514E" w:rsidP="0051352E">
            <w:pPr>
              <w:spacing w:after="0"/>
              <w:jc w:val="center"/>
              <w:rPr>
                <w:noProof/>
                <w:sz w:val="20"/>
                <w:szCs w:val="20"/>
                <w:lang w:val="en-IE"/>
              </w:rPr>
            </w:pPr>
            <w:r w:rsidRPr="003B11BD">
              <w:rPr>
                <w:noProof/>
                <w:sz w:val="20"/>
                <w:szCs w:val="20"/>
                <w:lang w:val="en-IE"/>
              </w:rPr>
              <w:t>0</w:t>
            </w:r>
          </w:p>
        </w:tc>
        <w:tc>
          <w:tcPr>
            <w:tcW w:w="1559" w:type="dxa"/>
            <w:tcMar>
              <w:top w:w="57" w:type="dxa"/>
              <w:left w:w="57" w:type="dxa"/>
              <w:bottom w:w="57" w:type="dxa"/>
              <w:right w:w="57" w:type="dxa"/>
            </w:tcMar>
            <w:vAlign w:val="center"/>
          </w:tcPr>
          <w:p w14:paraId="4EBC5A24" w14:textId="6D15D588" w:rsidR="00801268" w:rsidRPr="003B11BD" w:rsidRDefault="007B514E" w:rsidP="0051352E">
            <w:pPr>
              <w:spacing w:after="0"/>
              <w:jc w:val="center"/>
              <w:rPr>
                <w:noProof/>
                <w:sz w:val="20"/>
                <w:szCs w:val="20"/>
                <w:lang w:val="en-IE"/>
              </w:rPr>
            </w:pPr>
            <w:r w:rsidRPr="003B11BD">
              <w:rPr>
                <w:noProof/>
                <w:sz w:val="20"/>
                <w:szCs w:val="20"/>
                <w:lang w:val="en-IE"/>
              </w:rPr>
              <w:t>0</w:t>
            </w:r>
          </w:p>
        </w:tc>
        <w:tc>
          <w:tcPr>
            <w:tcW w:w="1134" w:type="dxa"/>
            <w:tcMar>
              <w:top w:w="57" w:type="dxa"/>
              <w:left w:w="57" w:type="dxa"/>
              <w:bottom w:w="57" w:type="dxa"/>
              <w:right w:w="57" w:type="dxa"/>
            </w:tcMar>
            <w:vAlign w:val="center"/>
          </w:tcPr>
          <w:p w14:paraId="2ADAF2F1" w14:textId="1E1B327A" w:rsidR="00801268" w:rsidRPr="003B11BD" w:rsidRDefault="00C970C1" w:rsidP="0051352E">
            <w:pPr>
              <w:spacing w:after="0"/>
              <w:jc w:val="center"/>
              <w:rPr>
                <w:noProof/>
                <w:sz w:val="16"/>
                <w:szCs w:val="16"/>
                <w:lang w:val="en-IE"/>
              </w:rPr>
            </w:pPr>
            <w:r w:rsidRPr="003B11BD">
              <w:rPr>
                <w:noProof/>
                <w:sz w:val="16"/>
                <w:szCs w:val="16"/>
                <w:lang w:val="en-IE"/>
              </w:rPr>
              <w:t>Cost o</w:t>
            </w:r>
            <w:r w:rsidR="005B6BA3" w:rsidRPr="003B11BD">
              <w:rPr>
                <w:noProof/>
                <w:sz w:val="16"/>
                <w:szCs w:val="16"/>
                <w:lang w:val="en-IE"/>
              </w:rPr>
              <w:t>f implementing the legislation</w:t>
            </w:r>
          </w:p>
        </w:tc>
        <w:tc>
          <w:tcPr>
            <w:tcW w:w="1190" w:type="dxa"/>
            <w:tcMar>
              <w:top w:w="57" w:type="dxa"/>
              <w:left w:w="57" w:type="dxa"/>
              <w:bottom w:w="57" w:type="dxa"/>
              <w:right w:w="57" w:type="dxa"/>
            </w:tcMar>
            <w:vAlign w:val="center"/>
          </w:tcPr>
          <w:p w14:paraId="2CA6D58D" w14:textId="5AA1617F" w:rsidR="00801268" w:rsidRPr="003B11BD" w:rsidRDefault="007B514E" w:rsidP="0051352E">
            <w:pPr>
              <w:spacing w:after="0"/>
              <w:jc w:val="center"/>
              <w:rPr>
                <w:noProof/>
                <w:sz w:val="20"/>
                <w:szCs w:val="20"/>
                <w:lang w:val="en-IE"/>
              </w:rPr>
            </w:pPr>
            <w:r w:rsidRPr="003B11BD">
              <w:rPr>
                <w:noProof/>
                <w:sz w:val="20"/>
                <w:szCs w:val="20"/>
                <w:lang w:val="en-IE"/>
              </w:rPr>
              <w:t>0</w:t>
            </w:r>
          </w:p>
        </w:tc>
      </w:tr>
      <w:tr w:rsidR="00493B7C" w:rsidRPr="003B11BD" w14:paraId="13DF6A0F" w14:textId="77777777" w:rsidTr="34EF0D43">
        <w:trPr>
          <w:trHeight w:val="307"/>
          <w:jc w:val="center"/>
        </w:trPr>
        <w:tc>
          <w:tcPr>
            <w:tcW w:w="936" w:type="dxa"/>
            <w:vMerge/>
            <w:tcMar>
              <w:top w:w="57" w:type="dxa"/>
              <w:left w:w="57" w:type="dxa"/>
              <w:bottom w:w="57" w:type="dxa"/>
              <w:right w:w="57" w:type="dxa"/>
            </w:tcMar>
            <w:vAlign w:val="center"/>
          </w:tcPr>
          <w:p w14:paraId="2768FDAB" w14:textId="77777777" w:rsidR="00801268" w:rsidRPr="003B11BD" w:rsidRDefault="00801268" w:rsidP="009D4C15">
            <w:pPr>
              <w:spacing w:after="0"/>
              <w:rPr>
                <w:noProof/>
                <w:sz w:val="20"/>
                <w:szCs w:val="20"/>
                <w:lang w:val="en-IE"/>
              </w:rPr>
            </w:pPr>
          </w:p>
        </w:tc>
        <w:tc>
          <w:tcPr>
            <w:tcW w:w="1276" w:type="dxa"/>
            <w:tcBorders>
              <w:right w:val="double" w:sz="4" w:space="0" w:color="auto"/>
            </w:tcBorders>
            <w:tcMar>
              <w:top w:w="57" w:type="dxa"/>
              <w:left w:w="57" w:type="dxa"/>
              <w:bottom w:w="57" w:type="dxa"/>
              <w:right w:w="57" w:type="dxa"/>
            </w:tcMar>
            <w:vAlign w:val="center"/>
          </w:tcPr>
          <w:p w14:paraId="01D84285" w14:textId="0AFDE360" w:rsidR="00801268" w:rsidRPr="003B11BD" w:rsidRDefault="08D0A06E" w:rsidP="00314B12">
            <w:pPr>
              <w:spacing w:after="0"/>
              <w:jc w:val="left"/>
              <w:rPr>
                <w:noProof/>
                <w:sz w:val="20"/>
                <w:szCs w:val="20"/>
                <w:lang w:val="en-IE"/>
              </w:rPr>
            </w:pPr>
            <w:r w:rsidRPr="003B11BD">
              <w:rPr>
                <w:noProof/>
                <w:sz w:val="20"/>
                <w:szCs w:val="20"/>
                <w:lang w:val="en-IE"/>
              </w:rPr>
              <w:t>Direct administrative costs</w:t>
            </w:r>
          </w:p>
        </w:tc>
        <w:tc>
          <w:tcPr>
            <w:tcW w:w="1041" w:type="dxa"/>
            <w:tcBorders>
              <w:left w:val="double" w:sz="4" w:space="0" w:color="auto"/>
            </w:tcBorders>
            <w:tcMar>
              <w:top w:w="57" w:type="dxa"/>
              <w:left w:w="57" w:type="dxa"/>
              <w:bottom w:w="57" w:type="dxa"/>
              <w:right w:w="57" w:type="dxa"/>
            </w:tcMar>
            <w:vAlign w:val="center"/>
          </w:tcPr>
          <w:p w14:paraId="607CA109" w14:textId="547AB5C8" w:rsidR="00801268" w:rsidRPr="003B11BD" w:rsidRDefault="007B514E" w:rsidP="0051352E">
            <w:pPr>
              <w:spacing w:after="0"/>
              <w:jc w:val="center"/>
              <w:rPr>
                <w:noProof/>
                <w:sz w:val="20"/>
                <w:szCs w:val="20"/>
                <w:lang w:val="en-IE"/>
              </w:rPr>
            </w:pPr>
            <w:r w:rsidRPr="003B11BD">
              <w:rPr>
                <w:noProof/>
                <w:sz w:val="20"/>
                <w:szCs w:val="20"/>
                <w:lang w:val="en-IE"/>
              </w:rPr>
              <w:t>0</w:t>
            </w:r>
          </w:p>
        </w:tc>
        <w:tc>
          <w:tcPr>
            <w:tcW w:w="1035" w:type="dxa"/>
            <w:tcMar>
              <w:top w:w="57" w:type="dxa"/>
              <w:left w:w="57" w:type="dxa"/>
              <w:bottom w:w="57" w:type="dxa"/>
              <w:right w:w="57" w:type="dxa"/>
            </w:tcMar>
            <w:vAlign w:val="center"/>
          </w:tcPr>
          <w:p w14:paraId="283AC35F" w14:textId="55004378" w:rsidR="00801268" w:rsidRPr="003B11BD" w:rsidRDefault="007B514E" w:rsidP="0051352E">
            <w:pPr>
              <w:spacing w:after="0"/>
              <w:jc w:val="center"/>
              <w:rPr>
                <w:noProof/>
                <w:sz w:val="20"/>
                <w:szCs w:val="20"/>
                <w:lang w:val="en-IE"/>
              </w:rPr>
            </w:pPr>
            <w:r w:rsidRPr="003B11BD">
              <w:rPr>
                <w:noProof/>
                <w:sz w:val="20"/>
                <w:szCs w:val="20"/>
                <w:lang w:val="en-IE"/>
              </w:rPr>
              <w:t>0</w:t>
            </w:r>
          </w:p>
        </w:tc>
        <w:tc>
          <w:tcPr>
            <w:tcW w:w="901" w:type="dxa"/>
            <w:tcMar>
              <w:top w:w="57" w:type="dxa"/>
              <w:left w:w="57" w:type="dxa"/>
              <w:bottom w:w="57" w:type="dxa"/>
              <w:right w:w="57" w:type="dxa"/>
            </w:tcMar>
            <w:vAlign w:val="center"/>
          </w:tcPr>
          <w:p w14:paraId="7165C99B" w14:textId="0BADC3FC" w:rsidR="00801268" w:rsidRPr="003B11BD" w:rsidRDefault="0051352E" w:rsidP="0051352E">
            <w:pPr>
              <w:spacing w:after="0"/>
              <w:jc w:val="center"/>
              <w:rPr>
                <w:noProof/>
                <w:sz w:val="20"/>
                <w:szCs w:val="20"/>
                <w:lang w:val="en-IE"/>
              </w:rPr>
            </w:pPr>
            <w:r w:rsidRPr="003B11BD">
              <w:rPr>
                <w:noProof/>
                <w:sz w:val="20"/>
                <w:szCs w:val="20"/>
                <w:lang w:val="en-IE"/>
              </w:rPr>
              <w:t>0</w:t>
            </w:r>
          </w:p>
        </w:tc>
        <w:tc>
          <w:tcPr>
            <w:tcW w:w="1559" w:type="dxa"/>
            <w:tcMar>
              <w:top w:w="57" w:type="dxa"/>
              <w:left w:w="57" w:type="dxa"/>
              <w:bottom w:w="57" w:type="dxa"/>
              <w:right w:w="57" w:type="dxa"/>
            </w:tcMar>
            <w:vAlign w:val="center"/>
          </w:tcPr>
          <w:p w14:paraId="68F4450E" w14:textId="69D3DB8D" w:rsidR="00801268" w:rsidRPr="003B11BD" w:rsidRDefault="009E5071" w:rsidP="0010202B">
            <w:pPr>
              <w:spacing w:after="0"/>
              <w:jc w:val="center"/>
              <w:rPr>
                <w:noProof/>
                <w:sz w:val="16"/>
                <w:szCs w:val="16"/>
                <w:lang w:val="en-IE"/>
              </w:rPr>
            </w:pPr>
            <w:r w:rsidRPr="003B11BD">
              <w:rPr>
                <w:noProof/>
                <w:sz w:val="20"/>
                <w:szCs w:val="16"/>
                <w:lang w:val="en-IE"/>
              </w:rPr>
              <w:t>0</w:t>
            </w:r>
          </w:p>
        </w:tc>
        <w:tc>
          <w:tcPr>
            <w:tcW w:w="1134" w:type="dxa"/>
            <w:tcMar>
              <w:top w:w="57" w:type="dxa"/>
              <w:left w:w="57" w:type="dxa"/>
              <w:bottom w:w="57" w:type="dxa"/>
              <w:right w:w="57" w:type="dxa"/>
            </w:tcMar>
            <w:vAlign w:val="center"/>
          </w:tcPr>
          <w:p w14:paraId="7E0A0CC3" w14:textId="1CEA7EC4" w:rsidR="00801268" w:rsidRPr="003B11BD" w:rsidRDefault="007B514E" w:rsidP="0051352E">
            <w:pPr>
              <w:spacing w:after="0"/>
              <w:jc w:val="center"/>
              <w:rPr>
                <w:noProof/>
                <w:sz w:val="20"/>
                <w:szCs w:val="20"/>
                <w:lang w:val="en-IE"/>
              </w:rPr>
            </w:pPr>
            <w:r w:rsidRPr="003B11BD">
              <w:rPr>
                <w:noProof/>
                <w:sz w:val="20"/>
                <w:szCs w:val="20"/>
                <w:lang w:val="en-IE"/>
              </w:rPr>
              <w:t>0</w:t>
            </w:r>
          </w:p>
        </w:tc>
        <w:tc>
          <w:tcPr>
            <w:tcW w:w="1190" w:type="dxa"/>
            <w:tcMar>
              <w:top w:w="57" w:type="dxa"/>
              <w:left w:w="57" w:type="dxa"/>
              <w:bottom w:w="57" w:type="dxa"/>
              <w:right w:w="57" w:type="dxa"/>
            </w:tcMar>
            <w:vAlign w:val="center"/>
          </w:tcPr>
          <w:p w14:paraId="62989D82" w14:textId="4E7D34A1" w:rsidR="00801268" w:rsidRPr="003B11BD" w:rsidRDefault="00CB1D9F" w:rsidP="0051352E">
            <w:pPr>
              <w:spacing w:after="0"/>
              <w:jc w:val="center"/>
              <w:rPr>
                <w:noProof/>
                <w:sz w:val="20"/>
                <w:szCs w:val="20"/>
                <w:lang w:val="en-IE"/>
              </w:rPr>
            </w:pPr>
            <w:r>
              <w:rPr>
                <w:noProof/>
                <w:sz w:val="20"/>
                <w:szCs w:val="20"/>
                <w:lang w:val="en-IE"/>
              </w:rPr>
              <w:t>0</w:t>
            </w:r>
          </w:p>
        </w:tc>
      </w:tr>
      <w:tr w:rsidR="00493B7C" w:rsidRPr="003B11BD" w14:paraId="46FBC711" w14:textId="77777777" w:rsidTr="34EF0D43">
        <w:trPr>
          <w:trHeight w:val="307"/>
          <w:jc w:val="center"/>
        </w:trPr>
        <w:tc>
          <w:tcPr>
            <w:tcW w:w="936" w:type="dxa"/>
            <w:vMerge/>
            <w:tcMar>
              <w:top w:w="57" w:type="dxa"/>
              <w:left w:w="57" w:type="dxa"/>
              <w:bottom w:w="57" w:type="dxa"/>
              <w:right w:w="57" w:type="dxa"/>
            </w:tcMar>
            <w:vAlign w:val="center"/>
          </w:tcPr>
          <w:p w14:paraId="7CF46F27" w14:textId="77777777" w:rsidR="00801268" w:rsidRPr="003B11BD" w:rsidRDefault="00801268" w:rsidP="009D4C15">
            <w:pPr>
              <w:spacing w:after="0"/>
              <w:rPr>
                <w:noProof/>
                <w:sz w:val="20"/>
                <w:szCs w:val="20"/>
                <w:lang w:val="en-IE"/>
              </w:rPr>
            </w:pPr>
          </w:p>
        </w:tc>
        <w:tc>
          <w:tcPr>
            <w:tcW w:w="1276" w:type="dxa"/>
            <w:tcBorders>
              <w:right w:val="double" w:sz="4" w:space="0" w:color="auto"/>
            </w:tcBorders>
            <w:tcMar>
              <w:top w:w="57" w:type="dxa"/>
              <w:left w:w="57" w:type="dxa"/>
              <w:bottom w:w="57" w:type="dxa"/>
              <w:right w:w="57" w:type="dxa"/>
            </w:tcMar>
            <w:vAlign w:val="center"/>
          </w:tcPr>
          <w:p w14:paraId="485923BA" w14:textId="77777777" w:rsidR="00801268" w:rsidRPr="003B11BD" w:rsidRDefault="00801268" w:rsidP="009D4C15">
            <w:pPr>
              <w:spacing w:after="0"/>
              <w:jc w:val="left"/>
              <w:rPr>
                <w:noProof/>
                <w:sz w:val="20"/>
                <w:szCs w:val="20"/>
                <w:lang w:val="en-IE"/>
              </w:rPr>
            </w:pPr>
            <w:r w:rsidRPr="003B11BD">
              <w:rPr>
                <w:noProof/>
                <w:sz w:val="20"/>
                <w:szCs w:val="20"/>
                <w:lang w:val="en-IE"/>
              </w:rPr>
              <w:t>Direct regulatory fees and charges</w:t>
            </w:r>
          </w:p>
        </w:tc>
        <w:tc>
          <w:tcPr>
            <w:tcW w:w="1041" w:type="dxa"/>
            <w:tcBorders>
              <w:left w:val="double" w:sz="4" w:space="0" w:color="auto"/>
            </w:tcBorders>
            <w:tcMar>
              <w:top w:w="57" w:type="dxa"/>
              <w:left w:w="57" w:type="dxa"/>
              <w:bottom w:w="57" w:type="dxa"/>
              <w:right w:w="57" w:type="dxa"/>
            </w:tcMar>
            <w:vAlign w:val="center"/>
          </w:tcPr>
          <w:p w14:paraId="1EBC7A74" w14:textId="2460B694" w:rsidR="00801268" w:rsidRPr="003B11BD" w:rsidRDefault="0051352E" w:rsidP="0051352E">
            <w:pPr>
              <w:spacing w:after="0"/>
              <w:jc w:val="center"/>
              <w:rPr>
                <w:noProof/>
                <w:sz w:val="20"/>
                <w:szCs w:val="20"/>
                <w:lang w:val="en-IE"/>
              </w:rPr>
            </w:pPr>
            <w:r w:rsidRPr="003B11BD">
              <w:rPr>
                <w:noProof/>
                <w:sz w:val="20"/>
                <w:szCs w:val="20"/>
                <w:lang w:val="en-IE"/>
              </w:rPr>
              <w:t>0</w:t>
            </w:r>
          </w:p>
        </w:tc>
        <w:tc>
          <w:tcPr>
            <w:tcW w:w="1035" w:type="dxa"/>
            <w:tcMar>
              <w:top w:w="57" w:type="dxa"/>
              <w:left w:w="57" w:type="dxa"/>
              <w:bottom w:w="57" w:type="dxa"/>
              <w:right w:w="57" w:type="dxa"/>
            </w:tcMar>
            <w:vAlign w:val="center"/>
          </w:tcPr>
          <w:p w14:paraId="3FB26C7D" w14:textId="050C1B6D" w:rsidR="00801268" w:rsidRPr="003B11BD" w:rsidRDefault="0051352E" w:rsidP="0051352E">
            <w:pPr>
              <w:spacing w:after="0"/>
              <w:jc w:val="center"/>
              <w:rPr>
                <w:noProof/>
                <w:sz w:val="20"/>
                <w:szCs w:val="20"/>
                <w:lang w:val="en-IE"/>
              </w:rPr>
            </w:pPr>
            <w:r w:rsidRPr="003B11BD">
              <w:rPr>
                <w:noProof/>
                <w:sz w:val="20"/>
                <w:szCs w:val="20"/>
                <w:lang w:val="en-IE"/>
              </w:rPr>
              <w:t>0</w:t>
            </w:r>
          </w:p>
        </w:tc>
        <w:tc>
          <w:tcPr>
            <w:tcW w:w="901" w:type="dxa"/>
            <w:tcMar>
              <w:top w:w="57" w:type="dxa"/>
              <w:left w:w="57" w:type="dxa"/>
              <w:bottom w:w="57" w:type="dxa"/>
              <w:right w:w="57" w:type="dxa"/>
            </w:tcMar>
            <w:vAlign w:val="center"/>
          </w:tcPr>
          <w:p w14:paraId="3AF8C1AA" w14:textId="6AFED2F3" w:rsidR="00801268" w:rsidRPr="003B11BD" w:rsidRDefault="0051352E" w:rsidP="0051352E">
            <w:pPr>
              <w:spacing w:after="0"/>
              <w:jc w:val="center"/>
              <w:rPr>
                <w:noProof/>
                <w:sz w:val="20"/>
                <w:szCs w:val="20"/>
                <w:lang w:val="en-IE"/>
              </w:rPr>
            </w:pPr>
            <w:r w:rsidRPr="003B11BD">
              <w:rPr>
                <w:noProof/>
                <w:sz w:val="20"/>
                <w:szCs w:val="20"/>
                <w:lang w:val="en-IE"/>
              </w:rPr>
              <w:t>0</w:t>
            </w:r>
          </w:p>
        </w:tc>
        <w:tc>
          <w:tcPr>
            <w:tcW w:w="1559" w:type="dxa"/>
            <w:tcMar>
              <w:top w:w="57" w:type="dxa"/>
              <w:left w:w="57" w:type="dxa"/>
              <w:bottom w:w="57" w:type="dxa"/>
              <w:right w:w="57" w:type="dxa"/>
            </w:tcMar>
            <w:vAlign w:val="center"/>
          </w:tcPr>
          <w:p w14:paraId="742A70D2" w14:textId="0CB44EC9" w:rsidR="00801268" w:rsidRPr="003B11BD" w:rsidRDefault="0051352E" w:rsidP="0051352E">
            <w:pPr>
              <w:spacing w:after="0"/>
              <w:jc w:val="center"/>
              <w:rPr>
                <w:noProof/>
                <w:sz w:val="20"/>
                <w:szCs w:val="20"/>
                <w:lang w:val="en-IE"/>
              </w:rPr>
            </w:pPr>
            <w:r w:rsidRPr="003B11BD">
              <w:rPr>
                <w:noProof/>
                <w:sz w:val="20"/>
                <w:szCs w:val="20"/>
                <w:lang w:val="en-IE"/>
              </w:rPr>
              <w:t>0</w:t>
            </w:r>
          </w:p>
        </w:tc>
        <w:tc>
          <w:tcPr>
            <w:tcW w:w="1134" w:type="dxa"/>
            <w:tcMar>
              <w:top w:w="57" w:type="dxa"/>
              <w:left w:w="57" w:type="dxa"/>
              <w:bottom w:w="57" w:type="dxa"/>
              <w:right w:w="57" w:type="dxa"/>
            </w:tcMar>
            <w:vAlign w:val="center"/>
          </w:tcPr>
          <w:p w14:paraId="1B370EDE" w14:textId="5C47B238" w:rsidR="00801268" w:rsidRPr="003B11BD" w:rsidRDefault="0051352E" w:rsidP="0051352E">
            <w:pPr>
              <w:spacing w:after="0"/>
              <w:jc w:val="center"/>
              <w:rPr>
                <w:noProof/>
                <w:sz w:val="20"/>
                <w:szCs w:val="20"/>
                <w:lang w:val="en-IE"/>
              </w:rPr>
            </w:pPr>
            <w:r w:rsidRPr="003B11BD">
              <w:rPr>
                <w:noProof/>
                <w:sz w:val="20"/>
                <w:szCs w:val="20"/>
                <w:lang w:val="en-IE"/>
              </w:rPr>
              <w:t>0</w:t>
            </w:r>
          </w:p>
        </w:tc>
        <w:tc>
          <w:tcPr>
            <w:tcW w:w="1190" w:type="dxa"/>
            <w:tcMar>
              <w:top w:w="57" w:type="dxa"/>
              <w:left w:w="57" w:type="dxa"/>
              <w:bottom w:w="57" w:type="dxa"/>
              <w:right w:w="57" w:type="dxa"/>
            </w:tcMar>
            <w:vAlign w:val="center"/>
          </w:tcPr>
          <w:p w14:paraId="2A4227C0" w14:textId="35E54B7C" w:rsidR="00801268" w:rsidRPr="003B11BD" w:rsidRDefault="007B514E" w:rsidP="0051352E">
            <w:pPr>
              <w:spacing w:after="0"/>
              <w:jc w:val="center"/>
              <w:rPr>
                <w:noProof/>
                <w:sz w:val="20"/>
                <w:szCs w:val="20"/>
                <w:lang w:val="en-IE"/>
              </w:rPr>
            </w:pPr>
            <w:r w:rsidRPr="003B11BD">
              <w:rPr>
                <w:noProof/>
                <w:sz w:val="20"/>
                <w:szCs w:val="20"/>
                <w:lang w:val="en-IE"/>
              </w:rPr>
              <w:t>0</w:t>
            </w:r>
          </w:p>
        </w:tc>
      </w:tr>
      <w:tr w:rsidR="009E5071" w:rsidRPr="003B11BD" w14:paraId="0A08AE45" w14:textId="77777777" w:rsidTr="34EF0D43">
        <w:trPr>
          <w:trHeight w:val="307"/>
          <w:jc w:val="center"/>
        </w:trPr>
        <w:tc>
          <w:tcPr>
            <w:tcW w:w="936" w:type="dxa"/>
            <w:vMerge/>
            <w:tcMar>
              <w:top w:w="57" w:type="dxa"/>
              <w:left w:w="57" w:type="dxa"/>
              <w:bottom w:w="57" w:type="dxa"/>
              <w:right w:w="57" w:type="dxa"/>
            </w:tcMar>
            <w:vAlign w:val="center"/>
          </w:tcPr>
          <w:p w14:paraId="4410BA9B" w14:textId="77777777" w:rsidR="009E5071" w:rsidRPr="003B11BD" w:rsidRDefault="009E5071" w:rsidP="009E5071">
            <w:pPr>
              <w:spacing w:after="0"/>
              <w:rPr>
                <w:noProof/>
                <w:sz w:val="20"/>
                <w:szCs w:val="20"/>
                <w:lang w:val="en-IE"/>
              </w:rPr>
            </w:pPr>
          </w:p>
        </w:tc>
        <w:tc>
          <w:tcPr>
            <w:tcW w:w="1276" w:type="dxa"/>
            <w:tcBorders>
              <w:right w:val="double" w:sz="4" w:space="0" w:color="auto"/>
            </w:tcBorders>
            <w:tcMar>
              <w:top w:w="57" w:type="dxa"/>
              <w:left w:w="57" w:type="dxa"/>
              <w:bottom w:w="57" w:type="dxa"/>
              <w:right w:w="57" w:type="dxa"/>
            </w:tcMar>
            <w:vAlign w:val="center"/>
          </w:tcPr>
          <w:p w14:paraId="50D3A792" w14:textId="77777777" w:rsidR="009E5071" w:rsidRPr="003B11BD" w:rsidRDefault="009E5071" w:rsidP="009E5071">
            <w:pPr>
              <w:spacing w:after="0"/>
              <w:jc w:val="left"/>
              <w:rPr>
                <w:noProof/>
                <w:sz w:val="20"/>
                <w:szCs w:val="20"/>
                <w:lang w:val="en-IE"/>
              </w:rPr>
            </w:pPr>
            <w:r w:rsidRPr="003B11BD">
              <w:rPr>
                <w:noProof/>
                <w:sz w:val="20"/>
                <w:szCs w:val="20"/>
                <w:lang w:val="en-IE"/>
              </w:rPr>
              <w:t>Direct enforcement costs</w:t>
            </w:r>
          </w:p>
        </w:tc>
        <w:tc>
          <w:tcPr>
            <w:tcW w:w="1041" w:type="dxa"/>
            <w:tcBorders>
              <w:left w:val="double" w:sz="4" w:space="0" w:color="auto"/>
            </w:tcBorders>
            <w:tcMar>
              <w:top w:w="57" w:type="dxa"/>
              <w:left w:w="57" w:type="dxa"/>
              <w:bottom w:w="57" w:type="dxa"/>
              <w:right w:w="57" w:type="dxa"/>
            </w:tcMar>
            <w:vAlign w:val="center"/>
          </w:tcPr>
          <w:p w14:paraId="62D06F04" w14:textId="27C4205A"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035" w:type="dxa"/>
            <w:tcMar>
              <w:top w:w="57" w:type="dxa"/>
              <w:left w:w="57" w:type="dxa"/>
              <w:bottom w:w="57" w:type="dxa"/>
              <w:right w:w="57" w:type="dxa"/>
            </w:tcMar>
            <w:vAlign w:val="center"/>
          </w:tcPr>
          <w:p w14:paraId="713FEAA1" w14:textId="1A189960"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901" w:type="dxa"/>
            <w:tcMar>
              <w:top w:w="57" w:type="dxa"/>
              <w:left w:w="57" w:type="dxa"/>
              <w:bottom w:w="57" w:type="dxa"/>
              <w:right w:w="57" w:type="dxa"/>
            </w:tcMar>
            <w:vAlign w:val="center"/>
          </w:tcPr>
          <w:p w14:paraId="3C191E32" w14:textId="05BD9A3E"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559" w:type="dxa"/>
            <w:tcMar>
              <w:top w:w="57" w:type="dxa"/>
              <w:left w:w="57" w:type="dxa"/>
              <w:bottom w:w="57" w:type="dxa"/>
              <w:right w:w="57" w:type="dxa"/>
            </w:tcMar>
            <w:vAlign w:val="center"/>
          </w:tcPr>
          <w:p w14:paraId="2AA839CF" w14:textId="2CAB7D6A" w:rsidR="009E5071" w:rsidRPr="003B11BD" w:rsidRDefault="009E5071" w:rsidP="009E5071">
            <w:pPr>
              <w:spacing w:after="0"/>
              <w:jc w:val="center"/>
              <w:rPr>
                <w:noProof/>
                <w:sz w:val="20"/>
                <w:szCs w:val="20"/>
                <w:lang w:val="en-IE"/>
              </w:rPr>
            </w:pPr>
            <w:r w:rsidRPr="003B11BD">
              <w:rPr>
                <w:noProof/>
                <w:sz w:val="16"/>
                <w:szCs w:val="16"/>
                <w:lang w:val="en-IE"/>
              </w:rPr>
              <w:t xml:space="preserve">Costs of </w:t>
            </w:r>
            <w:r w:rsidR="00A16682" w:rsidRPr="003B11BD">
              <w:rPr>
                <w:noProof/>
                <w:sz w:val="16"/>
                <w:szCs w:val="16"/>
                <w:lang w:val="en-IE"/>
              </w:rPr>
              <w:t xml:space="preserve">compulsory licensing </w:t>
            </w:r>
            <w:r w:rsidRPr="003B11BD">
              <w:rPr>
                <w:noProof/>
                <w:sz w:val="16"/>
                <w:szCs w:val="16"/>
                <w:lang w:val="en-IE"/>
              </w:rPr>
              <w:t xml:space="preserve">negotiations (but lower than in </w:t>
            </w:r>
            <w:r w:rsidRPr="003B11BD">
              <w:rPr>
                <w:i/>
                <w:noProof/>
                <w:sz w:val="16"/>
                <w:szCs w:val="16"/>
                <w:lang w:val="en-IE"/>
              </w:rPr>
              <w:t>status quo</w:t>
            </w:r>
            <w:r w:rsidRPr="003B11BD">
              <w:rPr>
                <w:noProof/>
                <w:sz w:val="16"/>
                <w:szCs w:val="16"/>
                <w:lang w:val="en-IE"/>
              </w:rPr>
              <w:t xml:space="preserve"> as a single procedure at EU level would replace multiple procedures in each </w:t>
            </w:r>
            <w:r w:rsidR="005E4F9D" w:rsidRPr="003B11BD">
              <w:rPr>
                <w:noProof/>
                <w:sz w:val="16"/>
                <w:szCs w:val="16"/>
                <w:lang w:val="en-IE"/>
              </w:rPr>
              <w:t xml:space="preserve">EU country </w:t>
            </w:r>
            <w:r w:rsidRPr="003B11BD">
              <w:rPr>
                <w:noProof/>
                <w:sz w:val="16"/>
                <w:szCs w:val="16"/>
                <w:lang w:val="en-IE"/>
              </w:rPr>
              <w:t>concerned)</w:t>
            </w:r>
          </w:p>
        </w:tc>
        <w:tc>
          <w:tcPr>
            <w:tcW w:w="1134" w:type="dxa"/>
            <w:tcMar>
              <w:top w:w="57" w:type="dxa"/>
              <w:left w:w="57" w:type="dxa"/>
              <w:bottom w:w="57" w:type="dxa"/>
              <w:right w:w="57" w:type="dxa"/>
            </w:tcMar>
            <w:vAlign w:val="center"/>
          </w:tcPr>
          <w:p w14:paraId="12BE8548" w14:textId="3CE0069D"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190" w:type="dxa"/>
            <w:tcMar>
              <w:top w:w="57" w:type="dxa"/>
              <w:left w:w="57" w:type="dxa"/>
              <w:bottom w:w="57" w:type="dxa"/>
              <w:right w:w="57" w:type="dxa"/>
            </w:tcMar>
            <w:vAlign w:val="center"/>
          </w:tcPr>
          <w:p w14:paraId="320BCEC8" w14:textId="5687A446" w:rsidR="009E5071" w:rsidRPr="003B11BD" w:rsidRDefault="779764D3" w:rsidP="005649C5">
            <w:pPr>
              <w:spacing w:after="0"/>
              <w:jc w:val="center"/>
              <w:rPr>
                <w:noProof/>
                <w:sz w:val="20"/>
                <w:szCs w:val="20"/>
                <w:lang w:val="en-IE"/>
              </w:rPr>
            </w:pPr>
            <w:r w:rsidRPr="003B11BD">
              <w:rPr>
                <w:noProof/>
                <w:sz w:val="16"/>
                <w:szCs w:val="16"/>
                <w:lang w:val="en-IE"/>
              </w:rPr>
              <w:t xml:space="preserve">Cost of </w:t>
            </w:r>
            <w:r w:rsidR="00A16682" w:rsidRPr="003B11BD">
              <w:rPr>
                <w:noProof/>
                <w:sz w:val="16"/>
                <w:szCs w:val="16"/>
                <w:lang w:val="en-IE"/>
              </w:rPr>
              <w:t xml:space="preserve">compulsory licensing </w:t>
            </w:r>
            <w:r w:rsidRPr="003B11BD">
              <w:rPr>
                <w:noProof/>
                <w:sz w:val="16"/>
                <w:szCs w:val="16"/>
                <w:lang w:val="en-IE"/>
              </w:rPr>
              <w:t>negotiations and</w:t>
            </w:r>
            <w:r w:rsidR="009E5071" w:rsidRPr="003B11BD">
              <w:rPr>
                <w:noProof/>
                <w:sz w:val="16"/>
                <w:szCs w:val="16"/>
                <w:lang w:val="en-IE"/>
              </w:rPr>
              <w:t xml:space="preserve"> </w:t>
            </w:r>
            <w:r w:rsidR="005E4F9D" w:rsidRPr="003B11BD">
              <w:rPr>
                <w:noProof/>
                <w:sz w:val="16"/>
                <w:szCs w:val="16"/>
                <w:lang w:val="en-IE"/>
              </w:rPr>
              <w:t xml:space="preserve">EU countries </w:t>
            </w:r>
            <w:r w:rsidR="009E5071" w:rsidRPr="003B11BD">
              <w:rPr>
                <w:noProof/>
                <w:sz w:val="16"/>
                <w:szCs w:val="16"/>
                <w:lang w:val="en-IE"/>
              </w:rPr>
              <w:t>involvement in the committee for the adoption of the activation measure</w:t>
            </w:r>
            <w:r w:rsidR="009E5071" w:rsidRPr="003B11BD">
              <w:rPr>
                <w:rStyle w:val="FootnoteReference"/>
                <w:noProof/>
                <w:sz w:val="20"/>
                <w:szCs w:val="20"/>
                <w:lang w:val="en-IE"/>
              </w:rPr>
              <w:footnoteReference w:id="154"/>
            </w:r>
            <w:r w:rsidR="009E5071" w:rsidRPr="003B11BD">
              <w:rPr>
                <w:noProof/>
                <w:sz w:val="20"/>
                <w:szCs w:val="20"/>
                <w:lang w:val="en-IE"/>
              </w:rPr>
              <w:t>.</w:t>
            </w:r>
          </w:p>
        </w:tc>
      </w:tr>
      <w:tr w:rsidR="009E5071" w:rsidRPr="003B11BD" w14:paraId="6C0CC2A2" w14:textId="77777777" w:rsidTr="34EF0D43">
        <w:trPr>
          <w:jc w:val="center"/>
        </w:trPr>
        <w:tc>
          <w:tcPr>
            <w:tcW w:w="936" w:type="dxa"/>
            <w:vMerge/>
            <w:tcMar>
              <w:top w:w="57" w:type="dxa"/>
              <w:left w:w="57" w:type="dxa"/>
              <w:bottom w:w="57" w:type="dxa"/>
              <w:right w:w="57" w:type="dxa"/>
            </w:tcMar>
          </w:tcPr>
          <w:p w14:paraId="0A1237DB" w14:textId="77777777" w:rsidR="009E5071" w:rsidRPr="003B11BD" w:rsidRDefault="009E5071" w:rsidP="009E5071">
            <w:pPr>
              <w:spacing w:after="0"/>
              <w:rPr>
                <w:noProof/>
                <w:sz w:val="20"/>
                <w:szCs w:val="20"/>
                <w:lang w:val="en-IE"/>
              </w:rPr>
            </w:pPr>
          </w:p>
        </w:tc>
        <w:tc>
          <w:tcPr>
            <w:tcW w:w="1276" w:type="dxa"/>
            <w:tcBorders>
              <w:bottom w:val="double" w:sz="4" w:space="0" w:color="auto"/>
              <w:right w:val="double" w:sz="4" w:space="0" w:color="auto"/>
            </w:tcBorders>
            <w:tcMar>
              <w:top w:w="57" w:type="dxa"/>
              <w:left w:w="57" w:type="dxa"/>
              <w:bottom w:w="57" w:type="dxa"/>
              <w:right w:w="57" w:type="dxa"/>
            </w:tcMar>
          </w:tcPr>
          <w:p w14:paraId="77F5752B" w14:textId="77777777" w:rsidR="009E5071" w:rsidRPr="003B11BD" w:rsidRDefault="009E5071" w:rsidP="009E5071">
            <w:pPr>
              <w:spacing w:after="0"/>
              <w:jc w:val="left"/>
              <w:rPr>
                <w:noProof/>
                <w:sz w:val="20"/>
                <w:szCs w:val="20"/>
                <w:lang w:val="en-IE"/>
              </w:rPr>
            </w:pPr>
            <w:r w:rsidRPr="003B11BD">
              <w:rPr>
                <w:noProof/>
                <w:sz w:val="20"/>
                <w:szCs w:val="20"/>
                <w:lang w:val="en-IE"/>
              </w:rPr>
              <w:t>Indirect costs</w:t>
            </w:r>
          </w:p>
        </w:tc>
        <w:tc>
          <w:tcPr>
            <w:tcW w:w="1041" w:type="dxa"/>
            <w:tcBorders>
              <w:left w:val="double" w:sz="4" w:space="0" w:color="auto"/>
              <w:bottom w:val="double" w:sz="4" w:space="0" w:color="auto"/>
            </w:tcBorders>
            <w:tcMar>
              <w:top w:w="57" w:type="dxa"/>
              <w:left w:w="57" w:type="dxa"/>
              <w:bottom w:w="57" w:type="dxa"/>
              <w:right w:w="57" w:type="dxa"/>
            </w:tcMar>
            <w:vAlign w:val="center"/>
          </w:tcPr>
          <w:p w14:paraId="1E9CDDB2" w14:textId="3E3481FB"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035" w:type="dxa"/>
            <w:tcBorders>
              <w:bottom w:val="double" w:sz="4" w:space="0" w:color="auto"/>
            </w:tcBorders>
            <w:tcMar>
              <w:top w:w="57" w:type="dxa"/>
              <w:left w:w="57" w:type="dxa"/>
              <w:bottom w:w="57" w:type="dxa"/>
              <w:right w:w="57" w:type="dxa"/>
            </w:tcMar>
            <w:vAlign w:val="center"/>
          </w:tcPr>
          <w:p w14:paraId="02F1BEE0" w14:textId="422A9D8C"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901" w:type="dxa"/>
            <w:tcBorders>
              <w:bottom w:val="double" w:sz="4" w:space="0" w:color="auto"/>
            </w:tcBorders>
            <w:tcMar>
              <w:top w:w="57" w:type="dxa"/>
              <w:left w:w="57" w:type="dxa"/>
              <w:bottom w:w="57" w:type="dxa"/>
              <w:right w:w="57" w:type="dxa"/>
            </w:tcMar>
            <w:vAlign w:val="center"/>
          </w:tcPr>
          <w:p w14:paraId="0F343640" w14:textId="2054F033"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559" w:type="dxa"/>
            <w:tcBorders>
              <w:bottom w:val="double" w:sz="4" w:space="0" w:color="auto"/>
            </w:tcBorders>
            <w:tcMar>
              <w:top w:w="57" w:type="dxa"/>
              <w:left w:w="57" w:type="dxa"/>
              <w:bottom w:w="57" w:type="dxa"/>
              <w:right w:w="57" w:type="dxa"/>
            </w:tcMar>
            <w:vAlign w:val="center"/>
          </w:tcPr>
          <w:p w14:paraId="6111E26F" w14:textId="4FD4362D"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134" w:type="dxa"/>
            <w:tcBorders>
              <w:bottom w:val="double" w:sz="4" w:space="0" w:color="auto"/>
            </w:tcBorders>
            <w:tcMar>
              <w:top w:w="57" w:type="dxa"/>
              <w:left w:w="57" w:type="dxa"/>
              <w:bottom w:w="57" w:type="dxa"/>
              <w:right w:w="57" w:type="dxa"/>
            </w:tcMar>
            <w:vAlign w:val="center"/>
          </w:tcPr>
          <w:p w14:paraId="06289B1D" w14:textId="37590940"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190" w:type="dxa"/>
            <w:tcBorders>
              <w:bottom w:val="double" w:sz="4" w:space="0" w:color="auto"/>
            </w:tcBorders>
            <w:tcMar>
              <w:top w:w="57" w:type="dxa"/>
              <w:left w:w="57" w:type="dxa"/>
              <w:bottom w:w="57" w:type="dxa"/>
              <w:right w:w="57" w:type="dxa"/>
            </w:tcMar>
            <w:vAlign w:val="center"/>
          </w:tcPr>
          <w:p w14:paraId="5ED35265" w14:textId="38EE1C69" w:rsidR="009E5071" w:rsidRPr="003B11BD" w:rsidRDefault="009E5071" w:rsidP="009E5071">
            <w:pPr>
              <w:spacing w:after="0"/>
              <w:jc w:val="center"/>
              <w:rPr>
                <w:noProof/>
                <w:sz w:val="20"/>
                <w:szCs w:val="20"/>
                <w:lang w:val="en-IE"/>
              </w:rPr>
            </w:pPr>
            <w:r w:rsidRPr="003B11BD">
              <w:rPr>
                <w:noProof/>
                <w:sz w:val="20"/>
                <w:szCs w:val="20"/>
                <w:lang w:val="en-IE"/>
              </w:rPr>
              <w:t>0</w:t>
            </w:r>
          </w:p>
        </w:tc>
      </w:tr>
      <w:tr w:rsidR="009E5071" w:rsidRPr="003B11BD" w14:paraId="7B99537D" w14:textId="77777777" w:rsidTr="34EF0D43">
        <w:trPr>
          <w:jc w:val="center"/>
        </w:trPr>
        <w:tc>
          <w:tcPr>
            <w:tcW w:w="9072" w:type="dxa"/>
            <w:gridSpan w:val="8"/>
            <w:shd w:val="clear" w:color="auto" w:fill="C6D9F1" w:themeFill="text2" w:themeFillTint="33"/>
            <w:tcMar>
              <w:top w:w="57" w:type="dxa"/>
              <w:left w:w="57" w:type="dxa"/>
              <w:bottom w:w="57" w:type="dxa"/>
              <w:right w:w="57" w:type="dxa"/>
            </w:tcMar>
            <w:vAlign w:val="center"/>
          </w:tcPr>
          <w:p w14:paraId="4093A7CE" w14:textId="77777777" w:rsidR="009E5071" w:rsidRPr="003B11BD" w:rsidRDefault="009E5071" w:rsidP="009E5071">
            <w:pPr>
              <w:spacing w:after="0"/>
              <w:jc w:val="center"/>
              <w:rPr>
                <w:b/>
                <w:i/>
                <w:noProof/>
                <w:sz w:val="20"/>
                <w:szCs w:val="20"/>
                <w:lang w:val="en-IE"/>
              </w:rPr>
            </w:pPr>
            <w:r w:rsidRPr="003B11BD">
              <w:rPr>
                <w:b/>
                <w:i/>
                <w:noProof/>
                <w:sz w:val="20"/>
                <w:szCs w:val="20"/>
                <w:lang w:val="en-IE"/>
              </w:rPr>
              <w:t>Costs related to the ‘one in, one out’ approach</w:t>
            </w:r>
          </w:p>
        </w:tc>
      </w:tr>
      <w:tr w:rsidR="009E5071" w:rsidRPr="003B11BD" w14:paraId="7F0C8B4D" w14:textId="77777777" w:rsidTr="34EF0D43">
        <w:trPr>
          <w:trHeight w:val="637"/>
          <w:jc w:val="center"/>
        </w:trPr>
        <w:tc>
          <w:tcPr>
            <w:tcW w:w="936" w:type="dxa"/>
            <w:vMerge w:val="restart"/>
            <w:tcBorders>
              <w:top w:val="double" w:sz="4" w:space="0" w:color="auto"/>
            </w:tcBorders>
            <w:tcMar>
              <w:top w:w="57" w:type="dxa"/>
              <w:left w:w="57" w:type="dxa"/>
              <w:bottom w:w="57" w:type="dxa"/>
              <w:right w:w="57" w:type="dxa"/>
            </w:tcMar>
            <w:vAlign w:val="center"/>
          </w:tcPr>
          <w:p w14:paraId="4424D174" w14:textId="77777777" w:rsidR="009E5071" w:rsidRPr="003B11BD" w:rsidRDefault="009E5071" w:rsidP="009E5071">
            <w:pPr>
              <w:spacing w:after="0"/>
              <w:jc w:val="left"/>
              <w:rPr>
                <w:b/>
                <w:noProof/>
                <w:sz w:val="20"/>
                <w:szCs w:val="20"/>
                <w:lang w:val="en-IE"/>
              </w:rPr>
            </w:pPr>
            <w:r w:rsidRPr="003B11BD">
              <w:rPr>
                <w:b/>
                <w:noProof/>
                <w:sz w:val="20"/>
                <w:szCs w:val="20"/>
                <w:lang w:val="en-IE"/>
              </w:rPr>
              <w:t xml:space="preserve">Total  </w:t>
            </w:r>
          </w:p>
        </w:tc>
        <w:tc>
          <w:tcPr>
            <w:tcW w:w="1276" w:type="dxa"/>
            <w:tcBorders>
              <w:top w:val="double" w:sz="4" w:space="0" w:color="auto"/>
              <w:right w:val="double" w:sz="4" w:space="0" w:color="auto"/>
            </w:tcBorders>
            <w:tcMar>
              <w:top w:w="57" w:type="dxa"/>
              <w:left w:w="57" w:type="dxa"/>
              <w:bottom w:w="57" w:type="dxa"/>
              <w:right w:w="57" w:type="dxa"/>
            </w:tcMar>
            <w:vAlign w:val="center"/>
          </w:tcPr>
          <w:p w14:paraId="53843079" w14:textId="77777777" w:rsidR="009E5071" w:rsidRPr="003B11BD" w:rsidRDefault="009E5071" w:rsidP="009E5071">
            <w:pPr>
              <w:spacing w:after="0"/>
              <w:jc w:val="left"/>
              <w:rPr>
                <w:noProof/>
                <w:sz w:val="20"/>
                <w:szCs w:val="20"/>
                <w:lang w:val="en-IE"/>
              </w:rPr>
            </w:pPr>
            <w:r w:rsidRPr="003B11BD">
              <w:rPr>
                <w:noProof/>
                <w:sz w:val="20"/>
                <w:szCs w:val="20"/>
                <w:lang w:val="en-IE"/>
              </w:rPr>
              <w:t xml:space="preserve">Direct adjustment costs </w:t>
            </w:r>
          </w:p>
        </w:tc>
        <w:tc>
          <w:tcPr>
            <w:tcW w:w="1041" w:type="dxa"/>
            <w:tcBorders>
              <w:top w:val="double" w:sz="4" w:space="0" w:color="auto"/>
              <w:left w:val="double" w:sz="4" w:space="0" w:color="auto"/>
            </w:tcBorders>
            <w:tcMar>
              <w:top w:w="57" w:type="dxa"/>
              <w:left w:w="57" w:type="dxa"/>
              <w:bottom w:w="57" w:type="dxa"/>
              <w:right w:w="57" w:type="dxa"/>
            </w:tcMar>
            <w:vAlign w:val="center"/>
          </w:tcPr>
          <w:p w14:paraId="114469ED" w14:textId="3FEDF919"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035" w:type="dxa"/>
            <w:tcBorders>
              <w:top w:val="double" w:sz="4" w:space="0" w:color="auto"/>
            </w:tcBorders>
            <w:tcMar>
              <w:top w:w="57" w:type="dxa"/>
              <w:left w:w="57" w:type="dxa"/>
              <w:bottom w:w="57" w:type="dxa"/>
              <w:right w:w="57" w:type="dxa"/>
            </w:tcMar>
            <w:vAlign w:val="center"/>
          </w:tcPr>
          <w:p w14:paraId="08A06605" w14:textId="1428B8C1"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901" w:type="dxa"/>
            <w:tcBorders>
              <w:top w:val="double" w:sz="4" w:space="0" w:color="auto"/>
            </w:tcBorders>
            <w:tcMar>
              <w:top w:w="57" w:type="dxa"/>
              <w:left w:w="57" w:type="dxa"/>
              <w:bottom w:w="57" w:type="dxa"/>
              <w:right w:w="57" w:type="dxa"/>
            </w:tcMar>
            <w:vAlign w:val="center"/>
          </w:tcPr>
          <w:p w14:paraId="0C7674C8" w14:textId="482C70BC"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559" w:type="dxa"/>
            <w:tcBorders>
              <w:top w:val="double" w:sz="4" w:space="0" w:color="auto"/>
            </w:tcBorders>
            <w:tcMar>
              <w:top w:w="57" w:type="dxa"/>
              <w:left w:w="57" w:type="dxa"/>
              <w:bottom w:w="57" w:type="dxa"/>
              <w:right w:w="57" w:type="dxa"/>
            </w:tcMar>
            <w:vAlign w:val="center"/>
          </w:tcPr>
          <w:p w14:paraId="376AE184" w14:textId="718CF2C6"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134" w:type="dxa"/>
            <w:tcBorders>
              <w:top w:val="double" w:sz="4" w:space="0" w:color="auto"/>
              <w:bottom w:val="double" w:sz="4" w:space="0" w:color="auto"/>
              <w:tl2br w:val="double" w:sz="4" w:space="0" w:color="auto"/>
            </w:tcBorders>
            <w:tcMar>
              <w:top w:w="57" w:type="dxa"/>
              <w:left w:w="57" w:type="dxa"/>
              <w:bottom w:w="57" w:type="dxa"/>
              <w:right w:w="57" w:type="dxa"/>
            </w:tcMar>
            <w:vAlign w:val="center"/>
          </w:tcPr>
          <w:p w14:paraId="1A5A5C06" w14:textId="77777777" w:rsidR="009E5071" w:rsidRPr="003B11BD" w:rsidRDefault="009E5071" w:rsidP="009E5071">
            <w:pPr>
              <w:spacing w:after="0"/>
              <w:jc w:val="center"/>
              <w:rPr>
                <w:noProof/>
                <w:sz w:val="20"/>
                <w:szCs w:val="20"/>
                <w:lang w:val="en-IE"/>
              </w:rPr>
            </w:pPr>
          </w:p>
        </w:tc>
        <w:tc>
          <w:tcPr>
            <w:tcW w:w="1190" w:type="dxa"/>
            <w:tcBorders>
              <w:top w:val="double" w:sz="4" w:space="0" w:color="auto"/>
              <w:bottom w:val="double" w:sz="4" w:space="0" w:color="auto"/>
              <w:tl2br w:val="double" w:sz="4" w:space="0" w:color="auto"/>
            </w:tcBorders>
            <w:tcMar>
              <w:top w:w="57" w:type="dxa"/>
              <w:left w:w="57" w:type="dxa"/>
              <w:bottom w:w="57" w:type="dxa"/>
              <w:right w:w="57" w:type="dxa"/>
            </w:tcMar>
            <w:vAlign w:val="center"/>
          </w:tcPr>
          <w:p w14:paraId="17890835" w14:textId="77777777" w:rsidR="009E5071" w:rsidRPr="003B11BD" w:rsidRDefault="009E5071" w:rsidP="009E5071">
            <w:pPr>
              <w:spacing w:after="0"/>
              <w:jc w:val="center"/>
              <w:rPr>
                <w:noProof/>
                <w:sz w:val="20"/>
                <w:szCs w:val="20"/>
                <w:lang w:val="en-IE"/>
              </w:rPr>
            </w:pPr>
          </w:p>
        </w:tc>
      </w:tr>
      <w:tr w:rsidR="009E5071" w:rsidRPr="003B11BD" w14:paraId="761CFDC3" w14:textId="77777777" w:rsidTr="34EF0D43">
        <w:trPr>
          <w:trHeight w:val="544"/>
          <w:jc w:val="center"/>
        </w:trPr>
        <w:tc>
          <w:tcPr>
            <w:tcW w:w="936" w:type="dxa"/>
            <w:vMerge/>
            <w:tcMar>
              <w:top w:w="57" w:type="dxa"/>
              <w:left w:w="57" w:type="dxa"/>
              <w:bottom w:w="57" w:type="dxa"/>
              <w:right w:w="57" w:type="dxa"/>
            </w:tcMar>
          </w:tcPr>
          <w:p w14:paraId="1F491611" w14:textId="77777777" w:rsidR="009E5071" w:rsidRPr="003B11BD" w:rsidRDefault="009E5071" w:rsidP="009E5071">
            <w:pPr>
              <w:spacing w:after="0"/>
              <w:rPr>
                <w:noProof/>
                <w:sz w:val="20"/>
                <w:szCs w:val="20"/>
                <w:lang w:val="en-IE"/>
              </w:rPr>
            </w:pPr>
          </w:p>
        </w:tc>
        <w:tc>
          <w:tcPr>
            <w:tcW w:w="1276" w:type="dxa"/>
            <w:tcBorders>
              <w:right w:val="double" w:sz="4" w:space="0" w:color="auto"/>
            </w:tcBorders>
            <w:tcMar>
              <w:top w:w="57" w:type="dxa"/>
              <w:left w:w="57" w:type="dxa"/>
              <w:bottom w:w="57" w:type="dxa"/>
              <w:right w:w="57" w:type="dxa"/>
            </w:tcMar>
          </w:tcPr>
          <w:p w14:paraId="51E03ED9" w14:textId="77777777" w:rsidR="009E5071" w:rsidRPr="003B11BD" w:rsidRDefault="009E5071" w:rsidP="009E5071">
            <w:pPr>
              <w:spacing w:after="0"/>
              <w:jc w:val="left"/>
              <w:rPr>
                <w:noProof/>
                <w:sz w:val="20"/>
                <w:szCs w:val="20"/>
                <w:lang w:val="en-IE"/>
              </w:rPr>
            </w:pPr>
            <w:r w:rsidRPr="003B11BD">
              <w:rPr>
                <w:noProof/>
                <w:sz w:val="20"/>
                <w:szCs w:val="20"/>
                <w:lang w:val="en-IE"/>
              </w:rPr>
              <w:t>Indirect adjustment costs</w:t>
            </w:r>
          </w:p>
        </w:tc>
        <w:tc>
          <w:tcPr>
            <w:tcW w:w="1041" w:type="dxa"/>
            <w:tcBorders>
              <w:left w:val="double" w:sz="4" w:space="0" w:color="auto"/>
            </w:tcBorders>
            <w:tcMar>
              <w:top w:w="57" w:type="dxa"/>
              <w:left w:w="57" w:type="dxa"/>
              <w:bottom w:w="57" w:type="dxa"/>
              <w:right w:w="57" w:type="dxa"/>
            </w:tcMar>
            <w:vAlign w:val="center"/>
          </w:tcPr>
          <w:p w14:paraId="22D7FF46" w14:textId="2A247FE5"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035" w:type="dxa"/>
            <w:tcMar>
              <w:top w:w="57" w:type="dxa"/>
              <w:left w:w="57" w:type="dxa"/>
              <w:bottom w:w="57" w:type="dxa"/>
              <w:right w:w="57" w:type="dxa"/>
            </w:tcMar>
            <w:vAlign w:val="center"/>
          </w:tcPr>
          <w:p w14:paraId="5368DE3F" w14:textId="36AC8A54"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901" w:type="dxa"/>
            <w:tcMar>
              <w:top w:w="57" w:type="dxa"/>
              <w:left w:w="57" w:type="dxa"/>
              <w:bottom w:w="57" w:type="dxa"/>
              <w:right w:w="57" w:type="dxa"/>
            </w:tcMar>
            <w:vAlign w:val="center"/>
          </w:tcPr>
          <w:p w14:paraId="7922EB1A" w14:textId="6FD50817"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559" w:type="dxa"/>
            <w:tcMar>
              <w:top w:w="57" w:type="dxa"/>
              <w:left w:w="57" w:type="dxa"/>
              <w:bottom w:w="57" w:type="dxa"/>
              <w:right w:w="57" w:type="dxa"/>
            </w:tcMar>
            <w:vAlign w:val="center"/>
          </w:tcPr>
          <w:p w14:paraId="4BA24AF1" w14:textId="7E55BC7F"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134" w:type="dxa"/>
            <w:tcBorders>
              <w:top w:val="double" w:sz="4" w:space="0" w:color="auto"/>
              <w:bottom w:val="double" w:sz="4" w:space="0" w:color="auto"/>
              <w:tl2br w:val="double" w:sz="4" w:space="0" w:color="auto"/>
            </w:tcBorders>
            <w:tcMar>
              <w:top w:w="57" w:type="dxa"/>
              <w:left w:w="57" w:type="dxa"/>
              <w:bottom w:w="57" w:type="dxa"/>
              <w:right w:w="57" w:type="dxa"/>
            </w:tcMar>
            <w:vAlign w:val="center"/>
          </w:tcPr>
          <w:p w14:paraId="2C21DB31" w14:textId="77777777" w:rsidR="009E5071" w:rsidRPr="003B11BD" w:rsidRDefault="009E5071" w:rsidP="009E5071">
            <w:pPr>
              <w:spacing w:after="0"/>
              <w:jc w:val="center"/>
              <w:rPr>
                <w:noProof/>
                <w:sz w:val="20"/>
                <w:szCs w:val="20"/>
                <w:lang w:val="en-IE"/>
              </w:rPr>
            </w:pPr>
          </w:p>
        </w:tc>
        <w:tc>
          <w:tcPr>
            <w:tcW w:w="1190" w:type="dxa"/>
            <w:tcBorders>
              <w:top w:val="double" w:sz="4" w:space="0" w:color="auto"/>
              <w:bottom w:val="double" w:sz="4" w:space="0" w:color="auto"/>
              <w:tl2br w:val="double" w:sz="4" w:space="0" w:color="auto"/>
            </w:tcBorders>
            <w:tcMar>
              <w:top w:w="57" w:type="dxa"/>
              <w:left w:w="57" w:type="dxa"/>
              <w:bottom w:w="57" w:type="dxa"/>
              <w:right w:w="57" w:type="dxa"/>
            </w:tcMar>
            <w:vAlign w:val="center"/>
          </w:tcPr>
          <w:p w14:paraId="29E29FE6" w14:textId="77777777" w:rsidR="009E5071" w:rsidRPr="003B11BD" w:rsidRDefault="009E5071" w:rsidP="009E5071">
            <w:pPr>
              <w:spacing w:after="0"/>
              <w:jc w:val="center"/>
              <w:rPr>
                <w:noProof/>
                <w:sz w:val="20"/>
                <w:szCs w:val="20"/>
                <w:lang w:val="en-IE"/>
              </w:rPr>
            </w:pPr>
          </w:p>
        </w:tc>
      </w:tr>
      <w:tr w:rsidR="009E5071" w:rsidRPr="003B11BD" w14:paraId="7A390A6A" w14:textId="77777777" w:rsidTr="34EF0D43">
        <w:trPr>
          <w:jc w:val="center"/>
        </w:trPr>
        <w:tc>
          <w:tcPr>
            <w:tcW w:w="936" w:type="dxa"/>
            <w:vMerge/>
            <w:tcMar>
              <w:top w:w="57" w:type="dxa"/>
              <w:left w:w="57" w:type="dxa"/>
              <w:bottom w:w="57" w:type="dxa"/>
              <w:right w:w="57" w:type="dxa"/>
            </w:tcMar>
          </w:tcPr>
          <w:p w14:paraId="51401F6B" w14:textId="77777777" w:rsidR="009E5071" w:rsidRPr="003B11BD" w:rsidRDefault="009E5071" w:rsidP="009E5071">
            <w:pPr>
              <w:spacing w:after="0"/>
              <w:rPr>
                <w:noProof/>
                <w:sz w:val="20"/>
                <w:szCs w:val="20"/>
                <w:lang w:val="en-IE"/>
              </w:rPr>
            </w:pPr>
          </w:p>
        </w:tc>
        <w:tc>
          <w:tcPr>
            <w:tcW w:w="1276" w:type="dxa"/>
            <w:tcBorders>
              <w:right w:val="double" w:sz="4" w:space="0" w:color="auto"/>
            </w:tcBorders>
            <w:tcMar>
              <w:top w:w="57" w:type="dxa"/>
              <w:left w:w="57" w:type="dxa"/>
              <w:bottom w:w="57" w:type="dxa"/>
              <w:right w:w="57" w:type="dxa"/>
            </w:tcMar>
          </w:tcPr>
          <w:p w14:paraId="24023632" w14:textId="77777777" w:rsidR="009E5071" w:rsidRPr="003B11BD" w:rsidRDefault="009E5071" w:rsidP="009E5071">
            <w:pPr>
              <w:spacing w:after="0"/>
              <w:jc w:val="left"/>
              <w:rPr>
                <w:noProof/>
                <w:sz w:val="20"/>
                <w:szCs w:val="20"/>
                <w:lang w:val="en-IE"/>
              </w:rPr>
            </w:pPr>
            <w:r w:rsidRPr="003B11BD">
              <w:rPr>
                <w:noProof/>
                <w:sz w:val="20"/>
                <w:szCs w:val="20"/>
                <w:lang w:val="en-IE"/>
              </w:rPr>
              <w:t>Administrative costs (for offsetting)</w:t>
            </w:r>
          </w:p>
        </w:tc>
        <w:tc>
          <w:tcPr>
            <w:tcW w:w="1041" w:type="dxa"/>
            <w:tcBorders>
              <w:left w:val="double" w:sz="4" w:space="0" w:color="auto"/>
            </w:tcBorders>
            <w:tcMar>
              <w:top w:w="57" w:type="dxa"/>
              <w:left w:w="57" w:type="dxa"/>
              <w:bottom w:w="57" w:type="dxa"/>
              <w:right w:w="57" w:type="dxa"/>
            </w:tcMar>
            <w:vAlign w:val="center"/>
          </w:tcPr>
          <w:p w14:paraId="03E5EC57" w14:textId="5B73B030"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035" w:type="dxa"/>
            <w:tcMar>
              <w:top w:w="57" w:type="dxa"/>
              <w:left w:w="57" w:type="dxa"/>
              <w:bottom w:w="57" w:type="dxa"/>
              <w:right w:w="57" w:type="dxa"/>
            </w:tcMar>
            <w:vAlign w:val="center"/>
          </w:tcPr>
          <w:p w14:paraId="26A886B8" w14:textId="4CE03942"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901" w:type="dxa"/>
            <w:tcMar>
              <w:top w:w="57" w:type="dxa"/>
              <w:left w:w="57" w:type="dxa"/>
              <w:bottom w:w="57" w:type="dxa"/>
              <w:right w:w="57" w:type="dxa"/>
            </w:tcMar>
            <w:vAlign w:val="center"/>
          </w:tcPr>
          <w:p w14:paraId="2A4514C4" w14:textId="73171DA6"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559" w:type="dxa"/>
            <w:tcMar>
              <w:top w:w="57" w:type="dxa"/>
              <w:left w:w="57" w:type="dxa"/>
              <w:bottom w:w="57" w:type="dxa"/>
              <w:right w:w="57" w:type="dxa"/>
            </w:tcMar>
            <w:vAlign w:val="center"/>
          </w:tcPr>
          <w:p w14:paraId="373A6777" w14:textId="3096CB1D" w:rsidR="009E5071" w:rsidRPr="003B11BD" w:rsidRDefault="009E5071" w:rsidP="009E5071">
            <w:pPr>
              <w:spacing w:after="0"/>
              <w:jc w:val="center"/>
              <w:rPr>
                <w:noProof/>
                <w:sz w:val="20"/>
                <w:szCs w:val="20"/>
                <w:lang w:val="en-IE"/>
              </w:rPr>
            </w:pPr>
            <w:r w:rsidRPr="003B11BD">
              <w:rPr>
                <w:noProof/>
                <w:sz w:val="20"/>
                <w:szCs w:val="20"/>
                <w:lang w:val="en-IE"/>
              </w:rPr>
              <w:t>0</w:t>
            </w:r>
          </w:p>
        </w:tc>
        <w:tc>
          <w:tcPr>
            <w:tcW w:w="1134" w:type="dxa"/>
            <w:tcBorders>
              <w:top w:val="single" w:sz="4" w:space="0" w:color="auto"/>
              <w:bottom w:val="double" w:sz="4" w:space="0" w:color="auto"/>
              <w:tl2br w:val="double" w:sz="4" w:space="0" w:color="auto"/>
            </w:tcBorders>
            <w:tcMar>
              <w:top w:w="57" w:type="dxa"/>
              <w:left w:w="57" w:type="dxa"/>
              <w:bottom w:w="57" w:type="dxa"/>
              <w:right w:w="57" w:type="dxa"/>
            </w:tcMar>
            <w:vAlign w:val="center"/>
          </w:tcPr>
          <w:p w14:paraId="56A005EA" w14:textId="77777777" w:rsidR="009E5071" w:rsidRPr="003B11BD" w:rsidRDefault="009E5071" w:rsidP="009E5071">
            <w:pPr>
              <w:spacing w:after="0"/>
              <w:jc w:val="center"/>
              <w:rPr>
                <w:noProof/>
                <w:sz w:val="20"/>
                <w:szCs w:val="20"/>
                <w:lang w:val="en-IE"/>
              </w:rPr>
            </w:pPr>
          </w:p>
        </w:tc>
        <w:tc>
          <w:tcPr>
            <w:tcW w:w="1190" w:type="dxa"/>
            <w:tcBorders>
              <w:top w:val="single" w:sz="4" w:space="0" w:color="auto"/>
              <w:bottom w:val="double" w:sz="4" w:space="0" w:color="auto"/>
              <w:tl2br w:val="double" w:sz="4" w:space="0" w:color="auto"/>
            </w:tcBorders>
            <w:tcMar>
              <w:top w:w="57" w:type="dxa"/>
              <w:left w:w="57" w:type="dxa"/>
              <w:bottom w:w="57" w:type="dxa"/>
              <w:right w:w="57" w:type="dxa"/>
            </w:tcMar>
            <w:vAlign w:val="center"/>
          </w:tcPr>
          <w:p w14:paraId="540FB900" w14:textId="77777777" w:rsidR="009E5071" w:rsidRPr="003B11BD" w:rsidRDefault="009E5071" w:rsidP="009E5071">
            <w:pPr>
              <w:spacing w:after="0"/>
              <w:jc w:val="center"/>
              <w:rPr>
                <w:noProof/>
                <w:sz w:val="20"/>
                <w:szCs w:val="20"/>
                <w:lang w:val="en-IE"/>
              </w:rPr>
            </w:pPr>
          </w:p>
        </w:tc>
      </w:tr>
    </w:tbl>
    <w:p w14:paraId="5983E1C8" w14:textId="77777777" w:rsidR="00BB2C31" w:rsidRPr="003B11BD" w:rsidRDefault="00BB2C31" w:rsidP="00D6264D">
      <w:pPr>
        <w:pStyle w:val="Annexsubsections"/>
        <w:rPr>
          <w:noProof/>
        </w:rPr>
      </w:pPr>
      <w:r w:rsidRPr="003B11BD">
        <w:rPr>
          <w:noProof/>
        </w:rPr>
        <w:t>Relevant sustainable development goals</w:t>
      </w:r>
    </w:p>
    <w:tbl>
      <w:tblPr>
        <w:tblStyle w:val="CV11"/>
        <w:tblW w:w="9072"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5"/>
        <w:gridCol w:w="3631"/>
        <w:gridCol w:w="3176"/>
      </w:tblGrid>
      <w:tr w:rsidR="005706EA" w:rsidRPr="003B11BD" w14:paraId="2D4C09B4" w14:textId="77777777" w:rsidTr="00242E05">
        <w:tc>
          <w:tcPr>
            <w:tcW w:w="9072" w:type="dxa"/>
            <w:gridSpan w:val="3"/>
            <w:tcBorders>
              <w:top w:val="double" w:sz="4" w:space="0" w:color="auto"/>
              <w:bottom w:val="double" w:sz="4" w:space="0" w:color="auto"/>
            </w:tcBorders>
            <w:shd w:val="clear" w:color="auto" w:fill="C6D9F1" w:themeFill="text2" w:themeFillTint="33"/>
          </w:tcPr>
          <w:p w14:paraId="5A37E4A9" w14:textId="795BDE01" w:rsidR="009409F1" w:rsidRPr="003B11BD" w:rsidRDefault="009409F1" w:rsidP="009D4C15">
            <w:pPr>
              <w:spacing w:after="0"/>
              <w:rPr>
                <w:b/>
                <w:noProof/>
                <w:sz w:val="20"/>
                <w:lang w:val="en-IE"/>
              </w:rPr>
            </w:pPr>
            <w:r w:rsidRPr="003B11BD">
              <w:rPr>
                <w:b/>
                <w:noProof/>
                <w:sz w:val="20"/>
                <w:lang w:val="en-IE"/>
              </w:rPr>
              <w:t>I</w:t>
            </w:r>
            <w:r w:rsidR="009D4C15" w:rsidRPr="003B11BD">
              <w:rPr>
                <w:b/>
                <w:noProof/>
                <w:sz w:val="20"/>
                <w:lang w:val="en-IE"/>
              </w:rPr>
              <w:t>II</w:t>
            </w:r>
            <w:r w:rsidRPr="003B11BD">
              <w:rPr>
                <w:b/>
                <w:noProof/>
                <w:sz w:val="20"/>
                <w:lang w:val="en-IE"/>
              </w:rPr>
              <w:t>. Overview of relevant Sustainable Development Goals – Preferred Option(</w:t>
            </w:r>
            <w:r w:rsidR="000140CC" w:rsidRPr="003B11BD">
              <w:rPr>
                <w:b/>
                <w:noProof/>
                <w:sz w:val="20"/>
                <w:lang w:val="en-IE"/>
              </w:rPr>
              <w:t>PO4</w:t>
            </w:r>
            <w:r w:rsidRPr="003B11BD">
              <w:rPr>
                <w:b/>
                <w:noProof/>
                <w:sz w:val="20"/>
                <w:lang w:val="en-IE"/>
              </w:rPr>
              <w:t>)</w:t>
            </w:r>
          </w:p>
        </w:tc>
      </w:tr>
      <w:tr w:rsidR="00B42060" w:rsidRPr="003B11BD" w14:paraId="025F8562" w14:textId="77777777" w:rsidTr="00242E05">
        <w:tc>
          <w:tcPr>
            <w:tcW w:w="2265" w:type="dxa"/>
            <w:tcBorders>
              <w:top w:val="double" w:sz="4" w:space="0" w:color="auto"/>
            </w:tcBorders>
            <w:shd w:val="clear" w:color="auto" w:fill="C6D9F1" w:themeFill="text2" w:themeFillTint="33"/>
          </w:tcPr>
          <w:p w14:paraId="591CFDDB" w14:textId="77777777" w:rsidR="009409F1" w:rsidRPr="003B11BD" w:rsidRDefault="009409F1" w:rsidP="009D4C15">
            <w:pPr>
              <w:spacing w:after="0"/>
              <w:rPr>
                <w:b/>
                <w:noProof/>
                <w:sz w:val="20"/>
                <w:lang w:val="en-IE"/>
              </w:rPr>
            </w:pPr>
            <w:r w:rsidRPr="003B11BD">
              <w:rPr>
                <w:b/>
                <w:noProof/>
                <w:sz w:val="20"/>
                <w:lang w:val="en-IE"/>
              </w:rPr>
              <w:t>Relevant SDG</w:t>
            </w:r>
          </w:p>
        </w:tc>
        <w:tc>
          <w:tcPr>
            <w:tcW w:w="3631" w:type="dxa"/>
            <w:tcBorders>
              <w:top w:val="double" w:sz="4" w:space="0" w:color="auto"/>
            </w:tcBorders>
            <w:shd w:val="clear" w:color="auto" w:fill="C6D9F1" w:themeFill="text2" w:themeFillTint="33"/>
          </w:tcPr>
          <w:p w14:paraId="48438EA1" w14:textId="77777777" w:rsidR="009409F1" w:rsidRPr="003B11BD" w:rsidRDefault="009409F1" w:rsidP="009D4C15">
            <w:pPr>
              <w:spacing w:after="0"/>
              <w:rPr>
                <w:b/>
                <w:noProof/>
                <w:sz w:val="20"/>
                <w:lang w:val="en-IE"/>
              </w:rPr>
            </w:pPr>
            <w:r w:rsidRPr="003B11BD">
              <w:rPr>
                <w:b/>
                <w:noProof/>
                <w:sz w:val="20"/>
                <w:lang w:val="en-IE"/>
              </w:rPr>
              <w:t>Expected progress towards the Goal</w:t>
            </w:r>
          </w:p>
        </w:tc>
        <w:tc>
          <w:tcPr>
            <w:tcW w:w="3176" w:type="dxa"/>
            <w:tcBorders>
              <w:top w:val="double" w:sz="4" w:space="0" w:color="auto"/>
            </w:tcBorders>
            <w:shd w:val="clear" w:color="auto" w:fill="C6D9F1" w:themeFill="text2" w:themeFillTint="33"/>
            <w:tcMar>
              <w:top w:w="57" w:type="dxa"/>
              <w:left w:w="57" w:type="dxa"/>
              <w:bottom w:w="57" w:type="dxa"/>
              <w:right w:w="57" w:type="dxa"/>
            </w:tcMar>
          </w:tcPr>
          <w:p w14:paraId="62C388AF" w14:textId="77777777" w:rsidR="009409F1" w:rsidRPr="003B11BD" w:rsidRDefault="009409F1" w:rsidP="009D4C15">
            <w:pPr>
              <w:spacing w:after="0"/>
              <w:rPr>
                <w:b/>
                <w:noProof/>
                <w:sz w:val="20"/>
                <w:lang w:val="en-IE"/>
              </w:rPr>
            </w:pPr>
            <w:r w:rsidRPr="003B11BD">
              <w:rPr>
                <w:b/>
                <w:noProof/>
                <w:sz w:val="20"/>
                <w:lang w:val="en-IE"/>
              </w:rPr>
              <w:t>Comments</w:t>
            </w:r>
          </w:p>
        </w:tc>
      </w:tr>
      <w:tr w:rsidR="007C5584" w:rsidRPr="003B11BD" w14:paraId="0232129D" w14:textId="77777777" w:rsidTr="00242E05">
        <w:tc>
          <w:tcPr>
            <w:tcW w:w="9072" w:type="dxa"/>
            <w:gridSpan w:val="3"/>
            <w:tcBorders>
              <w:top w:val="double" w:sz="4" w:space="0" w:color="auto"/>
              <w:bottom w:val="single" w:sz="4" w:space="0" w:color="auto"/>
            </w:tcBorders>
          </w:tcPr>
          <w:p w14:paraId="617936A4" w14:textId="436336C9" w:rsidR="009409F1" w:rsidRPr="003B11BD" w:rsidRDefault="00C003F2" w:rsidP="009D4C15">
            <w:pPr>
              <w:spacing w:after="0"/>
              <w:rPr>
                <w:noProof/>
                <w:sz w:val="20"/>
                <w:lang w:val="en-IE"/>
              </w:rPr>
            </w:pPr>
            <w:r w:rsidRPr="003B11BD">
              <w:rPr>
                <w:noProof/>
                <w:sz w:val="20"/>
                <w:lang w:val="en-IE"/>
              </w:rPr>
              <w:t xml:space="preserve">More effective response to a major cross-border crisis affecting the EU can be potentially related to: </w:t>
            </w:r>
          </w:p>
        </w:tc>
      </w:tr>
      <w:tr w:rsidR="009C0E24" w:rsidRPr="003B11BD" w14:paraId="7443F1FB" w14:textId="77777777" w:rsidTr="00242E05">
        <w:tc>
          <w:tcPr>
            <w:tcW w:w="2265" w:type="dxa"/>
            <w:tcBorders>
              <w:top w:val="single" w:sz="4" w:space="0" w:color="auto"/>
              <w:bottom w:val="single" w:sz="4" w:space="0" w:color="auto"/>
            </w:tcBorders>
          </w:tcPr>
          <w:p w14:paraId="13981693" w14:textId="77777777" w:rsidR="009C0E24" w:rsidRPr="003B11BD" w:rsidRDefault="009C0E24" w:rsidP="006509F9">
            <w:pPr>
              <w:spacing w:after="0"/>
              <w:jc w:val="left"/>
              <w:rPr>
                <w:noProof/>
                <w:sz w:val="20"/>
                <w:lang w:val="en-IE"/>
              </w:rPr>
            </w:pPr>
            <w:r w:rsidRPr="003B11BD">
              <w:rPr>
                <w:noProof/>
                <w:sz w:val="20"/>
                <w:lang w:val="en-IE"/>
              </w:rPr>
              <w:t>Goal 3: Good health and well-being</w:t>
            </w:r>
          </w:p>
        </w:tc>
        <w:tc>
          <w:tcPr>
            <w:tcW w:w="3631" w:type="dxa"/>
            <w:tcBorders>
              <w:top w:val="single" w:sz="4" w:space="0" w:color="auto"/>
              <w:bottom w:val="single" w:sz="4" w:space="0" w:color="auto"/>
            </w:tcBorders>
            <w:tcMar>
              <w:top w:w="57" w:type="dxa"/>
              <w:left w:w="57" w:type="dxa"/>
              <w:bottom w:w="57" w:type="dxa"/>
              <w:right w:w="57" w:type="dxa"/>
            </w:tcMar>
          </w:tcPr>
          <w:p w14:paraId="4CA6AFA9" w14:textId="54E17572" w:rsidR="009C0E24" w:rsidRPr="003B11BD" w:rsidRDefault="001E45FE" w:rsidP="007826C8">
            <w:pPr>
              <w:pStyle w:val="ListParagraph"/>
              <w:rPr>
                <w:noProof/>
              </w:rPr>
            </w:pPr>
            <w:r w:rsidRPr="003B11BD">
              <w:rPr>
                <w:noProof/>
              </w:rPr>
              <w:t>f</w:t>
            </w:r>
            <w:r w:rsidR="00B773D4" w:rsidRPr="003B11BD">
              <w:rPr>
                <w:noProof/>
              </w:rPr>
              <w:t>acilitate access to critical products that may be necessary to prevent epidemics, reduce mortality, ensure access to healthcare.</w:t>
            </w:r>
          </w:p>
        </w:tc>
        <w:tc>
          <w:tcPr>
            <w:tcW w:w="3176" w:type="dxa"/>
            <w:tcBorders>
              <w:top w:val="single" w:sz="4" w:space="0" w:color="auto"/>
              <w:bottom w:val="single" w:sz="4" w:space="0" w:color="auto"/>
            </w:tcBorders>
            <w:tcMar>
              <w:top w:w="57" w:type="dxa"/>
              <w:left w:w="57" w:type="dxa"/>
              <w:bottom w:w="57" w:type="dxa"/>
              <w:right w:w="57" w:type="dxa"/>
            </w:tcMar>
          </w:tcPr>
          <w:p w14:paraId="31ADD152" w14:textId="1CB45FD7" w:rsidR="009C0E24" w:rsidRPr="003B11BD" w:rsidRDefault="009C0E24" w:rsidP="00C278E9">
            <w:pPr>
              <w:spacing w:after="0"/>
              <w:ind w:right="119"/>
              <w:rPr>
                <w:noProof/>
                <w:sz w:val="20"/>
                <w:lang w:val="en-IE"/>
              </w:rPr>
            </w:pPr>
            <w:r w:rsidRPr="003B11BD">
              <w:rPr>
                <w:noProof/>
                <w:sz w:val="20"/>
                <w:lang w:val="en-IE"/>
              </w:rPr>
              <w:t>If the crisis concerns health-related aspects</w:t>
            </w:r>
            <w:r w:rsidR="00C003F2" w:rsidRPr="003B11BD">
              <w:rPr>
                <w:noProof/>
                <w:sz w:val="20"/>
                <w:lang w:val="en-IE"/>
              </w:rPr>
              <w:t>.</w:t>
            </w:r>
          </w:p>
        </w:tc>
      </w:tr>
      <w:tr w:rsidR="009C0E24" w:rsidRPr="003B11BD" w14:paraId="388880AD" w14:textId="77777777" w:rsidTr="00242E05">
        <w:tc>
          <w:tcPr>
            <w:tcW w:w="2265" w:type="dxa"/>
            <w:tcBorders>
              <w:top w:val="single" w:sz="4" w:space="0" w:color="auto"/>
              <w:bottom w:val="single" w:sz="4" w:space="0" w:color="auto"/>
            </w:tcBorders>
          </w:tcPr>
          <w:p w14:paraId="0DB73E82" w14:textId="77777777" w:rsidR="009C0E24" w:rsidRPr="003B11BD" w:rsidRDefault="00BF0F5C" w:rsidP="006509F9">
            <w:pPr>
              <w:spacing w:after="0"/>
              <w:jc w:val="left"/>
              <w:rPr>
                <w:noProof/>
                <w:sz w:val="20"/>
                <w:lang w:val="en-IE"/>
              </w:rPr>
            </w:pPr>
            <w:r w:rsidRPr="003B11BD">
              <w:rPr>
                <w:noProof/>
                <w:sz w:val="20"/>
                <w:lang w:val="en-IE"/>
              </w:rPr>
              <w:t>Goal 6: Ensure availability and sustainable management of water and sanitation for all</w:t>
            </w:r>
          </w:p>
          <w:p w14:paraId="0C2537CC" w14:textId="1A9168F0" w:rsidR="00CF6BE8" w:rsidRPr="003B11BD" w:rsidRDefault="00CF6BE8" w:rsidP="006509F9">
            <w:pPr>
              <w:spacing w:after="0"/>
              <w:jc w:val="left"/>
              <w:rPr>
                <w:noProof/>
                <w:sz w:val="20"/>
                <w:lang w:val="en-IE"/>
              </w:rPr>
            </w:pPr>
            <w:r w:rsidRPr="003B11BD">
              <w:rPr>
                <w:noProof/>
                <w:sz w:val="20"/>
                <w:lang w:val="en-IE"/>
              </w:rPr>
              <w:t>Goal 13: Take urgent action to combat climate change and its impacts</w:t>
            </w:r>
          </w:p>
        </w:tc>
        <w:tc>
          <w:tcPr>
            <w:tcW w:w="3631" w:type="dxa"/>
            <w:tcBorders>
              <w:top w:val="single" w:sz="4" w:space="0" w:color="auto"/>
              <w:bottom w:val="single" w:sz="4" w:space="0" w:color="auto"/>
            </w:tcBorders>
            <w:tcMar>
              <w:top w:w="57" w:type="dxa"/>
              <w:left w:w="57" w:type="dxa"/>
              <w:bottom w:w="57" w:type="dxa"/>
              <w:right w:w="57" w:type="dxa"/>
            </w:tcMar>
          </w:tcPr>
          <w:p w14:paraId="362722C1" w14:textId="77777777" w:rsidR="009C0E24" w:rsidRPr="003B11BD" w:rsidRDefault="0021030C" w:rsidP="007826C8">
            <w:pPr>
              <w:pStyle w:val="ListParagraph"/>
              <w:rPr>
                <w:noProof/>
              </w:rPr>
            </w:pPr>
            <w:r w:rsidRPr="003B11BD">
              <w:rPr>
                <w:noProof/>
              </w:rPr>
              <w:t>depending on the exact type of crisis, for example</w:t>
            </w:r>
            <w:r w:rsidR="00781D29" w:rsidRPr="003B11BD">
              <w:rPr>
                <w:noProof/>
              </w:rPr>
              <w:t>:</w:t>
            </w:r>
            <w:r w:rsidRPr="003B11BD">
              <w:rPr>
                <w:noProof/>
              </w:rPr>
              <w:t xml:space="preserve"> </w:t>
            </w:r>
            <w:r w:rsidR="00BF0F5C" w:rsidRPr="003B11BD">
              <w:rPr>
                <w:noProof/>
              </w:rPr>
              <w:t xml:space="preserve">ensure access to clean water, reduce pollution, minimize the release of hazardous chemicals, </w:t>
            </w:r>
            <w:r w:rsidRPr="003B11BD">
              <w:rPr>
                <w:noProof/>
              </w:rPr>
              <w:t>etc.</w:t>
            </w:r>
          </w:p>
          <w:p w14:paraId="0ADA3859" w14:textId="0A168F22" w:rsidR="00CF6BE8" w:rsidRPr="003B11BD" w:rsidRDefault="00CF6BE8" w:rsidP="007826C8">
            <w:pPr>
              <w:pStyle w:val="ListParagraph"/>
              <w:rPr>
                <w:noProof/>
              </w:rPr>
            </w:pPr>
            <w:r w:rsidRPr="003B11BD">
              <w:rPr>
                <w:noProof/>
              </w:rPr>
              <w:t xml:space="preserve">strengthen resilience and adaptive capacity to climate-related hazards and natural disasters, </w:t>
            </w:r>
          </w:p>
        </w:tc>
        <w:tc>
          <w:tcPr>
            <w:tcW w:w="3176" w:type="dxa"/>
            <w:tcBorders>
              <w:top w:val="single" w:sz="4" w:space="0" w:color="auto"/>
              <w:bottom w:val="single" w:sz="4" w:space="0" w:color="auto"/>
            </w:tcBorders>
            <w:tcMar>
              <w:top w:w="57" w:type="dxa"/>
              <w:left w:w="57" w:type="dxa"/>
              <w:bottom w:w="57" w:type="dxa"/>
              <w:right w:w="57" w:type="dxa"/>
            </w:tcMar>
          </w:tcPr>
          <w:p w14:paraId="70B05A63" w14:textId="1E180384" w:rsidR="009C0E24" w:rsidRPr="003B11BD" w:rsidRDefault="00BF0F5C" w:rsidP="00C278E9">
            <w:pPr>
              <w:spacing w:after="0"/>
              <w:ind w:right="119"/>
              <w:rPr>
                <w:noProof/>
                <w:sz w:val="20"/>
                <w:lang w:val="en-IE"/>
              </w:rPr>
            </w:pPr>
            <w:r w:rsidRPr="003B11BD">
              <w:rPr>
                <w:noProof/>
                <w:sz w:val="20"/>
                <w:lang w:val="en-IE"/>
              </w:rPr>
              <w:t>If the crisis concerns environmental aspects</w:t>
            </w:r>
            <w:r w:rsidR="001E45FE" w:rsidRPr="003B11BD">
              <w:rPr>
                <w:noProof/>
                <w:sz w:val="20"/>
                <w:lang w:val="en-IE"/>
              </w:rPr>
              <w:t>.</w:t>
            </w:r>
          </w:p>
        </w:tc>
      </w:tr>
      <w:tr w:rsidR="001E45FE" w:rsidRPr="003B11BD" w14:paraId="2C153BD8" w14:textId="77777777" w:rsidTr="00242E05">
        <w:tc>
          <w:tcPr>
            <w:tcW w:w="2265" w:type="dxa"/>
            <w:tcBorders>
              <w:top w:val="single" w:sz="4" w:space="0" w:color="auto"/>
              <w:bottom w:val="single" w:sz="4" w:space="0" w:color="auto"/>
            </w:tcBorders>
          </w:tcPr>
          <w:p w14:paraId="2C0FF222" w14:textId="5ABEE987" w:rsidR="001E45FE" w:rsidRPr="003B11BD" w:rsidRDefault="001E45FE" w:rsidP="006509F9">
            <w:pPr>
              <w:spacing w:after="0"/>
              <w:jc w:val="left"/>
              <w:rPr>
                <w:noProof/>
                <w:sz w:val="20"/>
                <w:lang w:val="en-IE"/>
              </w:rPr>
            </w:pPr>
            <w:r w:rsidRPr="003B11BD">
              <w:rPr>
                <w:noProof/>
                <w:sz w:val="20"/>
                <w:lang w:val="en-IE"/>
              </w:rPr>
              <w:t>Goal 7: Ensure access to affordable, reliable, sustainable and modern energy for all</w:t>
            </w:r>
          </w:p>
        </w:tc>
        <w:tc>
          <w:tcPr>
            <w:tcW w:w="3631" w:type="dxa"/>
            <w:tcBorders>
              <w:top w:val="single" w:sz="4" w:space="0" w:color="auto"/>
              <w:bottom w:val="single" w:sz="4" w:space="0" w:color="auto"/>
            </w:tcBorders>
            <w:tcMar>
              <w:top w:w="57" w:type="dxa"/>
              <w:left w:w="57" w:type="dxa"/>
              <w:bottom w:w="57" w:type="dxa"/>
              <w:right w:w="57" w:type="dxa"/>
            </w:tcMar>
          </w:tcPr>
          <w:p w14:paraId="7AC8DB37" w14:textId="077DDE7E" w:rsidR="001E45FE" w:rsidRPr="003B11BD" w:rsidRDefault="001E45FE" w:rsidP="007826C8">
            <w:pPr>
              <w:pStyle w:val="ListParagraph"/>
              <w:rPr>
                <w:noProof/>
              </w:rPr>
            </w:pPr>
            <w:r w:rsidRPr="003B11BD">
              <w:rPr>
                <w:noProof/>
              </w:rPr>
              <w:t>depending on the exact type of crisis, for example: ensure access to energy, improve energy efficiency, upgrade technology for supplying modern and sustainable energy</w:t>
            </w:r>
          </w:p>
        </w:tc>
        <w:tc>
          <w:tcPr>
            <w:tcW w:w="3176" w:type="dxa"/>
            <w:tcBorders>
              <w:top w:val="single" w:sz="4" w:space="0" w:color="auto"/>
              <w:bottom w:val="single" w:sz="4" w:space="0" w:color="auto"/>
            </w:tcBorders>
            <w:tcMar>
              <w:top w:w="57" w:type="dxa"/>
              <w:left w:w="57" w:type="dxa"/>
              <w:bottom w:w="57" w:type="dxa"/>
              <w:right w:w="57" w:type="dxa"/>
            </w:tcMar>
          </w:tcPr>
          <w:p w14:paraId="068EB728" w14:textId="59C53932" w:rsidR="001E45FE" w:rsidRPr="003B11BD" w:rsidRDefault="001E45FE" w:rsidP="00C278E9">
            <w:pPr>
              <w:spacing w:after="0"/>
              <w:ind w:right="119"/>
              <w:rPr>
                <w:noProof/>
                <w:sz w:val="20"/>
                <w:lang w:val="en-IE"/>
              </w:rPr>
            </w:pPr>
            <w:r w:rsidRPr="003B11BD">
              <w:rPr>
                <w:noProof/>
                <w:sz w:val="20"/>
                <w:lang w:val="en-IE"/>
              </w:rPr>
              <w:t xml:space="preserve">If the crisis concerns energy networks and energy supply. </w:t>
            </w:r>
          </w:p>
        </w:tc>
      </w:tr>
      <w:tr w:rsidR="001E45FE" w:rsidRPr="003B11BD" w14:paraId="44BAD832" w14:textId="77777777" w:rsidTr="00242E05">
        <w:tc>
          <w:tcPr>
            <w:tcW w:w="2265" w:type="dxa"/>
            <w:tcBorders>
              <w:top w:val="single" w:sz="4" w:space="0" w:color="auto"/>
              <w:bottom w:val="single" w:sz="4" w:space="0" w:color="auto"/>
            </w:tcBorders>
          </w:tcPr>
          <w:p w14:paraId="399400E3" w14:textId="31FDA7BC" w:rsidR="001E45FE" w:rsidRPr="003B11BD" w:rsidRDefault="001E45FE" w:rsidP="006509F9">
            <w:pPr>
              <w:spacing w:after="0"/>
              <w:jc w:val="left"/>
              <w:rPr>
                <w:noProof/>
                <w:sz w:val="20"/>
                <w:lang w:val="en-IE"/>
              </w:rPr>
            </w:pPr>
            <w:r w:rsidRPr="003B11BD">
              <w:rPr>
                <w:noProof/>
                <w:sz w:val="20"/>
                <w:lang w:val="en-IE"/>
              </w:rPr>
              <w:t xml:space="preserve">Goal 8: </w:t>
            </w:r>
            <w:r w:rsidR="006509F9" w:rsidRPr="003B11BD">
              <w:rPr>
                <w:noProof/>
                <w:sz w:val="20"/>
                <w:lang w:val="en-IE"/>
              </w:rPr>
              <w:t>Promote sustained, inclusive and sustainable economic growth, full and productive employment and decent work for all</w:t>
            </w:r>
          </w:p>
        </w:tc>
        <w:tc>
          <w:tcPr>
            <w:tcW w:w="3631" w:type="dxa"/>
            <w:tcBorders>
              <w:top w:val="single" w:sz="4" w:space="0" w:color="auto"/>
              <w:bottom w:val="single" w:sz="4" w:space="0" w:color="auto"/>
            </w:tcBorders>
            <w:tcMar>
              <w:top w:w="57" w:type="dxa"/>
              <w:left w:w="57" w:type="dxa"/>
              <w:bottom w:w="57" w:type="dxa"/>
              <w:right w:w="57" w:type="dxa"/>
            </w:tcMar>
          </w:tcPr>
          <w:p w14:paraId="612999F3" w14:textId="77777777" w:rsidR="006509F9" w:rsidRPr="003B11BD" w:rsidRDefault="001E45FE" w:rsidP="007826C8">
            <w:pPr>
              <w:pStyle w:val="ListParagraph"/>
              <w:rPr>
                <w:noProof/>
              </w:rPr>
            </w:pPr>
            <w:r w:rsidRPr="003B11BD">
              <w:rPr>
                <w:noProof/>
              </w:rPr>
              <w:t xml:space="preserve">help </w:t>
            </w:r>
            <w:r w:rsidR="006509F9" w:rsidRPr="003B11BD">
              <w:rPr>
                <w:noProof/>
              </w:rPr>
              <w:t xml:space="preserve">sustain per capita economic growth in accordance with national circumstances (despite the crisis); </w:t>
            </w:r>
          </w:p>
          <w:p w14:paraId="7DF2D203" w14:textId="5FA6C965" w:rsidR="001E45FE" w:rsidRPr="003B11BD" w:rsidRDefault="000140CC" w:rsidP="007826C8">
            <w:pPr>
              <w:pStyle w:val="ListParagraph"/>
              <w:rPr>
                <w:noProof/>
              </w:rPr>
            </w:pPr>
            <w:r w:rsidRPr="003B11BD">
              <w:rPr>
                <w:noProof/>
              </w:rPr>
              <w:t>h</w:t>
            </w:r>
            <w:r w:rsidR="006509F9" w:rsidRPr="003B11BD">
              <w:rPr>
                <w:noProof/>
              </w:rPr>
              <w:t>elp restore full and productive employment</w:t>
            </w:r>
            <w:r w:rsidR="001E45FE" w:rsidRPr="003B11BD">
              <w:rPr>
                <w:noProof/>
              </w:rPr>
              <w:t>.</w:t>
            </w:r>
          </w:p>
        </w:tc>
        <w:tc>
          <w:tcPr>
            <w:tcW w:w="3176" w:type="dxa"/>
            <w:tcBorders>
              <w:top w:val="single" w:sz="4" w:space="0" w:color="auto"/>
              <w:bottom w:val="single" w:sz="4" w:space="0" w:color="auto"/>
            </w:tcBorders>
            <w:tcMar>
              <w:top w:w="57" w:type="dxa"/>
              <w:left w:w="57" w:type="dxa"/>
              <w:bottom w:w="57" w:type="dxa"/>
              <w:right w:w="57" w:type="dxa"/>
            </w:tcMar>
          </w:tcPr>
          <w:p w14:paraId="676FBD37" w14:textId="528B4593" w:rsidR="001E45FE" w:rsidRPr="003B11BD" w:rsidRDefault="006509F9" w:rsidP="00C278E9">
            <w:pPr>
              <w:spacing w:after="0"/>
              <w:ind w:right="119"/>
              <w:rPr>
                <w:noProof/>
                <w:sz w:val="20"/>
                <w:lang w:val="en-IE"/>
              </w:rPr>
            </w:pPr>
            <w:r w:rsidRPr="003B11BD">
              <w:rPr>
                <w:noProof/>
                <w:sz w:val="20"/>
                <w:lang w:val="en-IE"/>
              </w:rPr>
              <w:t>If the crisis affects productive activities, jobs or entrepreneurship.</w:t>
            </w:r>
          </w:p>
        </w:tc>
      </w:tr>
      <w:tr w:rsidR="00D44D38" w:rsidRPr="003B11BD" w14:paraId="70DFA6D8" w14:textId="77777777" w:rsidTr="00242E05">
        <w:tc>
          <w:tcPr>
            <w:tcW w:w="2265" w:type="dxa"/>
            <w:tcBorders>
              <w:top w:val="single" w:sz="4" w:space="0" w:color="auto"/>
              <w:bottom w:val="single" w:sz="4" w:space="0" w:color="auto"/>
            </w:tcBorders>
          </w:tcPr>
          <w:p w14:paraId="2B082421" w14:textId="3FB4E402" w:rsidR="00D44D38" w:rsidRPr="003B11BD" w:rsidRDefault="00D44D38" w:rsidP="006509F9">
            <w:pPr>
              <w:spacing w:after="0"/>
              <w:jc w:val="left"/>
              <w:rPr>
                <w:noProof/>
                <w:sz w:val="20"/>
                <w:lang w:val="en-IE"/>
              </w:rPr>
            </w:pPr>
            <w:r w:rsidRPr="003B11BD">
              <w:rPr>
                <w:noProof/>
                <w:sz w:val="20"/>
                <w:lang w:val="en-IE"/>
              </w:rPr>
              <w:t>Goal 9: Build resilient infrastructure, promote inclusive and sustainable industrialization and foster innovation</w:t>
            </w:r>
          </w:p>
        </w:tc>
        <w:tc>
          <w:tcPr>
            <w:tcW w:w="3631" w:type="dxa"/>
            <w:tcBorders>
              <w:top w:val="single" w:sz="4" w:space="0" w:color="auto"/>
              <w:bottom w:val="single" w:sz="4" w:space="0" w:color="auto"/>
            </w:tcBorders>
            <w:tcMar>
              <w:top w:w="57" w:type="dxa"/>
              <w:left w:w="57" w:type="dxa"/>
              <w:bottom w:w="57" w:type="dxa"/>
              <w:right w:w="57" w:type="dxa"/>
            </w:tcMar>
          </w:tcPr>
          <w:p w14:paraId="0580483E" w14:textId="77777777" w:rsidR="00D44D38" w:rsidRPr="003B11BD" w:rsidRDefault="00D44D38" w:rsidP="007826C8">
            <w:pPr>
              <w:pStyle w:val="ListParagraph"/>
              <w:rPr>
                <w:noProof/>
              </w:rPr>
            </w:pPr>
            <w:r w:rsidRPr="003B11BD">
              <w:rPr>
                <w:noProof/>
              </w:rPr>
              <w:t>help restore quality, reliable, sustainable and resilient infrastructure, including regional and trans-border infrastructure, to support economic development and human well-being;</w:t>
            </w:r>
          </w:p>
          <w:p w14:paraId="725EC6CC" w14:textId="031240D3" w:rsidR="00D80C41" w:rsidRPr="003B11BD" w:rsidRDefault="00D80C41" w:rsidP="007826C8">
            <w:pPr>
              <w:pStyle w:val="ListParagraph"/>
              <w:rPr>
                <w:noProof/>
              </w:rPr>
            </w:pPr>
            <w:r w:rsidRPr="003B11BD">
              <w:rPr>
                <w:noProof/>
              </w:rPr>
              <w:t>help restore the technological capabilities of industrial sectors.</w:t>
            </w:r>
          </w:p>
        </w:tc>
        <w:tc>
          <w:tcPr>
            <w:tcW w:w="3176" w:type="dxa"/>
            <w:tcBorders>
              <w:top w:val="single" w:sz="4" w:space="0" w:color="auto"/>
              <w:bottom w:val="single" w:sz="4" w:space="0" w:color="auto"/>
            </w:tcBorders>
            <w:tcMar>
              <w:top w:w="57" w:type="dxa"/>
              <w:left w:w="57" w:type="dxa"/>
              <w:bottom w:w="57" w:type="dxa"/>
              <w:right w:w="57" w:type="dxa"/>
            </w:tcMar>
          </w:tcPr>
          <w:p w14:paraId="38FD84E2" w14:textId="7ECFE80A" w:rsidR="00D44D38" w:rsidRPr="003B11BD" w:rsidRDefault="00D44D38" w:rsidP="00C278E9">
            <w:pPr>
              <w:spacing w:after="0"/>
              <w:ind w:right="119"/>
              <w:rPr>
                <w:noProof/>
                <w:sz w:val="20"/>
                <w:lang w:val="en-IE"/>
              </w:rPr>
            </w:pPr>
            <w:r w:rsidRPr="003B11BD">
              <w:rPr>
                <w:noProof/>
                <w:sz w:val="20"/>
                <w:lang w:val="en-IE"/>
              </w:rPr>
              <w:t xml:space="preserve">If the crisis concerns industrial, regional or trans-border infrastructure, </w:t>
            </w:r>
            <w:r w:rsidR="002A7A33" w:rsidRPr="003B11BD">
              <w:rPr>
                <w:noProof/>
                <w:sz w:val="20"/>
                <w:lang w:val="en-IE"/>
              </w:rPr>
              <w:t xml:space="preserve">or </w:t>
            </w:r>
            <w:r w:rsidRPr="003B11BD">
              <w:rPr>
                <w:noProof/>
                <w:sz w:val="20"/>
                <w:lang w:val="en-IE"/>
              </w:rPr>
              <w:t xml:space="preserve">technologies and industrial processes. </w:t>
            </w:r>
          </w:p>
        </w:tc>
      </w:tr>
      <w:tr w:rsidR="00D44D38" w:rsidRPr="003B11BD" w14:paraId="5C835036" w14:textId="77777777" w:rsidTr="00242E05">
        <w:tc>
          <w:tcPr>
            <w:tcW w:w="2265" w:type="dxa"/>
            <w:tcBorders>
              <w:top w:val="single" w:sz="4" w:space="0" w:color="auto"/>
              <w:bottom w:val="double" w:sz="4" w:space="0" w:color="auto"/>
            </w:tcBorders>
          </w:tcPr>
          <w:p w14:paraId="1DAE3D0D" w14:textId="6C5F6277" w:rsidR="00D44D38" w:rsidRPr="003B11BD" w:rsidRDefault="00D44D38" w:rsidP="006509F9">
            <w:pPr>
              <w:spacing w:after="0"/>
              <w:jc w:val="left"/>
              <w:rPr>
                <w:noProof/>
                <w:sz w:val="20"/>
                <w:lang w:val="en-IE"/>
              </w:rPr>
            </w:pPr>
            <w:r w:rsidRPr="003B11BD">
              <w:rPr>
                <w:noProof/>
                <w:sz w:val="20"/>
                <w:lang w:val="en-IE"/>
              </w:rPr>
              <w:t>Goal 11: Make cities and human settlements inclusive, safe, resilient and sustainable</w:t>
            </w:r>
          </w:p>
        </w:tc>
        <w:tc>
          <w:tcPr>
            <w:tcW w:w="3631" w:type="dxa"/>
            <w:tcBorders>
              <w:top w:val="single" w:sz="4" w:space="0" w:color="auto"/>
              <w:bottom w:val="double" w:sz="4" w:space="0" w:color="auto"/>
            </w:tcBorders>
            <w:tcMar>
              <w:top w:w="57" w:type="dxa"/>
              <w:left w:w="57" w:type="dxa"/>
              <w:bottom w:w="57" w:type="dxa"/>
              <w:right w:w="57" w:type="dxa"/>
            </w:tcMar>
          </w:tcPr>
          <w:p w14:paraId="4068E9B9" w14:textId="2EC5EC12" w:rsidR="00D44D38" w:rsidRPr="003B11BD" w:rsidRDefault="00D44D38" w:rsidP="007826C8">
            <w:pPr>
              <w:pStyle w:val="ListParagraph"/>
              <w:rPr>
                <w:noProof/>
              </w:rPr>
            </w:pPr>
            <w:r w:rsidRPr="003B11BD">
              <w:rPr>
                <w:noProof/>
              </w:rPr>
              <w:t>depending on the exact type of crisis, for example: provide access to safe, affordable, accessible and sustainable transport systems, reduce the number of people affected and substantially decrease the direct economic losses relative to global gross domestic product caused by disasters, including water-related disasters;</w:t>
            </w:r>
          </w:p>
        </w:tc>
        <w:tc>
          <w:tcPr>
            <w:tcW w:w="3176" w:type="dxa"/>
            <w:tcBorders>
              <w:top w:val="single" w:sz="4" w:space="0" w:color="auto"/>
              <w:bottom w:val="double" w:sz="4" w:space="0" w:color="auto"/>
            </w:tcBorders>
            <w:tcMar>
              <w:top w:w="57" w:type="dxa"/>
              <w:left w:w="57" w:type="dxa"/>
              <w:bottom w:w="57" w:type="dxa"/>
              <w:right w:w="57" w:type="dxa"/>
            </w:tcMar>
          </w:tcPr>
          <w:p w14:paraId="13DB3B6C" w14:textId="57006B0C" w:rsidR="00D44D38" w:rsidRPr="003B11BD" w:rsidRDefault="00D44D38" w:rsidP="00C278E9">
            <w:pPr>
              <w:spacing w:after="0"/>
              <w:ind w:right="119"/>
              <w:rPr>
                <w:noProof/>
                <w:sz w:val="20"/>
                <w:lang w:val="en-IE"/>
              </w:rPr>
            </w:pPr>
            <w:r w:rsidRPr="003B11BD">
              <w:rPr>
                <w:noProof/>
                <w:sz w:val="20"/>
                <w:lang w:val="en-IE"/>
              </w:rPr>
              <w:t>If the crisis concerns urban infrastructure or other human settlements.</w:t>
            </w:r>
          </w:p>
        </w:tc>
      </w:tr>
    </w:tbl>
    <w:p w14:paraId="12F112FA" w14:textId="77777777" w:rsidR="009409F1" w:rsidRPr="003B11BD" w:rsidRDefault="009409F1" w:rsidP="000E3086">
      <w:pPr>
        <w:rPr>
          <w:noProof/>
          <w:lang w:val="en-IE"/>
        </w:rPr>
      </w:pPr>
    </w:p>
    <w:p w14:paraId="732C5277" w14:textId="13CADE7C" w:rsidR="008C7ED5" w:rsidRPr="003B11BD" w:rsidRDefault="003A34CF" w:rsidP="00242E05">
      <w:pPr>
        <w:pStyle w:val="Caption"/>
        <w:keepNext/>
        <w:rPr>
          <w:noProof/>
          <w:lang w:val="en-IE"/>
        </w:rPr>
      </w:pPr>
      <w:r w:rsidRPr="003B11BD">
        <w:rPr>
          <w:noProof/>
          <w:lang w:val="en-IE"/>
        </w:rPr>
        <w:t xml:space="preserve">Figure </w:t>
      </w:r>
      <w:r w:rsidR="00C6592A">
        <w:rPr>
          <w:noProof/>
          <w:lang w:val="en-IE"/>
        </w:rPr>
        <w:t>12</w:t>
      </w:r>
      <w:r w:rsidR="008C7ED5" w:rsidRPr="003B11BD">
        <w:rPr>
          <w:noProof/>
          <w:lang w:val="en-IE"/>
        </w:rPr>
        <w:t xml:space="preserve">: Relevance to </w:t>
      </w:r>
      <w:r w:rsidR="00C01D92" w:rsidRPr="003B11BD">
        <w:rPr>
          <w:noProof/>
          <w:lang w:val="en-IE"/>
        </w:rPr>
        <w:t xml:space="preserve">UN </w:t>
      </w:r>
      <w:r w:rsidR="008C7ED5" w:rsidRPr="003B11BD">
        <w:rPr>
          <w:noProof/>
          <w:lang w:val="en-IE"/>
        </w:rPr>
        <w:t>S</w:t>
      </w:r>
      <w:r w:rsidR="00C01D92" w:rsidRPr="003B11BD">
        <w:rPr>
          <w:noProof/>
          <w:lang w:val="en-IE"/>
        </w:rPr>
        <w:t xml:space="preserve">ustainable </w:t>
      </w:r>
      <w:r w:rsidR="008C7ED5" w:rsidRPr="003B11BD">
        <w:rPr>
          <w:noProof/>
          <w:lang w:val="en-IE"/>
        </w:rPr>
        <w:t>D</w:t>
      </w:r>
      <w:r w:rsidR="00C01D92" w:rsidRPr="003B11BD">
        <w:rPr>
          <w:noProof/>
          <w:lang w:val="en-IE"/>
        </w:rPr>
        <w:t xml:space="preserve">evelopment </w:t>
      </w:r>
      <w:r w:rsidR="008C7ED5" w:rsidRPr="003B11BD">
        <w:rPr>
          <w:noProof/>
          <w:lang w:val="en-IE"/>
        </w:rPr>
        <w:t>G</w:t>
      </w:r>
      <w:r w:rsidR="00C01D92" w:rsidRPr="003B11BD">
        <w:rPr>
          <w:noProof/>
          <w:lang w:val="en-IE"/>
        </w:rPr>
        <w:t>oals</w:t>
      </w:r>
      <w:r w:rsidR="008C7ED5" w:rsidRPr="003B11BD">
        <w:rPr>
          <w:noProof/>
          <w:lang w:val="en-IE"/>
        </w:rPr>
        <w:t xml:space="preserve"> – example of European Patents active in Germany</w:t>
      </w:r>
    </w:p>
    <w:p w14:paraId="4F7AC0FB" w14:textId="1B555A11" w:rsidR="008C7ED5" w:rsidRPr="003B11BD" w:rsidRDefault="008C7ED5" w:rsidP="000E3086">
      <w:pPr>
        <w:rPr>
          <w:noProof/>
          <w:lang w:val="en-IE"/>
        </w:rPr>
      </w:pPr>
      <w:r w:rsidRPr="003B11BD">
        <w:rPr>
          <w:noProof/>
          <w:lang w:eastAsia="en-GB"/>
        </w:rPr>
        <w:drawing>
          <wp:inline distT="0" distB="0" distL="0" distR="0" wp14:anchorId="5C995354" wp14:editId="606D3BCB">
            <wp:extent cx="5030126" cy="3788229"/>
            <wp:effectExtent l="0" t="0" r="0" b="3175"/>
            <wp:docPr id="25" name="Picture 25" descr="U:\10 PATENTS\Compulsory_licensing\Data\widget-screenshot-2022-12-11-08-12-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10 PATENTS\Compulsory_licensing\Data\widget-screenshot-2022-12-11-08-12-357.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4124"/>
                    <a:stretch/>
                  </pic:blipFill>
                  <pic:spPr bwMode="auto">
                    <a:xfrm>
                      <a:off x="0" y="0"/>
                      <a:ext cx="5038950" cy="3794875"/>
                    </a:xfrm>
                    <a:prstGeom prst="rect">
                      <a:avLst/>
                    </a:prstGeom>
                    <a:noFill/>
                    <a:ln>
                      <a:noFill/>
                    </a:ln>
                    <a:extLst>
                      <a:ext uri="{53640926-AAD7-44D8-BBD7-CCE9431645EC}">
                        <a14:shadowObscured xmlns:a14="http://schemas.microsoft.com/office/drawing/2010/main"/>
                      </a:ext>
                    </a:extLst>
                  </pic:spPr>
                </pic:pic>
              </a:graphicData>
            </a:graphic>
          </wp:inline>
        </w:drawing>
      </w:r>
    </w:p>
    <w:p w14:paraId="70732937" w14:textId="54C416E7" w:rsidR="008C7ED5" w:rsidRPr="003B11BD" w:rsidRDefault="008C7ED5" w:rsidP="00242E05">
      <w:pPr>
        <w:pStyle w:val="Caption"/>
        <w:rPr>
          <w:noProof/>
          <w:lang w:val="en-IE"/>
        </w:rPr>
      </w:pPr>
      <w:r w:rsidRPr="003B11BD">
        <w:rPr>
          <w:noProof/>
          <w:lang w:val="en-IE"/>
        </w:rPr>
        <w:t>Source: PatentSight®</w:t>
      </w:r>
      <w:r w:rsidR="00C458B8" w:rsidRPr="003B11BD">
        <w:rPr>
          <w:noProof/>
          <w:lang w:val="en-IE"/>
        </w:rPr>
        <w:t>, search executed on 11/12/2022</w:t>
      </w:r>
      <w:r w:rsidR="000211EC" w:rsidRPr="003B11BD">
        <w:rPr>
          <w:noProof/>
          <w:lang w:val="en-IE"/>
        </w:rPr>
        <w:t>.</w:t>
      </w:r>
    </w:p>
    <w:p w14:paraId="125BFBF0" w14:textId="29C9646E" w:rsidR="006B087E" w:rsidRPr="003B11BD" w:rsidRDefault="006B087E" w:rsidP="00FC6D56">
      <w:pPr>
        <w:pStyle w:val="AnnexTitle"/>
        <w:rPr>
          <w:noProof/>
        </w:rPr>
      </w:pPr>
      <w:bookmarkStart w:id="1126" w:name="_Toc120731252"/>
      <w:bookmarkStart w:id="1127" w:name="_Toc121386414"/>
      <w:bookmarkStart w:id="1128" w:name="_Toc121489638"/>
      <w:bookmarkStart w:id="1129" w:name="_Toc121496398"/>
      <w:bookmarkStart w:id="1130" w:name="_Toc121748051"/>
      <w:bookmarkStart w:id="1131" w:name="_Toc133435404"/>
      <w:r w:rsidRPr="003B11BD">
        <w:rPr>
          <w:noProof/>
        </w:rPr>
        <w:t>Annex 4: Analytical methods</w:t>
      </w:r>
      <w:bookmarkEnd w:id="1126"/>
      <w:bookmarkEnd w:id="1127"/>
      <w:bookmarkEnd w:id="1128"/>
      <w:bookmarkEnd w:id="1129"/>
      <w:bookmarkEnd w:id="1130"/>
      <w:bookmarkEnd w:id="1131"/>
    </w:p>
    <w:p w14:paraId="64BA9E62" w14:textId="01BD85D4" w:rsidR="00C470D8" w:rsidRPr="003B11BD" w:rsidRDefault="007B3A7B" w:rsidP="007B3A7B">
      <w:pPr>
        <w:rPr>
          <w:noProof/>
          <w:lang w:val="en-IE"/>
        </w:rPr>
      </w:pPr>
      <w:r w:rsidRPr="003B11BD">
        <w:rPr>
          <w:noProof/>
          <w:lang w:val="en-IE"/>
        </w:rPr>
        <w:t xml:space="preserve">The analysis contained in this impact assessment </w:t>
      </w:r>
      <w:r w:rsidR="00B409C8" w:rsidRPr="003B11BD">
        <w:rPr>
          <w:noProof/>
          <w:lang w:val="en-IE"/>
        </w:rPr>
        <w:t xml:space="preserve">predominantly </w:t>
      </w:r>
      <w:r w:rsidRPr="003B11BD">
        <w:rPr>
          <w:noProof/>
          <w:lang w:val="en-IE"/>
        </w:rPr>
        <w:t>builds on input from stakeholder collected via the open public consultation</w:t>
      </w:r>
      <w:r w:rsidR="00B409C8" w:rsidRPr="003B11BD">
        <w:rPr>
          <w:noProof/>
          <w:lang w:val="en-IE"/>
        </w:rPr>
        <w:t>,</w:t>
      </w:r>
      <w:r w:rsidRPr="003B11BD">
        <w:rPr>
          <w:noProof/>
          <w:lang w:val="en-IE"/>
        </w:rPr>
        <w:t xml:space="preserve"> a dedicated study</w:t>
      </w:r>
      <w:r w:rsidR="00B409C8" w:rsidRPr="003B11BD">
        <w:rPr>
          <w:noProof/>
          <w:lang w:val="en-IE"/>
        </w:rPr>
        <w:t xml:space="preserve"> “</w:t>
      </w:r>
      <w:r w:rsidR="00365CAA" w:rsidRPr="003B11BD">
        <w:rPr>
          <w:i/>
          <w:noProof/>
          <w:lang w:val="en-IE"/>
        </w:rPr>
        <w:t>Compulsory</w:t>
      </w:r>
      <w:r w:rsidR="00B409C8" w:rsidRPr="003B11BD">
        <w:rPr>
          <w:i/>
          <w:noProof/>
          <w:lang w:val="en-IE"/>
        </w:rPr>
        <w:t xml:space="preserve"> </w:t>
      </w:r>
      <w:r w:rsidR="00C55853" w:rsidRPr="003B11BD">
        <w:rPr>
          <w:i/>
          <w:noProof/>
          <w:lang w:val="en-IE"/>
        </w:rPr>
        <w:t>licensing</w:t>
      </w:r>
      <w:r w:rsidR="00B409C8" w:rsidRPr="003B11BD">
        <w:rPr>
          <w:i/>
          <w:noProof/>
          <w:lang w:val="en-IE"/>
        </w:rPr>
        <w:t xml:space="preserve"> of intellectual property rights</w:t>
      </w:r>
      <w:r w:rsidR="00B409C8" w:rsidRPr="003B11BD">
        <w:rPr>
          <w:noProof/>
          <w:lang w:val="en-IE"/>
        </w:rPr>
        <w:t>”</w:t>
      </w:r>
      <w:r w:rsidR="00365CAA" w:rsidRPr="003B11BD">
        <w:rPr>
          <w:noProof/>
          <w:lang w:val="en-IE"/>
        </w:rPr>
        <w:t xml:space="preserve"> </w:t>
      </w:r>
      <w:r w:rsidR="00D446E4" w:rsidRPr="003B11BD">
        <w:rPr>
          <w:noProof/>
          <w:lang w:val="en-IE"/>
        </w:rPr>
        <w:t>(see Annex 1, point 4)</w:t>
      </w:r>
      <w:r w:rsidRPr="003B11BD">
        <w:rPr>
          <w:noProof/>
          <w:lang w:val="en-IE"/>
        </w:rPr>
        <w:t xml:space="preserve"> and data collected from desk research (</w:t>
      </w:r>
      <w:r w:rsidR="00B409C8" w:rsidRPr="003B11BD">
        <w:rPr>
          <w:noProof/>
          <w:lang w:val="en-IE"/>
        </w:rPr>
        <w:t xml:space="preserve">e.g. </w:t>
      </w:r>
      <w:r w:rsidRPr="003B11BD">
        <w:rPr>
          <w:noProof/>
          <w:lang w:val="en-IE"/>
        </w:rPr>
        <w:t xml:space="preserve">academic studies, existing impact assessment reports such as SMEI proposals, etc.). Whenever possible, a quantitative information is provided and analysed. </w:t>
      </w:r>
      <w:r w:rsidR="00C470D8" w:rsidRPr="003B11BD">
        <w:rPr>
          <w:noProof/>
          <w:lang w:val="en-IE"/>
        </w:rPr>
        <w:t xml:space="preserve">For example, a small in-house analysis </w:t>
      </w:r>
      <w:r w:rsidR="00B409C8" w:rsidRPr="003B11BD">
        <w:rPr>
          <w:noProof/>
          <w:lang w:val="en-IE"/>
        </w:rPr>
        <w:t xml:space="preserve">concerning the geographical coverage of European patents </w:t>
      </w:r>
      <w:r w:rsidR="00C470D8" w:rsidRPr="003B11BD">
        <w:rPr>
          <w:noProof/>
          <w:lang w:val="en-IE"/>
        </w:rPr>
        <w:t xml:space="preserve">was carried out </w:t>
      </w:r>
      <w:r w:rsidR="00B409C8" w:rsidRPr="003B11BD">
        <w:rPr>
          <w:noProof/>
          <w:lang w:val="en-IE"/>
        </w:rPr>
        <w:t>and then used in the</w:t>
      </w:r>
      <w:r w:rsidR="00C470D8" w:rsidRPr="003B11BD">
        <w:rPr>
          <w:noProof/>
          <w:lang w:val="en-IE"/>
        </w:rPr>
        <w:t xml:space="preserve"> problem</w:t>
      </w:r>
      <w:r w:rsidR="00B409C8" w:rsidRPr="003B11BD">
        <w:rPr>
          <w:noProof/>
          <w:lang w:val="en-IE"/>
        </w:rPr>
        <w:t xml:space="preserve"> definition – the</w:t>
      </w:r>
      <w:r w:rsidR="00C470D8" w:rsidRPr="003B11BD">
        <w:rPr>
          <w:noProof/>
          <w:lang w:val="en-IE"/>
        </w:rPr>
        <w:t xml:space="preserve"> methodology </w:t>
      </w:r>
      <w:r w:rsidR="00B409C8" w:rsidRPr="003B11BD">
        <w:rPr>
          <w:noProof/>
          <w:lang w:val="en-IE"/>
        </w:rPr>
        <w:t xml:space="preserve">applied for this task is </w:t>
      </w:r>
      <w:r w:rsidR="00C470D8" w:rsidRPr="003B11BD">
        <w:rPr>
          <w:noProof/>
          <w:lang w:val="en-IE"/>
        </w:rPr>
        <w:t xml:space="preserve">discussed below. </w:t>
      </w:r>
    </w:p>
    <w:p w14:paraId="16AB6FED" w14:textId="191E96BC" w:rsidR="007B3A7B" w:rsidRPr="003B11BD" w:rsidRDefault="007B3A7B" w:rsidP="007B3A7B">
      <w:pPr>
        <w:rPr>
          <w:noProof/>
          <w:lang w:val="en-IE"/>
        </w:rPr>
      </w:pPr>
      <w:r w:rsidRPr="003B11BD">
        <w:rPr>
          <w:noProof/>
          <w:lang w:val="en-IE"/>
        </w:rPr>
        <w:t xml:space="preserve">Nonetheless, as compulsory </w:t>
      </w:r>
      <w:r w:rsidR="2705F320" w:rsidRPr="003B11BD">
        <w:rPr>
          <w:noProof/>
          <w:lang w:val="en-IE"/>
        </w:rPr>
        <w:t>li</w:t>
      </w:r>
      <w:r w:rsidR="5A139EFA" w:rsidRPr="003B11BD">
        <w:rPr>
          <w:noProof/>
          <w:lang w:val="en-IE"/>
        </w:rPr>
        <w:t>cen</w:t>
      </w:r>
      <w:r w:rsidR="3BE07EE9" w:rsidRPr="003B11BD">
        <w:rPr>
          <w:noProof/>
          <w:lang w:val="en-IE"/>
        </w:rPr>
        <w:t>s</w:t>
      </w:r>
      <w:r w:rsidR="2705F320" w:rsidRPr="003B11BD">
        <w:rPr>
          <w:noProof/>
          <w:lang w:val="en-IE"/>
        </w:rPr>
        <w:t>ing</w:t>
      </w:r>
      <w:r w:rsidRPr="003B11BD">
        <w:rPr>
          <w:noProof/>
          <w:lang w:val="en-IE"/>
        </w:rPr>
        <w:t xml:space="preserve"> is the “last resort instrument” it is used only in exceptional circumstances therefore the available data on the subject is extremely scarce. </w:t>
      </w:r>
      <w:r w:rsidR="00C470D8" w:rsidRPr="003B11BD">
        <w:rPr>
          <w:noProof/>
          <w:lang w:val="en-IE"/>
        </w:rPr>
        <w:t xml:space="preserve">In view of the absence of </w:t>
      </w:r>
      <w:r w:rsidRPr="003B11BD">
        <w:rPr>
          <w:noProof/>
          <w:lang w:val="en-IE"/>
        </w:rPr>
        <w:t xml:space="preserve">granular </w:t>
      </w:r>
      <w:r w:rsidR="00C470D8" w:rsidRPr="003B11BD">
        <w:rPr>
          <w:noProof/>
          <w:lang w:val="en-IE"/>
        </w:rPr>
        <w:t xml:space="preserve">data on the subject, this </w:t>
      </w:r>
      <w:r w:rsidRPr="003B11BD">
        <w:rPr>
          <w:noProof/>
          <w:lang w:val="en-IE"/>
        </w:rPr>
        <w:t xml:space="preserve">assessment </w:t>
      </w:r>
      <w:r w:rsidR="00C470D8" w:rsidRPr="003B11BD">
        <w:rPr>
          <w:noProof/>
          <w:lang w:val="en-IE"/>
        </w:rPr>
        <w:t xml:space="preserve">discusses </w:t>
      </w:r>
      <w:r w:rsidRPr="003B11BD">
        <w:rPr>
          <w:noProof/>
          <w:lang w:val="en-IE"/>
        </w:rPr>
        <w:t>the</w:t>
      </w:r>
      <w:r w:rsidR="00C470D8" w:rsidRPr="003B11BD">
        <w:rPr>
          <w:noProof/>
          <w:lang w:val="en-IE"/>
        </w:rPr>
        <w:t xml:space="preserve"> plausible</w:t>
      </w:r>
      <w:r w:rsidRPr="003B11BD">
        <w:rPr>
          <w:noProof/>
          <w:lang w:val="en-IE"/>
        </w:rPr>
        <w:t xml:space="preserve"> magnitude of potential</w:t>
      </w:r>
      <w:r w:rsidR="00C470D8" w:rsidRPr="003B11BD">
        <w:rPr>
          <w:noProof/>
          <w:lang w:val="en-IE"/>
        </w:rPr>
        <w:t xml:space="preserve"> impacts of</w:t>
      </w:r>
      <w:r w:rsidRPr="003B11BD">
        <w:rPr>
          <w:noProof/>
          <w:lang w:val="en-IE"/>
        </w:rPr>
        <w:t xml:space="preserve"> each policy option, rather than</w:t>
      </w:r>
      <w:r w:rsidR="00C470D8" w:rsidRPr="003B11BD">
        <w:rPr>
          <w:noProof/>
          <w:lang w:val="en-IE"/>
        </w:rPr>
        <w:t xml:space="preserve"> its</w:t>
      </w:r>
      <w:r w:rsidRPr="003B11BD">
        <w:rPr>
          <w:noProof/>
          <w:lang w:val="en-IE"/>
        </w:rPr>
        <w:t xml:space="preserve"> exact </w:t>
      </w:r>
      <w:r w:rsidR="00C470D8" w:rsidRPr="003B11BD">
        <w:rPr>
          <w:noProof/>
          <w:lang w:val="en-IE"/>
        </w:rPr>
        <w:t xml:space="preserve">quantification in </w:t>
      </w:r>
      <w:r w:rsidRPr="003B11BD">
        <w:rPr>
          <w:noProof/>
          <w:lang w:val="en-IE"/>
        </w:rPr>
        <w:t>mone</w:t>
      </w:r>
      <w:r w:rsidR="00C470D8" w:rsidRPr="003B11BD">
        <w:rPr>
          <w:noProof/>
          <w:lang w:val="en-IE"/>
        </w:rPr>
        <w:t xml:space="preserve">tary terms. As a consequence, the cost/benefit analysis is not developed to the level that otherwise is expected in an impact assessment. As a fall-back strategy, the main evidence base of the report comes from the consultations with stakeholders (see Annex 2). </w:t>
      </w:r>
    </w:p>
    <w:p w14:paraId="063562B9" w14:textId="12774E17" w:rsidR="0023552D" w:rsidRPr="003B11BD" w:rsidRDefault="0023552D" w:rsidP="003C3DBE">
      <w:pPr>
        <w:pStyle w:val="LettersinAnnex"/>
        <w:rPr>
          <w:noProof/>
        </w:rPr>
      </w:pPr>
      <w:r w:rsidRPr="003B11BD">
        <w:rPr>
          <w:noProof/>
        </w:rPr>
        <w:t>Geographical coverage</w:t>
      </w:r>
    </w:p>
    <w:p w14:paraId="061B8CEA" w14:textId="4097BE8C" w:rsidR="00BA2FE4" w:rsidRPr="003B11BD" w:rsidRDefault="00BA2FE4" w:rsidP="00BA2FE4">
      <w:pPr>
        <w:rPr>
          <w:noProof/>
          <w:lang w:val="en-IE"/>
        </w:rPr>
      </w:pPr>
      <w:r w:rsidRPr="003B11BD">
        <w:rPr>
          <w:noProof/>
          <w:lang w:val="en-IE"/>
        </w:rPr>
        <w:t>The objective of this task was to identify the average number of Member States in which patents needed in a crisis situation are active. In order to build such hypothetical case, the recent COVID p</w:t>
      </w:r>
      <w:r w:rsidR="007B47CE" w:rsidRPr="003B11BD">
        <w:rPr>
          <w:noProof/>
          <w:lang w:val="en-IE"/>
        </w:rPr>
        <w:t xml:space="preserve">andemics was used as a proxy for </w:t>
      </w:r>
      <w:r w:rsidRPr="003B11BD">
        <w:rPr>
          <w:noProof/>
          <w:lang w:val="en-IE"/>
        </w:rPr>
        <w:t xml:space="preserve">a possible crisis. A list of patents that could be needed in such situation was established based on </w:t>
      </w:r>
      <w:r w:rsidR="00202498" w:rsidRPr="003B11BD">
        <w:rPr>
          <w:noProof/>
          <w:lang w:val="en-IE"/>
        </w:rPr>
        <w:t>PatentScope</w:t>
      </w:r>
      <w:r w:rsidRPr="003B11BD">
        <w:rPr>
          <w:noProof/>
          <w:lang w:val="en-IE"/>
        </w:rPr>
        <w:t xml:space="preserve"> COVID-19 INDEX</w:t>
      </w:r>
      <w:r w:rsidRPr="003B11BD">
        <w:rPr>
          <w:rStyle w:val="FootnoteReference"/>
          <w:noProof/>
          <w:lang w:val="en-IE"/>
        </w:rPr>
        <w:footnoteReference w:id="155"/>
      </w:r>
      <w:r w:rsidRPr="003B11BD">
        <w:rPr>
          <w:noProof/>
          <w:lang w:val="en-IE"/>
        </w:rPr>
        <w:t xml:space="preserve"> where the following areas were identified as pertinent to a global health crisis caused by coronavirus:</w:t>
      </w:r>
    </w:p>
    <w:p w14:paraId="69F993F8" w14:textId="77777777" w:rsidR="00BA2FE4" w:rsidRPr="003B11BD" w:rsidRDefault="1F1BDBA5" w:rsidP="004C618F">
      <w:pPr>
        <w:pStyle w:val="Bullets"/>
        <w:rPr>
          <w:noProof/>
        </w:rPr>
      </w:pPr>
      <w:r w:rsidRPr="003B11BD">
        <w:rPr>
          <w:noProof/>
        </w:rPr>
        <w:t>Artificial respiration,</w:t>
      </w:r>
    </w:p>
    <w:p w14:paraId="26AE7C51" w14:textId="77777777" w:rsidR="00BA2FE4" w:rsidRPr="003B11BD" w:rsidRDefault="1F1BDBA5" w:rsidP="004C618F">
      <w:pPr>
        <w:pStyle w:val="Bullets"/>
        <w:rPr>
          <w:noProof/>
        </w:rPr>
      </w:pPr>
      <w:r w:rsidRPr="003B11BD">
        <w:rPr>
          <w:noProof/>
        </w:rPr>
        <w:t>Diagnostics,</w:t>
      </w:r>
    </w:p>
    <w:p w14:paraId="0EE4067F" w14:textId="77777777" w:rsidR="00BA2FE4" w:rsidRPr="003B11BD" w:rsidRDefault="1F1BDBA5" w:rsidP="004C618F">
      <w:pPr>
        <w:pStyle w:val="Bullets"/>
        <w:rPr>
          <w:noProof/>
        </w:rPr>
      </w:pPr>
      <w:r w:rsidRPr="003B11BD">
        <w:rPr>
          <w:noProof/>
        </w:rPr>
        <w:t>Disinfection,</w:t>
      </w:r>
    </w:p>
    <w:p w14:paraId="5CD9EC29" w14:textId="77777777" w:rsidR="00BA2FE4" w:rsidRPr="003B11BD" w:rsidRDefault="1F1BDBA5" w:rsidP="004C618F">
      <w:pPr>
        <w:pStyle w:val="Bullets"/>
        <w:rPr>
          <w:noProof/>
        </w:rPr>
      </w:pPr>
      <w:r w:rsidRPr="003B11BD">
        <w:rPr>
          <w:noProof/>
        </w:rPr>
        <w:t>Informatics,</w:t>
      </w:r>
    </w:p>
    <w:p w14:paraId="2F45B950" w14:textId="77777777" w:rsidR="00BA2FE4" w:rsidRPr="003B11BD" w:rsidRDefault="1F1BDBA5" w:rsidP="004C618F">
      <w:pPr>
        <w:pStyle w:val="Bullets"/>
        <w:rPr>
          <w:noProof/>
        </w:rPr>
      </w:pPr>
      <w:r w:rsidRPr="003B11BD">
        <w:rPr>
          <w:noProof/>
        </w:rPr>
        <w:t>Medical Equipment,</w:t>
      </w:r>
    </w:p>
    <w:p w14:paraId="20E2F26E" w14:textId="77777777" w:rsidR="00BA2FE4" w:rsidRPr="003B11BD" w:rsidRDefault="1F1BDBA5" w:rsidP="004C618F">
      <w:pPr>
        <w:pStyle w:val="Bullets"/>
        <w:rPr>
          <w:noProof/>
        </w:rPr>
      </w:pPr>
      <w:r w:rsidRPr="003B11BD">
        <w:rPr>
          <w:noProof/>
        </w:rPr>
        <w:t>Medical Facilities and Transport,</w:t>
      </w:r>
    </w:p>
    <w:p w14:paraId="3D7B1A90" w14:textId="77777777" w:rsidR="00BA2FE4" w:rsidRPr="003B11BD" w:rsidRDefault="1F1BDBA5" w:rsidP="004C618F">
      <w:pPr>
        <w:pStyle w:val="Bullets"/>
        <w:rPr>
          <w:noProof/>
        </w:rPr>
      </w:pPr>
      <w:r w:rsidRPr="003B11BD">
        <w:rPr>
          <w:noProof/>
        </w:rPr>
        <w:t>Medical Treatment,</w:t>
      </w:r>
    </w:p>
    <w:p w14:paraId="36B6CD6C" w14:textId="77777777" w:rsidR="00BA2FE4" w:rsidRPr="003B11BD" w:rsidRDefault="1F1BDBA5" w:rsidP="004C618F">
      <w:pPr>
        <w:pStyle w:val="Bullets"/>
        <w:rPr>
          <w:noProof/>
        </w:rPr>
      </w:pPr>
      <w:r w:rsidRPr="003B11BD">
        <w:rPr>
          <w:noProof/>
        </w:rPr>
        <w:t>Medical treatment/Prophylactic,</w:t>
      </w:r>
    </w:p>
    <w:p w14:paraId="1DF36A2C" w14:textId="77777777" w:rsidR="00BA2FE4" w:rsidRPr="003B11BD" w:rsidRDefault="1F1BDBA5" w:rsidP="004C618F">
      <w:pPr>
        <w:pStyle w:val="Bullets"/>
        <w:rPr>
          <w:noProof/>
        </w:rPr>
      </w:pPr>
      <w:r w:rsidRPr="003B11BD">
        <w:rPr>
          <w:noProof/>
        </w:rPr>
        <w:t>Medical treatment/Therapeutic,</w:t>
      </w:r>
    </w:p>
    <w:p w14:paraId="1E3CEDD5" w14:textId="77777777" w:rsidR="00BA2FE4" w:rsidRPr="003B11BD" w:rsidRDefault="1F1BDBA5" w:rsidP="004C618F">
      <w:pPr>
        <w:pStyle w:val="Bullets"/>
        <w:rPr>
          <w:noProof/>
        </w:rPr>
      </w:pPr>
      <w:r w:rsidRPr="003B11BD">
        <w:rPr>
          <w:noProof/>
        </w:rPr>
        <w:t>Personal protective equipment.</w:t>
      </w:r>
    </w:p>
    <w:p w14:paraId="227CC1AC" w14:textId="0F4E256D" w:rsidR="00BA2FE4" w:rsidRPr="003B11BD" w:rsidRDefault="00BA2FE4" w:rsidP="00BA2FE4">
      <w:pPr>
        <w:rPr>
          <w:noProof/>
          <w:lang w:val="en-IE"/>
        </w:rPr>
      </w:pPr>
      <w:r w:rsidRPr="003B11BD">
        <w:rPr>
          <w:noProof/>
          <w:lang w:val="en-IE"/>
        </w:rPr>
        <w:t xml:space="preserve">The </w:t>
      </w:r>
      <w:r w:rsidR="00202498" w:rsidRPr="003B11BD">
        <w:rPr>
          <w:noProof/>
          <w:lang w:val="en-IE"/>
        </w:rPr>
        <w:t>PatentScope</w:t>
      </w:r>
      <w:r w:rsidRPr="003B11BD">
        <w:rPr>
          <w:noProof/>
          <w:lang w:val="en-IE"/>
        </w:rPr>
        <w:t xml:space="preserve"> COVID-19 INDEX defines the exact scope of relevant patents by</w:t>
      </w:r>
      <w:r w:rsidR="007B47CE" w:rsidRPr="003B11BD">
        <w:rPr>
          <w:noProof/>
          <w:lang w:val="en-IE"/>
        </w:rPr>
        <w:t xml:space="preserve"> using </w:t>
      </w:r>
      <w:r w:rsidRPr="003B11BD">
        <w:rPr>
          <w:noProof/>
          <w:lang w:val="en-IE"/>
        </w:rPr>
        <w:t>International patent classification (ICP)</w:t>
      </w:r>
      <w:r w:rsidRPr="003B11BD">
        <w:rPr>
          <w:rStyle w:val="FootnoteReference"/>
          <w:noProof/>
          <w:lang w:val="en-IE"/>
        </w:rPr>
        <w:footnoteReference w:id="156"/>
      </w:r>
      <w:r w:rsidR="007B47CE" w:rsidRPr="003B11BD">
        <w:rPr>
          <w:noProof/>
          <w:lang w:val="en-IE"/>
        </w:rPr>
        <w:t xml:space="preserve"> codes listed in Table 1</w:t>
      </w:r>
      <w:r w:rsidR="00973B87" w:rsidRPr="003B11BD">
        <w:rPr>
          <w:noProof/>
          <w:lang w:val="en-IE"/>
        </w:rPr>
        <w:t>3</w:t>
      </w:r>
      <w:r w:rsidR="007B47CE" w:rsidRPr="003B11BD">
        <w:rPr>
          <w:noProof/>
          <w:lang w:val="en-IE"/>
        </w:rPr>
        <w:t>, below</w:t>
      </w:r>
      <w:r w:rsidRPr="003B11BD">
        <w:rPr>
          <w:noProof/>
          <w:lang w:val="en-IE"/>
        </w:rPr>
        <w:t>.</w:t>
      </w:r>
    </w:p>
    <w:p w14:paraId="3D34E6EC" w14:textId="0EA1023B" w:rsidR="00BA2FE4" w:rsidRPr="003B11BD" w:rsidRDefault="00BA2FE4" w:rsidP="00BA2FE4">
      <w:pPr>
        <w:pStyle w:val="Caption"/>
        <w:rPr>
          <w:noProof/>
          <w:lang w:val="en-IE"/>
        </w:rPr>
      </w:pPr>
      <w:bookmarkStart w:id="1132" w:name="_Ref123744515"/>
      <w:r w:rsidRPr="003B11BD">
        <w:rPr>
          <w:noProof/>
          <w:lang w:val="en-IE"/>
        </w:rPr>
        <w:t xml:space="preserve">Table </w:t>
      </w:r>
      <w:r w:rsidR="00C6592A">
        <w:rPr>
          <w:noProof/>
          <w:lang w:val="en-IE"/>
        </w:rPr>
        <w:t>13</w:t>
      </w:r>
      <w:bookmarkEnd w:id="1132"/>
      <w:r w:rsidRPr="003B11BD">
        <w:rPr>
          <w:noProof/>
          <w:lang w:val="en-IE"/>
        </w:rPr>
        <w:t>: List of I</w:t>
      </w:r>
      <w:r w:rsidR="00C905A4" w:rsidRPr="003B11BD">
        <w:rPr>
          <w:noProof/>
          <w:lang w:val="en-IE"/>
        </w:rPr>
        <w:t xml:space="preserve">PC codes used in </w:t>
      </w:r>
      <w:r w:rsidR="00202498" w:rsidRPr="003B11BD">
        <w:rPr>
          <w:noProof/>
          <w:lang w:val="en-IE"/>
        </w:rPr>
        <w:t>PatentScope</w:t>
      </w:r>
      <w:r w:rsidR="00C905A4" w:rsidRPr="003B11BD">
        <w:rPr>
          <w:noProof/>
          <w:lang w:val="en-IE"/>
        </w:rPr>
        <w:t xml:space="preserve"> COV</w:t>
      </w:r>
      <w:r w:rsidRPr="003B11BD">
        <w:rPr>
          <w:noProof/>
          <w:lang w:val="en-IE"/>
        </w:rPr>
        <w:t>ID-19 Index</w:t>
      </w:r>
    </w:p>
    <w:tbl>
      <w:tblPr>
        <w:tblStyle w:val="TableGrid"/>
        <w:tblW w:w="8869" w:type="dxa"/>
        <w:tblInd w:w="108" w:type="dxa"/>
        <w:tblLook w:val="04A0" w:firstRow="1" w:lastRow="0" w:firstColumn="1" w:lastColumn="0" w:noHBand="0" w:noVBand="1"/>
      </w:tblPr>
      <w:tblGrid>
        <w:gridCol w:w="1418"/>
        <w:gridCol w:w="7451"/>
      </w:tblGrid>
      <w:tr w:rsidR="00BA2FE4" w:rsidRPr="003B11BD" w14:paraId="6FCDF570" w14:textId="77777777" w:rsidTr="003D1306">
        <w:tc>
          <w:tcPr>
            <w:tcW w:w="1418" w:type="dxa"/>
          </w:tcPr>
          <w:p w14:paraId="271EAD4A" w14:textId="77777777" w:rsidR="00BA2FE4" w:rsidRPr="003B11BD" w:rsidRDefault="00BA2FE4" w:rsidP="00F03230">
            <w:pPr>
              <w:pStyle w:val="Size10"/>
              <w:rPr>
                <w:noProof/>
              </w:rPr>
            </w:pPr>
            <w:r w:rsidRPr="003B11BD">
              <w:rPr>
                <w:noProof/>
              </w:rPr>
              <w:t>A61H 31/00</w:t>
            </w:r>
          </w:p>
        </w:tc>
        <w:tc>
          <w:tcPr>
            <w:tcW w:w="7451" w:type="dxa"/>
          </w:tcPr>
          <w:p w14:paraId="5EEAC680" w14:textId="77777777" w:rsidR="00BA2FE4" w:rsidRPr="003B11BD" w:rsidRDefault="00BA2FE4" w:rsidP="00F03230">
            <w:pPr>
              <w:pStyle w:val="Size10"/>
              <w:rPr>
                <w:noProof/>
              </w:rPr>
            </w:pPr>
            <w:r w:rsidRPr="003B11BD">
              <w:rPr>
                <w:noProof/>
              </w:rPr>
              <w:t>Artificial respiration or heart stimulation, e.g. heart massage</w:t>
            </w:r>
          </w:p>
        </w:tc>
      </w:tr>
      <w:tr w:rsidR="00BA2FE4" w:rsidRPr="003B11BD" w14:paraId="63CE009B" w14:textId="77777777" w:rsidTr="003D1306">
        <w:tc>
          <w:tcPr>
            <w:tcW w:w="1418" w:type="dxa"/>
          </w:tcPr>
          <w:p w14:paraId="4B4DBAD4" w14:textId="77777777" w:rsidR="00BA2FE4" w:rsidRPr="003B11BD" w:rsidRDefault="00BA2FE4" w:rsidP="00F03230">
            <w:pPr>
              <w:pStyle w:val="Size10"/>
              <w:rPr>
                <w:noProof/>
              </w:rPr>
            </w:pPr>
            <w:r w:rsidRPr="003B11BD">
              <w:rPr>
                <w:noProof/>
              </w:rPr>
              <w:t>A61M 16/00</w:t>
            </w:r>
          </w:p>
        </w:tc>
        <w:tc>
          <w:tcPr>
            <w:tcW w:w="7451" w:type="dxa"/>
          </w:tcPr>
          <w:p w14:paraId="00053BA6" w14:textId="77777777" w:rsidR="00BA2FE4" w:rsidRPr="003B11BD" w:rsidRDefault="00BA2FE4" w:rsidP="00F03230">
            <w:pPr>
              <w:pStyle w:val="Size10"/>
              <w:rPr>
                <w:noProof/>
              </w:rPr>
            </w:pPr>
            <w:r w:rsidRPr="003B11BD">
              <w:rPr>
                <w:noProof/>
              </w:rPr>
              <w:t>Devices for influencing the respiratory system of patients by gas treatment, e.g. mouth-to-mouth respiration; Tracheal tubes</w:t>
            </w:r>
          </w:p>
        </w:tc>
      </w:tr>
      <w:tr w:rsidR="00BA2FE4" w:rsidRPr="003B11BD" w14:paraId="08A63BC8" w14:textId="77777777" w:rsidTr="003D1306">
        <w:tc>
          <w:tcPr>
            <w:tcW w:w="1418" w:type="dxa"/>
          </w:tcPr>
          <w:p w14:paraId="70FA2814" w14:textId="77777777" w:rsidR="00BA2FE4" w:rsidRPr="003B11BD" w:rsidRDefault="00BA2FE4" w:rsidP="00F03230">
            <w:pPr>
              <w:pStyle w:val="Size10"/>
              <w:rPr>
                <w:noProof/>
              </w:rPr>
            </w:pPr>
            <w:r w:rsidRPr="003B11BD">
              <w:rPr>
                <w:noProof/>
              </w:rPr>
              <w:t>A61B</w:t>
            </w:r>
          </w:p>
        </w:tc>
        <w:tc>
          <w:tcPr>
            <w:tcW w:w="7451" w:type="dxa"/>
          </w:tcPr>
          <w:p w14:paraId="47E072F0" w14:textId="77777777" w:rsidR="00BA2FE4" w:rsidRPr="003B11BD" w:rsidRDefault="00BA2FE4" w:rsidP="00F03230">
            <w:pPr>
              <w:pStyle w:val="Size10"/>
              <w:rPr>
                <w:noProof/>
              </w:rPr>
            </w:pPr>
            <w:r w:rsidRPr="003B11BD">
              <w:rPr>
                <w:noProof/>
              </w:rPr>
              <w:t>DIAGNOSIS; SURGERY; IDENTIFICATION</w:t>
            </w:r>
          </w:p>
        </w:tc>
      </w:tr>
      <w:tr w:rsidR="00BA2FE4" w:rsidRPr="003B11BD" w14:paraId="7B49FCD6" w14:textId="77777777" w:rsidTr="003D1306">
        <w:tc>
          <w:tcPr>
            <w:tcW w:w="1418" w:type="dxa"/>
          </w:tcPr>
          <w:p w14:paraId="6C500BEB" w14:textId="77777777" w:rsidR="00BA2FE4" w:rsidRPr="003B11BD" w:rsidRDefault="00BA2FE4" w:rsidP="00F03230">
            <w:pPr>
              <w:pStyle w:val="Size10"/>
              <w:rPr>
                <w:noProof/>
              </w:rPr>
            </w:pPr>
            <w:r w:rsidRPr="003B11BD">
              <w:rPr>
                <w:noProof/>
              </w:rPr>
              <w:t>A61B 1/00 -&gt;A61B 16/00</w:t>
            </w:r>
          </w:p>
        </w:tc>
        <w:tc>
          <w:tcPr>
            <w:tcW w:w="7451" w:type="dxa"/>
          </w:tcPr>
          <w:p w14:paraId="55E63347" w14:textId="77777777" w:rsidR="00BA2FE4" w:rsidRPr="003B11BD" w:rsidRDefault="00BA2FE4" w:rsidP="00F03230">
            <w:pPr>
              <w:pStyle w:val="Size10"/>
              <w:rPr>
                <w:noProof/>
              </w:rPr>
            </w:pPr>
            <w:r w:rsidRPr="003B11BD">
              <w:rPr>
                <w:noProof/>
              </w:rPr>
              <w:t>Instruments for performing medical examinations of the interior of cavities or tubes of the body by visual or photographical inspection, e.g. endoscopes; Illuminating arrangements therefor</w:t>
            </w:r>
          </w:p>
        </w:tc>
      </w:tr>
      <w:tr w:rsidR="00BA2FE4" w:rsidRPr="003B11BD" w14:paraId="24C90D6B" w14:textId="77777777" w:rsidTr="003D1306">
        <w:tc>
          <w:tcPr>
            <w:tcW w:w="1418" w:type="dxa"/>
          </w:tcPr>
          <w:p w14:paraId="607599F9" w14:textId="77777777" w:rsidR="00BA2FE4" w:rsidRPr="003B11BD" w:rsidRDefault="00BA2FE4" w:rsidP="00F03230">
            <w:pPr>
              <w:pStyle w:val="Size10"/>
              <w:rPr>
                <w:noProof/>
              </w:rPr>
            </w:pPr>
            <w:r w:rsidRPr="003B11BD">
              <w:rPr>
                <w:noProof/>
              </w:rPr>
              <w:t>A61B 5/00</w:t>
            </w:r>
          </w:p>
        </w:tc>
        <w:tc>
          <w:tcPr>
            <w:tcW w:w="7451" w:type="dxa"/>
          </w:tcPr>
          <w:p w14:paraId="1AA0C598" w14:textId="77777777" w:rsidR="00BA2FE4" w:rsidRPr="003B11BD" w:rsidRDefault="00BA2FE4" w:rsidP="00F03230">
            <w:pPr>
              <w:pStyle w:val="Size10"/>
              <w:rPr>
                <w:noProof/>
              </w:rPr>
            </w:pPr>
            <w:r w:rsidRPr="003B11BD">
              <w:rPr>
                <w:noProof/>
              </w:rPr>
              <w:t>Measuring for diagnostic purposes; Identification of persons</w:t>
            </w:r>
          </w:p>
        </w:tc>
      </w:tr>
      <w:tr w:rsidR="00BA2FE4" w:rsidRPr="003B11BD" w14:paraId="66CEBABD" w14:textId="77777777" w:rsidTr="003D1306">
        <w:tc>
          <w:tcPr>
            <w:tcW w:w="1418" w:type="dxa"/>
          </w:tcPr>
          <w:p w14:paraId="50149A5C" w14:textId="77777777" w:rsidR="00BA2FE4" w:rsidRPr="003B11BD" w:rsidRDefault="00BA2FE4" w:rsidP="00F03230">
            <w:pPr>
              <w:pStyle w:val="Size10"/>
              <w:rPr>
                <w:noProof/>
              </w:rPr>
            </w:pPr>
            <w:r w:rsidRPr="003B11BD">
              <w:rPr>
                <w:noProof/>
              </w:rPr>
              <w:t>A61B 5/01</w:t>
            </w:r>
          </w:p>
        </w:tc>
        <w:tc>
          <w:tcPr>
            <w:tcW w:w="7451" w:type="dxa"/>
          </w:tcPr>
          <w:p w14:paraId="4172A91E" w14:textId="77777777" w:rsidR="00BA2FE4" w:rsidRPr="003B11BD" w:rsidRDefault="00BA2FE4" w:rsidP="00F03230">
            <w:pPr>
              <w:pStyle w:val="Size10"/>
              <w:rPr>
                <w:noProof/>
              </w:rPr>
            </w:pPr>
            <w:r w:rsidRPr="003B11BD">
              <w:rPr>
                <w:noProof/>
              </w:rPr>
              <w:t>Measuring for diagnostic purposes; Identification of persons + Measuring temperature of body parts</w:t>
            </w:r>
          </w:p>
        </w:tc>
      </w:tr>
      <w:tr w:rsidR="00BA2FE4" w:rsidRPr="003B11BD" w14:paraId="174D102F" w14:textId="77777777" w:rsidTr="003D1306">
        <w:tc>
          <w:tcPr>
            <w:tcW w:w="1418" w:type="dxa"/>
          </w:tcPr>
          <w:p w14:paraId="23DED282" w14:textId="77777777" w:rsidR="00BA2FE4" w:rsidRPr="003B11BD" w:rsidRDefault="00BA2FE4" w:rsidP="00F03230">
            <w:pPr>
              <w:pStyle w:val="Size10"/>
              <w:rPr>
                <w:noProof/>
              </w:rPr>
            </w:pPr>
            <w:r w:rsidRPr="003B11BD">
              <w:rPr>
                <w:noProof/>
              </w:rPr>
              <w:t>A61B 5/08</w:t>
            </w:r>
          </w:p>
        </w:tc>
        <w:tc>
          <w:tcPr>
            <w:tcW w:w="7451" w:type="dxa"/>
          </w:tcPr>
          <w:p w14:paraId="363E83A5" w14:textId="77777777" w:rsidR="00BA2FE4" w:rsidRPr="003B11BD" w:rsidRDefault="00BA2FE4" w:rsidP="00F03230">
            <w:pPr>
              <w:pStyle w:val="Size10"/>
              <w:rPr>
                <w:noProof/>
              </w:rPr>
            </w:pPr>
            <w:r w:rsidRPr="003B11BD">
              <w:rPr>
                <w:noProof/>
              </w:rPr>
              <w:t>Measuring for diagnostic purposes; Identification of persons + Measuring devices for evaluating the respiratory organs</w:t>
            </w:r>
          </w:p>
        </w:tc>
      </w:tr>
      <w:tr w:rsidR="00BA2FE4" w:rsidRPr="003B11BD" w14:paraId="24201987" w14:textId="77777777" w:rsidTr="003D1306">
        <w:tc>
          <w:tcPr>
            <w:tcW w:w="1418" w:type="dxa"/>
          </w:tcPr>
          <w:p w14:paraId="02729A3E" w14:textId="77777777" w:rsidR="00BA2FE4" w:rsidRPr="003B11BD" w:rsidRDefault="00BA2FE4" w:rsidP="00F03230">
            <w:pPr>
              <w:pStyle w:val="Size10"/>
              <w:rPr>
                <w:noProof/>
              </w:rPr>
            </w:pPr>
            <w:r w:rsidRPr="003B11BD">
              <w:rPr>
                <w:noProof/>
              </w:rPr>
              <w:t>A61B 6/00</w:t>
            </w:r>
          </w:p>
        </w:tc>
        <w:tc>
          <w:tcPr>
            <w:tcW w:w="7451" w:type="dxa"/>
          </w:tcPr>
          <w:p w14:paraId="0193F4B9" w14:textId="77777777" w:rsidR="00BA2FE4" w:rsidRPr="003B11BD" w:rsidRDefault="00BA2FE4" w:rsidP="00F03230">
            <w:pPr>
              <w:pStyle w:val="Size10"/>
              <w:rPr>
                <w:noProof/>
              </w:rPr>
            </w:pPr>
            <w:r w:rsidRPr="003B11BD">
              <w:rPr>
                <w:noProof/>
              </w:rPr>
              <w:t>Apparatus for radiation diagnosis, e.g. combined with radiation therapy equipment</w:t>
            </w:r>
          </w:p>
        </w:tc>
      </w:tr>
      <w:tr w:rsidR="00BA2FE4" w:rsidRPr="003B11BD" w14:paraId="47130EBF" w14:textId="77777777" w:rsidTr="003D1306">
        <w:tc>
          <w:tcPr>
            <w:tcW w:w="1418" w:type="dxa"/>
          </w:tcPr>
          <w:p w14:paraId="7E8022FB" w14:textId="77777777" w:rsidR="00BA2FE4" w:rsidRPr="003B11BD" w:rsidRDefault="00BA2FE4" w:rsidP="00F03230">
            <w:pPr>
              <w:pStyle w:val="Size10"/>
              <w:rPr>
                <w:noProof/>
              </w:rPr>
            </w:pPr>
            <w:r w:rsidRPr="003B11BD">
              <w:rPr>
                <w:noProof/>
              </w:rPr>
              <w:t>C12Q</w:t>
            </w:r>
          </w:p>
        </w:tc>
        <w:tc>
          <w:tcPr>
            <w:tcW w:w="7451" w:type="dxa"/>
          </w:tcPr>
          <w:p w14:paraId="14CAE72B" w14:textId="77777777" w:rsidR="00BA2FE4" w:rsidRPr="003B11BD" w:rsidRDefault="00BA2FE4" w:rsidP="00F03230">
            <w:pPr>
              <w:pStyle w:val="Size10"/>
              <w:rPr>
                <w:noProof/>
              </w:rPr>
            </w:pPr>
            <w:r w:rsidRPr="003B11BD">
              <w:rPr>
                <w:noProof/>
              </w:rPr>
              <w:t>MEASURING OR TESTING PROCESSES INVOLVING ENZYMES, NUCLEIC ACIDS OR MICROORGANISMS; COMPOSITIONS OR TEST PAPERS THEREFOR; PROCESSES OF PREPARING SUCH COMPOSITIONS; CONDITION-RESPONSIVE CONTROL IN MICROBIOLOGICAL OR ENZYMOLOGICAL PROCESSES</w:t>
            </w:r>
          </w:p>
        </w:tc>
      </w:tr>
      <w:tr w:rsidR="00BA2FE4" w:rsidRPr="003B11BD" w14:paraId="535D7070" w14:textId="77777777" w:rsidTr="003D1306">
        <w:tc>
          <w:tcPr>
            <w:tcW w:w="1418" w:type="dxa"/>
          </w:tcPr>
          <w:p w14:paraId="4129A315" w14:textId="77777777" w:rsidR="00BA2FE4" w:rsidRPr="003B11BD" w:rsidRDefault="00BA2FE4" w:rsidP="00F03230">
            <w:pPr>
              <w:pStyle w:val="Size10"/>
              <w:rPr>
                <w:noProof/>
              </w:rPr>
            </w:pPr>
            <w:r w:rsidRPr="003B11BD">
              <w:rPr>
                <w:noProof/>
              </w:rPr>
              <w:t>C12Q 1/00</w:t>
            </w:r>
          </w:p>
        </w:tc>
        <w:tc>
          <w:tcPr>
            <w:tcW w:w="7451" w:type="dxa"/>
          </w:tcPr>
          <w:p w14:paraId="75623378" w14:textId="77777777" w:rsidR="00BA2FE4" w:rsidRPr="003B11BD" w:rsidRDefault="00BA2FE4" w:rsidP="00F03230">
            <w:pPr>
              <w:pStyle w:val="Size10"/>
              <w:rPr>
                <w:noProof/>
              </w:rPr>
            </w:pPr>
            <w:r w:rsidRPr="003B11BD">
              <w:rPr>
                <w:noProof/>
              </w:rPr>
              <w:t>Measuring or testing processes involving enzymes, nucleic acids or microorganisms; Compositions therefor; Processes of preparing such compositions</w:t>
            </w:r>
          </w:p>
        </w:tc>
      </w:tr>
      <w:tr w:rsidR="00BA2FE4" w:rsidRPr="003B11BD" w14:paraId="17D83BB1" w14:textId="77777777" w:rsidTr="003D1306">
        <w:tc>
          <w:tcPr>
            <w:tcW w:w="1418" w:type="dxa"/>
          </w:tcPr>
          <w:p w14:paraId="42AF5D9E" w14:textId="77777777" w:rsidR="00BA2FE4" w:rsidRPr="003B11BD" w:rsidRDefault="00BA2FE4" w:rsidP="00F03230">
            <w:pPr>
              <w:pStyle w:val="Size10"/>
              <w:rPr>
                <w:noProof/>
              </w:rPr>
            </w:pPr>
            <w:r w:rsidRPr="003B11BD">
              <w:rPr>
                <w:noProof/>
              </w:rPr>
              <w:t>C12Q 1/68</w:t>
            </w:r>
          </w:p>
        </w:tc>
        <w:tc>
          <w:tcPr>
            <w:tcW w:w="7451" w:type="dxa"/>
          </w:tcPr>
          <w:p w14:paraId="5CA74393" w14:textId="77777777" w:rsidR="00BA2FE4" w:rsidRPr="003B11BD" w:rsidRDefault="00BA2FE4" w:rsidP="00F03230">
            <w:pPr>
              <w:pStyle w:val="Size10"/>
              <w:rPr>
                <w:noProof/>
              </w:rPr>
            </w:pPr>
            <w:r w:rsidRPr="003B11BD">
              <w:rPr>
                <w:noProof/>
              </w:rPr>
              <w:t>Measuring or testing processes involving enzymes, nucleic acids or microorganisms; Compositions therefor; Processes of preparing such compositions + involving nucleic acids</w:t>
            </w:r>
          </w:p>
        </w:tc>
      </w:tr>
      <w:tr w:rsidR="00BA2FE4" w:rsidRPr="003B11BD" w14:paraId="14272E24" w14:textId="77777777" w:rsidTr="003D1306">
        <w:tc>
          <w:tcPr>
            <w:tcW w:w="1418" w:type="dxa"/>
          </w:tcPr>
          <w:p w14:paraId="5D76AE3F" w14:textId="77777777" w:rsidR="00BA2FE4" w:rsidRPr="003B11BD" w:rsidRDefault="00BA2FE4" w:rsidP="00F03230">
            <w:pPr>
              <w:pStyle w:val="Size10"/>
              <w:rPr>
                <w:noProof/>
              </w:rPr>
            </w:pPr>
            <w:r w:rsidRPr="003B11BD">
              <w:rPr>
                <w:noProof/>
              </w:rPr>
              <w:t>C12Q 1/70</w:t>
            </w:r>
          </w:p>
        </w:tc>
        <w:tc>
          <w:tcPr>
            <w:tcW w:w="7451" w:type="dxa"/>
          </w:tcPr>
          <w:p w14:paraId="2D078287" w14:textId="77777777" w:rsidR="00BA2FE4" w:rsidRPr="003B11BD" w:rsidRDefault="00BA2FE4" w:rsidP="00F03230">
            <w:pPr>
              <w:pStyle w:val="Size10"/>
              <w:rPr>
                <w:noProof/>
              </w:rPr>
            </w:pPr>
            <w:r w:rsidRPr="003B11BD">
              <w:rPr>
                <w:noProof/>
              </w:rPr>
              <w:t>Measuring or testing processes involving enzymes, nucleic acids or microorganisms; Compositions therefor; Processes of preparing such compositions + involving virus or bacteriophage</w:t>
            </w:r>
          </w:p>
        </w:tc>
      </w:tr>
      <w:tr w:rsidR="00BA2FE4" w:rsidRPr="003B11BD" w14:paraId="6B936D67" w14:textId="77777777" w:rsidTr="003D1306">
        <w:tc>
          <w:tcPr>
            <w:tcW w:w="1418" w:type="dxa"/>
          </w:tcPr>
          <w:p w14:paraId="3E21DE4A" w14:textId="77777777" w:rsidR="00BA2FE4" w:rsidRPr="003B11BD" w:rsidRDefault="00BA2FE4" w:rsidP="00F03230">
            <w:pPr>
              <w:pStyle w:val="Size10"/>
              <w:rPr>
                <w:noProof/>
              </w:rPr>
            </w:pPr>
            <w:r w:rsidRPr="003B11BD">
              <w:rPr>
                <w:noProof/>
              </w:rPr>
              <w:t>G01N</w:t>
            </w:r>
          </w:p>
        </w:tc>
        <w:tc>
          <w:tcPr>
            <w:tcW w:w="7451" w:type="dxa"/>
          </w:tcPr>
          <w:p w14:paraId="3459941A" w14:textId="77777777" w:rsidR="00BA2FE4" w:rsidRPr="003B11BD" w:rsidRDefault="00BA2FE4" w:rsidP="00F03230">
            <w:pPr>
              <w:pStyle w:val="Size10"/>
              <w:rPr>
                <w:noProof/>
              </w:rPr>
            </w:pPr>
            <w:r w:rsidRPr="003B11BD">
              <w:rPr>
                <w:noProof/>
              </w:rPr>
              <w:t>INVESTIGATING OR ANALYSING MATERIALS BY DETERMINING THEIR CHEMICAL OR PHYSICAL PROPERTIES</w:t>
            </w:r>
          </w:p>
        </w:tc>
      </w:tr>
      <w:tr w:rsidR="00BA2FE4" w:rsidRPr="003B11BD" w14:paraId="0CC51890" w14:textId="77777777" w:rsidTr="003D1306">
        <w:tc>
          <w:tcPr>
            <w:tcW w:w="1418" w:type="dxa"/>
          </w:tcPr>
          <w:p w14:paraId="11D8FEF5" w14:textId="77777777" w:rsidR="00BA2FE4" w:rsidRPr="003B11BD" w:rsidRDefault="00BA2FE4" w:rsidP="00F03230">
            <w:pPr>
              <w:pStyle w:val="Size10"/>
              <w:rPr>
                <w:noProof/>
              </w:rPr>
            </w:pPr>
            <w:r w:rsidRPr="003B11BD">
              <w:rPr>
                <w:noProof/>
              </w:rPr>
              <w:t>G01N 33/48</w:t>
            </w:r>
          </w:p>
        </w:tc>
        <w:tc>
          <w:tcPr>
            <w:tcW w:w="7451" w:type="dxa"/>
          </w:tcPr>
          <w:p w14:paraId="4CB9BE44" w14:textId="77777777" w:rsidR="00BA2FE4" w:rsidRPr="003B11BD" w:rsidRDefault="00BA2FE4" w:rsidP="00F03230">
            <w:pPr>
              <w:pStyle w:val="Size10"/>
              <w:rPr>
                <w:noProof/>
              </w:rPr>
            </w:pPr>
            <w:r w:rsidRPr="003B11BD">
              <w:rPr>
                <w:noProof/>
              </w:rPr>
              <w:t>Investigating or analysing materials by specific methods not covered by groups G01N1/-G01N31/131 + Biological material, e.g. blood, urine; Haemocytometers</w:t>
            </w:r>
          </w:p>
        </w:tc>
      </w:tr>
      <w:tr w:rsidR="00BA2FE4" w:rsidRPr="003B11BD" w14:paraId="1269AC04" w14:textId="77777777" w:rsidTr="003D1306">
        <w:tc>
          <w:tcPr>
            <w:tcW w:w="1418" w:type="dxa"/>
          </w:tcPr>
          <w:p w14:paraId="004C0856" w14:textId="77777777" w:rsidR="00BA2FE4" w:rsidRPr="003B11BD" w:rsidRDefault="00BA2FE4" w:rsidP="00F03230">
            <w:pPr>
              <w:pStyle w:val="Size10"/>
              <w:rPr>
                <w:noProof/>
              </w:rPr>
            </w:pPr>
            <w:r w:rsidRPr="003B11BD">
              <w:rPr>
                <w:noProof/>
              </w:rPr>
              <w:t>G01N 33/569</w:t>
            </w:r>
          </w:p>
        </w:tc>
        <w:tc>
          <w:tcPr>
            <w:tcW w:w="7451" w:type="dxa"/>
          </w:tcPr>
          <w:p w14:paraId="7FE86B4F" w14:textId="77777777" w:rsidR="00BA2FE4" w:rsidRPr="003B11BD" w:rsidRDefault="00BA2FE4" w:rsidP="00F03230">
            <w:pPr>
              <w:pStyle w:val="Size10"/>
              <w:rPr>
                <w:noProof/>
              </w:rPr>
            </w:pPr>
            <w:r w:rsidRPr="003B11BD">
              <w:rPr>
                <w:noProof/>
              </w:rPr>
              <w:t>Investigating or analysing materials by specific methods not covered by groups G01N1/-G01N31/131 + Biological material, e.g. blood, urine; Haemocytometers + Chemical analysis of biological material, e.g. blood, urine; Testing involving biospecific ligand binding methods; Immunological testing + Immunoassay; Biospecific binding assay; Materials therefore + for microorganisms, e.g. protozoa, bacteria, viruses</w:t>
            </w:r>
          </w:p>
        </w:tc>
      </w:tr>
      <w:tr w:rsidR="00BA2FE4" w:rsidRPr="003B11BD" w14:paraId="797BBB64" w14:textId="77777777" w:rsidTr="003D1306">
        <w:tc>
          <w:tcPr>
            <w:tcW w:w="1418" w:type="dxa"/>
          </w:tcPr>
          <w:p w14:paraId="7AF8D01E" w14:textId="77777777" w:rsidR="00BA2FE4" w:rsidRPr="003B11BD" w:rsidRDefault="00BA2FE4" w:rsidP="00F03230">
            <w:pPr>
              <w:pStyle w:val="Size10"/>
              <w:rPr>
                <w:noProof/>
              </w:rPr>
            </w:pPr>
            <w:r w:rsidRPr="003B11BD">
              <w:rPr>
                <w:noProof/>
              </w:rPr>
              <w:t>A61L 2/00</w:t>
            </w:r>
          </w:p>
        </w:tc>
        <w:tc>
          <w:tcPr>
            <w:tcW w:w="7451" w:type="dxa"/>
          </w:tcPr>
          <w:p w14:paraId="365517B8" w14:textId="77777777" w:rsidR="00BA2FE4" w:rsidRPr="003B11BD" w:rsidRDefault="00BA2FE4" w:rsidP="00F03230">
            <w:pPr>
              <w:pStyle w:val="Size10"/>
              <w:rPr>
                <w:noProof/>
              </w:rPr>
            </w:pPr>
            <w:r w:rsidRPr="003B11BD">
              <w:rPr>
                <w:noProof/>
              </w:rPr>
              <w:t>Methods or apparatus for disinfecting or sterilising materials or objects other than foodstuffs or contact lenses; Accessories therefor</w:t>
            </w:r>
          </w:p>
        </w:tc>
      </w:tr>
      <w:tr w:rsidR="00BA2FE4" w:rsidRPr="003B11BD" w14:paraId="15F83882" w14:textId="77777777" w:rsidTr="003D1306">
        <w:tc>
          <w:tcPr>
            <w:tcW w:w="1418" w:type="dxa"/>
          </w:tcPr>
          <w:p w14:paraId="1AD0EB75" w14:textId="77777777" w:rsidR="00BA2FE4" w:rsidRPr="003B11BD" w:rsidRDefault="00BA2FE4" w:rsidP="00F03230">
            <w:pPr>
              <w:pStyle w:val="Size10"/>
              <w:rPr>
                <w:noProof/>
              </w:rPr>
            </w:pPr>
            <w:r w:rsidRPr="003B11BD">
              <w:rPr>
                <w:noProof/>
              </w:rPr>
              <w:t>A61L 9/00</w:t>
            </w:r>
          </w:p>
        </w:tc>
        <w:tc>
          <w:tcPr>
            <w:tcW w:w="7451" w:type="dxa"/>
          </w:tcPr>
          <w:p w14:paraId="5BE5B25B" w14:textId="77777777" w:rsidR="00BA2FE4" w:rsidRPr="003B11BD" w:rsidRDefault="00BA2FE4" w:rsidP="00F03230">
            <w:pPr>
              <w:pStyle w:val="Size10"/>
              <w:rPr>
                <w:noProof/>
              </w:rPr>
            </w:pPr>
            <w:r w:rsidRPr="003B11BD">
              <w:rPr>
                <w:noProof/>
              </w:rPr>
              <w:t>Disinfection, sterilisation or deodorisation of air</w:t>
            </w:r>
          </w:p>
        </w:tc>
      </w:tr>
      <w:tr w:rsidR="00BA2FE4" w:rsidRPr="003B11BD" w14:paraId="01094DBF" w14:textId="77777777" w:rsidTr="003D1306">
        <w:tc>
          <w:tcPr>
            <w:tcW w:w="1418" w:type="dxa"/>
          </w:tcPr>
          <w:p w14:paraId="6E9C98D5" w14:textId="77777777" w:rsidR="00BA2FE4" w:rsidRPr="003B11BD" w:rsidRDefault="00BA2FE4" w:rsidP="00F03230">
            <w:pPr>
              <w:pStyle w:val="Size10"/>
              <w:rPr>
                <w:noProof/>
              </w:rPr>
            </w:pPr>
            <w:r w:rsidRPr="003B11BD">
              <w:rPr>
                <w:noProof/>
              </w:rPr>
              <w:t>F24F 3/16</w:t>
            </w:r>
          </w:p>
        </w:tc>
        <w:tc>
          <w:tcPr>
            <w:tcW w:w="7451" w:type="dxa"/>
          </w:tcPr>
          <w:p w14:paraId="08A019C5" w14:textId="77777777" w:rsidR="00BA2FE4" w:rsidRPr="003B11BD" w:rsidRDefault="00BA2FE4" w:rsidP="00F03230">
            <w:pPr>
              <w:pStyle w:val="Size10"/>
              <w:rPr>
                <w:noProof/>
              </w:rPr>
            </w:pPr>
            <w:r w:rsidRPr="003B11BD">
              <w:rPr>
                <w:noProof/>
              </w:rPr>
              <w:t>Air-conditioning systems in which conditioned primary air is supplied from one or more central stations to distributing units in the rooms or spaces where it may receive secondary treatment; Apparatus specially designed for such systems + characterised by the treatment of the air otherwise than by heating and cooling + by purification, e.g. by filtering; by sterilisation; by ozonisation</w:t>
            </w:r>
          </w:p>
        </w:tc>
      </w:tr>
      <w:tr w:rsidR="00BA2FE4" w:rsidRPr="003B11BD" w14:paraId="6A342477" w14:textId="77777777" w:rsidTr="003D1306">
        <w:tc>
          <w:tcPr>
            <w:tcW w:w="1418" w:type="dxa"/>
          </w:tcPr>
          <w:p w14:paraId="5CF84E2F" w14:textId="77777777" w:rsidR="00BA2FE4" w:rsidRPr="003B11BD" w:rsidRDefault="00BA2FE4" w:rsidP="00F03230">
            <w:pPr>
              <w:pStyle w:val="Size10"/>
              <w:rPr>
                <w:noProof/>
              </w:rPr>
            </w:pPr>
            <w:r w:rsidRPr="003B11BD">
              <w:rPr>
                <w:noProof/>
              </w:rPr>
              <w:t>G16B</w:t>
            </w:r>
          </w:p>
        </w:tc>
        <w:tc>
          <w:tcPr>
            <w:tcW w:w="7451" w:type="dxa"/>
          </w:tcPr>
          <w:p w14:paraId="3CDC4AF3" w14:textId="77777777" w:rsidR="00BA2FE4" w:rsidRPr="003B11BD" w:rsidRDefault="00BA2FE4" w:rsidP="00F03230">
            <w:pPr>
              <w:pStyle w:val="Size10"/>
              <w:rPr>
                <w:noProof/>
              </w:rPr>
            </w:pPr>
            <w:r w:rsidRPr="003B11BD">
              <w:rPr>
                <w:noProof/>
              </w:rPr>
              <w:t>BIOINFORMATICS, i.e. INFORMATION AND COMMUNICATION TECHNOLOGY SPECIALLY ADAPTED FOR GENETIC OR PROTEIN-RELATED DATA PROCESSING IN COMPUTATIONAL MOLECULAR BIOLOGY</w:t>
            </w:r>
          </w:p>
        </w:tc>
      </w:tr>
      <w:tr w:rsidR="00BA2FE4" w:rsidRPr="003B11BD" w14:paraId="312485CD" w14:textId="77777777" w:rsidTr="003D1306">
        <w:tc>
          <w:tcPr>
            <w:tcW w:w="1418" w:type="dxa"/>
          </w:tcPr>
          <w:p w14:paraId="6D67E16A" w14:textId="77777777" w:rsidR="00BA2FE4" w:rsidRPr="003B11BD" w:rsidRDefault="00BA2FE4" w:rsidP="00F03230">
            <w:pPr>
              <w:pStyle w:val="Size10"/>
              <w:rPr>
                <w:noProof/>
              </w:rPr>
            </w:pPr>
            <w:r w:rsidRPr="003B11BD">
              <w:rPr>
                <w:noProof/>
              </w:rPr>
              <w:t>G16C</w:t>
            </w:r>
          </w:p>
        </w:tc>
        <w:tc>
          <w:tcPr>
            <w:tcW w:w="7451" w:type="dxa"/>
          </w:tcPr>
          <w:p w14:paraId="453F86D5" w14:textId="77777777" w:rsidR="00BA2FE4" w:rsidRPr="003B11BD" w:rsidRDefault="00BA2FE4" w:rsidP="00F03230">
            <w:pPr>
              <w:pStyle w:val="Size10"/>
              <w:rPr>
                <w:noProof/>
              </w:rPr>
            </w:pPr>
            <w:r w:rsidRPr="003B11BD">
              <w:rPr>
                <w:noProof/>
              </w:rPr>
              <w:t>COMPUTATIONAL CHEMISTRY; CHEMOINFORMATICS; COMPUTATIONAL MATERIALS SCIENCE</w:t>
            </w:r>
          </w:p>
        </w:tc>
      </w:tr>
      <w:tr w:rsidR="00BA2FE4" w:rsidRPr="003B11BD" w14:paraId="0EFCEDFC" w14:textId="77777777" w:rsidTr="003D1306">
        <w:tc>
          <w:tcPr>
            <w:tcW w:w="1418" w:type="dxa"/>
          </w:tcPr>
          <w:p w14:paraId="612DDCF1" w14:textId="77777777" w:rsidR="00BA2FE4" w:rsidRPr="003B11BD" w:rsidRDefault="00BA2FE4" w:rsidP="00F03230">
            <w:pPr>
              <w:pStyle w:val="Size10"/>
              <w:rPr>
                <w:noProof/>
              </w:rPr>
            </w:pPr>
            <w:r w:rsidRPr="003B11BD">
              <w:rPr>
                <w:noProof/>
              </w:rPr>
              <w:t>G16H</w:t>
            </w:r>
          </w:p>
        </w:tc>
        <w:tc>
          <w:tcPr>
            <w:tcW w:w="7451" w:type="dxa"/>
          </w:tcPr>
          <w:p w14:paraId="3781F0BA" w14:textId="77777777" w:rsidR="00BA2FE4" w:rsidRPr="003B11BD" w:rsidRDefault="00BA2FE4" w:rsidP="00F03230">
            <w:pPr>
              <w:pStyle w:val="Size10"/>
              <w:rPr>
                <w:noProof/>
              </w:rPr>
            </w:pPr>
            <w:r w:rsidRPr="003B11BD">
              <w:rPr>
                <w:noProof/>
              </w:rPr>
              <w:t>HEALTHCARE INFORMATICS, i.e. INFORMATION AND COMMUNICATION TECHNOLOGY SPECIALLY ADAPTED FOR THE HANDLING OR PROCESSING OF MEDICAL OR HEALTHCARE DATA</w:t>
            </w:r>
          </w:p>
        </w:tc>
      </w:tr>
      <w:tr w:rsidR="00BA2FE4" w:rsidRPr="003B11BD" w14:paraId="4E31EF05" w14:textId="77777777" w:rsidTr="003D1306">
        <w:tc>
          <w:tcPr>
            <w:tcW w:w="1418" w:type="dxa"/>
          </w:tcPr>
          <w:p w14:paraId="18428AEE" w14:textId="77777777" w:rsidR="00BA2FE4" w:rsidRPr="003B11BD" w:rsidRDefault="00BA2FE4" w:rsidP="00F03230">
            <w:pPr>
              <w:pStyle w:val="Size10"/>
              <w:rPr>
                <w:noProof/>
              </w:rPr>
            </w:pPr>
            <w:r w:rsidRPr="003B11BD">
              <w:rPr>
                <w:noProof/>
              </w:rPr>
              <w:t>A61B 50/00</w:t>
            </w:r>
          </w:p>
        </w:tc>
        <w:tc>
          <w:tcPr>
            <w:tcW w:w="7451" w:type="dxa"/>
          </w:tcPr>
          <w:p w14:paraId="4BD890A5" w14:textId="77777777" w:rsidR="00BA2FE4" w:rsidRPr="003B11BD" w:rsidRDefault="00BA2FE4" w:rsidP="00F03230">
            <w:pPr>
              <w:pStyle w:val="Size10"/>
              <w:rPr>
                <w:noProof/>
              </w:rPr>
            </w:pPr>
            <w:r w:rsidRPr="003B11BD">
              <w:rPr>
                <w:noProof/>
              </w:rPr>
              <w:t xml:space="preserve"> Containers, covers, furniture or holders specially adapted for surgical or diagnostic appliances or instruments, e.g. sterile covers</w:t>
            </w:r>
          </w:p>
        </w:tc>
      </w:tr>
      <w:tr w:rsidR="00BA2FE4" w:rsidRPr="003B11BD" w14:paraId="63A9ECFF" w14:textId="77777777" w:rsidTr="003D1306">
        <w:tc>
          <w:tcPr>
            <w:tcW w:w="1418" w:type="dxa"/>
          </w:tcPr>
          <w:p w14:paraId="6CAB6DED" w14:textId="77777777" w:rsidR="00BA2FE4" w:rsidRPr="003B11BD" w:rsidRDefault="00BA2FE4" w:rsidP="00F03230">
            <w:pPr>
              <w:pStyle w:val="Size10"/>
              <w:rPr>
                <w:noProof/>
              </w:rPr>
            </w:pPr>
            <w:r w:rsidRPr="003B11BD">
              <w:rPr>
                <w:noProof/>
              </w:rPr>
              <w:t>A61B 50/39</w:t>
            </w:r>
          </w:p>
        </w:tc>
        <w:tc>
          <w:tcPr>
            <w:tcW w:w="7451" w:type="dxa"/>
          </w:tcPr>
          <w:p w14:paraId="07A51882" w14:textId="77777777" w:rsidR="00BA2FE4" w:rsidRPr="003B11BD" w:rsidRDefault="00BA2FE4" w:rsidP="00F03230">
            <w:pPr>
              <w:pStyle w:val="Size10"/>
              <w:rPr>
                <w:noProof/>
              </w:rPr>
            </w:pPr>
            <w:r w:rsidRPr="003B11BD">
              <w:rPr>
                <w:noProof/>
              </w:rPr>
              <w:t xml:space="preserve"> Containers, covers, furniture or holders specially adapted for surgical or diagnostic appliances or instruments, e.g. sterile covers + Containers specially adapted for packaging, protecting, dispensing, collecting or disposing of surgical or diagnostic appliances or instruments + for collecting or disposing of used articles + the containers containing antimicrobial, antiviral or disinfectant agents</w:t>
            </w:r>
          </w:p>
        </w:tc>
      </w:tr>
      <w:tr w:rsidR="00BA2FE4" w:rsidRPr="003B11BD" w14:paraId="3021AE26" w14:textId="77777777" w:rsidTr="003D1306">
        <w:tc>
          <w:tcPr>
            <w:tcW w:w="1418" w:type="dxa"/>
          </w:tcPr>
          <w:p w14:paraId="08F5CE34" w14:textId="77777777" w:rsidR="00BA2FE4" w:rsidRPr="003B11BD" w:rsidRDefault="00BA2FE4" w:rsidP="00F03230">
            <w:pPr>
              <w:pStyle w:val="Size10"/>
              <w:rPr>
                <w:noProof/>
              </w:rPr>
            </w:pPr>
            <w:r w:rsidRPr="003B11BD">
              <w:rPr>
                <w:noProof/>
              </w:rPr>
              <w:t>A61M</w:t>
            </w:r>
          </w:p>
        </w:tc>
        <w:tc>
          <w:tcPr>
            <w:tcW w:w="7451" w:type="dxa"/>
          </w:tcPr>
          <w:p w14:paraId="58F45304" w14:textId="77777777" w:rsidR="00BA2FE4" w:rsidRPr="003B11BD" w:rsidRDefault="00BA2FE4" w:rsidP="00F03230">
            <w:pPr>
              <w:pStyle w:val="Size10"/>
              <w:rPr>
                <w:noProof/>
              </w:rPr>
            </w:pPr>
            <w:r w:rsidRPr="003B11BD">
              <w:rPr>
                <w:noProof/>
              </w:rPr>
              <w:t xml:space="preserve"> DEVICES FOR INTRODUCING MEDIA INTO, OR ONTO, THE BODY; DEVICES FOR TRANSDUCING BODY MEDIA OR FOR TAKING MEDIA FROM THE BODY; DEVICES FOR PRODUCING OR ENDING SLEEP OR STUPOR</w:t>
            </w:r>
          </w:p>
        </w:tc>
      </w:tr>
      <w:tr w:rsidR="00BA2FE4" w:rsidRPr="003B11BD" w14:paraId="212FDCCD" w14:textId="77777777" w:rsidTr="003D1306">
        <w:tc>
          <w:tcPr>
            <w:tcW w:w="1418" w:type="dxa"/>
          </w:tcPr>
          <w:p w14:paraId="1722BEA6" w14:textId="77777777" w:rsidR="00BA2FE4" w:rsidRPr="003B11BD" w:rsidRDefault="00BA2FE4" w:rsidP="00F03230">
            <w:pPr>
              <w:pStyle w:val="Size10"/>
              <w:rPr>
                <w:noProof/>
              </w:rPr>
            </w:pPr>
            <w:r w:rsidRPr="003B11BD">
              <w:rPr>
                <w:noProof/>
              </w:rPr>
              <w:t>A61M 1/00</w:t>
            </w:r>
          </w:p>
        </w:tc>
        <w:tc>
          <w:tcPr>
            <w:tcW w:w="7451" w:type="dxa"/>
          </w:tcPr>
          <w:p w14:paraId="2AF8ADCA" w14:textId="77777777" w:rsidR="00BA2FE4" w:rsidRPr="003B11BD" w:rsidRDefault="00BA2FE4" w:rsidP="00F03230">
            <w:pPr>
              <w:pStyle w:val="Size10"/>
              <w:rPr>
                <w:noProof/>
              </w:rPr>
            </w:pPr>
            <w:r w:rsidRPr="003B11BD">
              <w:rPr>
                <w:noProof/>
              </w:rPr>
              <w:t>Suction or pumping devices for medical purposes; Devices for carrying-off, for treatment of, or for carrying-over, body-liquids; Drainage systems</w:t>
            </w:r>
          </w:p>
        </w:tc>
      </w:tr>
      <w:tr w:rsidR="00BA2FE4" w:rsidRPr="003B11BD" w14:paraId="01E9F281" w14:textId="77777777" w:rsidTr="003D1306">
        <w:tc>
          <w:tcPr>
            <w:tcW w:w="1418" w:type="dxa"/>
          </w:tcPr>
          <w:p w14:paraId="443663B6" w14:textId="77777777" w:rsidR="00BA2FE4" w:rsidRPr="003B11BD" w:rsidRDefault="00BA2FE4" w:rsidP="00F03230">
            <w:pPr>
              <w:pStyle w:val="Size10"/>
              <w:rPr>
                <w:noProof/>
              </w:rPr>
            </w:pPr>
            <w:r w:rsidRPr="003B11BD">
              <w:rPr>
                <w:noProof/>
              </w:rPr>
              <w:t xml:space="preserve">B25J </w:t>
            </w:r>
          </w:p>
        </w:tc>
        <w:tc>
          <w:tcPr>
            <w:tcW w:w="7451" w:type="dxa"/>
          </w:tcPr>
          <w:p w14:paraId="759C22A4" w14:textId="77777777" w:rsidR="00BA2FE4" w:rsidRPr="003B11BD" w:rsidRDefault="00BA2FE4" w:rsidP="00F03230">
            <w:pPr>
              <w:pStyle w:val="Size10"/>
              <w:rPr>
                <w:noProof/>
              </w:rPr>
            </w:pPr>
            <w:r w:rsidRPr="003B11BD">
              <w:rPr>
                <w:noProof/>
              </w:rPr>
              <w:t>MANIPULATORS; CHAMBERS PROVIDED WITH MANIPULATION DEVICES</w:t>
            </w:r>
          </w:p>
        </w:tc>
      </w:tr>
      <w:tr w:rsidR="00BA2FE4" w:rsidRPr="003B11BD" w14:paraId="29AFC80F" w14:textId="77777777" w:rsidTr="003D1306">
        <w:tc>
          <w:tcPr>
            <w:tcW w:w="1418" w:type="dxa"/>
          </w:tcPr>
          <w:p w14:paraId="0708FB56" w14:textId="77777777" w:rsidR="00BA2FE4" w:rsidRPr="003B11BD" w:rsidRDefault="00BA2FE4" w:rsidP="00F03230">
            <w:pPr>
              <w:pStyle w:val="Size10"/>
              <w:rPr>
                <w:noProof/>
              </w:rPr>
            </w:pPr>
            <w:r w:rsidRPr="003B11BD">
              <w:rPr>
                <w:noProof/>
              </w:rPr>
              <w:t xml:space="preserve">B25J 9/00 </w:t>
            </w:r>
          </w:p>
        </w:tc>
        <w:tc>
          <w:tcPr>
            <w:tcW w:w="7451" w:type="dxa"/>
          </w:tcPr>
          <w:p w14:paraId="7E9EB5C2" w14:textId="77777777" w:rsidR="00BA2FE4" w:rsidRPr="003B11BD" w:rsidRDefault="00BA2FE4" w:rsidP="00F03230">
            <w:pPr>
              <w:pStyle w:val="Size10"/>
              <w:rPr>
                <w:noProof/>
              </w:rPr>
            </w:pPr>
            <w:r w:rsidRPr="003B11BD">
              <w:rPr>
                <w:noProof/>
              </w:rPr>
              <w:t>Programme-controlled manipulators</w:t>
            </w:r>
          </w:p>
        </w:tc>
      </w:tr>
      <w:tr w:rsidR="00BA2FE4" w:rsidRPr="003B11BD" w14:paraId="07FAA09F" w14:textId="77777777" w:rsidTr="003D1306">
        <w:tc>
          <w:tcPr>
            <w:tcW w:w="1418" w:type="dxa"/>
          </w:tcPr>
          <w:p w14:paraId="579AA411" w14:textId="77777777" w:rsidR="00BA2FE4" w:rsidRPr="003B11BD" w:rsidRDefault="00BA2FE4" w:rsidP="00F03230">
            <w:pPr>
              <w:pStyle w:val="Size10"/>
              <w:rPr>
                <w:noProof/>
              </w:rPr>
            </w:pPr>
            <w:r w:rsidRPr="003B11BD">
              <w:rPr>
                <w:noProof/>
              </w:rPr>
              <w:t xml:space="preserve">C12M </w:t>
            </w:r>
          </w:p>
        </w:tc>
        <w:tc>
          <w:tcPr>
            <w:tcW w:w="7451" w:type="dxa"/>
          </w:tcPr>
          <w:p w14:paraId="6294F7FD" w14:textId="77777777" w:rsidR="00BA2FE4" w:rsidRPr="003B11BD" w:rsidRDefault="00BA2FE4" w:rsidP="00F03230">
            <w:pPr>
              <w:pStyle w:val="Size10"/>
              <w:rPr>
                <w:noProof/>
              </w:rPr>
            </w:pPr>
            <w:r w:rsidRPr="003B11BD">
              <w:rPr>
                <w:noProof/>
              </w:rPr>
              <w:t>APPARATUS FOR ENZYMOLOGY OR MICROBIOLOGY</w:t>
            </w:r>
          </w:p>
        </w:tc>
      </w:tr>
      <w:tr w:rsidR="00BA2FE4" w:rsidRPr="003B11BD" w14:paraId="7C1550FF" w14:textId="77777777" w:rsidTr="003D1306">
        <w:tc>
          <w:tcPr>
            <w:tcW w:w="1418" w:type="dxa"/>
          </w:tcPr>
          <w:p w14:paraId="34F0A2F8" w14:textId="77777777" w:rsidR="00BA2FE4" w:rsidRPr="003B11BD" w:rsidRDefault="00BA2FE4" w:rsidP="00F03230">
            <w:pPr>
              <w:pStyle w:val="Size10"/>
              <w:rPr>
                <w:noProof/>
              </w:rPr>
            </w:pPr>
            <w:r w:rsidRPr="003B11BD">
              <w:rPr>
                <w:noProof/>
              </w:rPr>
              <w:t xml:space="preserve">C12M 3/00 </w:t>
            </w:r>
          </w:p>
        </w:tc>
        <w:tc>
          <w:tcPr>
            <w:tcW w:w="7451" w:type="dxa"/>
          </w:tcPr>
          <w:p w14:paraId="0EA8C835" w14:textId="77777777" w:rsidR="00BA2FE4" w:rsidRPr="003B11BD" w:rsidRDefault="00BA2FE4" w:rsidP="00F03230">
            <w:pPr>
              <w:pStyle w:val="Size10"/>
              <w:rPr>
                <w:noProof/>
              </w:rPr>
            </w:pPr>
            <w:r w:rsidRPr="003B11BD">
              <w:rPr>
                <w:noProof/>
              </w:rPr>
              <w:t>Tissue, human, animal or plant cell, or virus culture apparatus</w:t>
            </w:r>
          </w:p>
        </w:tc>
      </w:tr>
      <w:tr w:rsidR="00BA2FE4" w:rsidRPr="003B11BD" w14:paraId="24AB8EAF" w14:textId="77777777" w:rsidTr="003D1306">
        <w:tc>
          <w:tcPr>
            <w:tcW w:w="1418" w:type="dxa"/>
          </w:tcPr>
          <w:p w14:paraId="58D14C3C" w14:textId="77777777" w:rsidR="00BA2FE4" w:rsidRPr="003B11BD" w:rsidRDefault="00BA2FE4" w:rsidP="00F03230">
            <w:pPr>
              <w:pStyle w:val="Size10"/>
              <w:rPr>
                <w:noProof/>
              </w:rPr>
            </w:pPr>
            <w:r w:rsidRPr="003B11BD">
              <w:rPr>
                <w:noProof/>
              </w:rPr>
              <w:t xml:space="preserve">A61G </w:t>
            </w:r>
          </w:p>
        </w:tc>
        <w:tc>
          <w:tcPr>
            <w:tcW w:w="7451" w:type="dxa"/>
          </w:tcPr>
          <w:p w14:paraId="70666E8A" w14:textId="77777777" w:rsidR="00BA2FE4" w:rsidRPr="003B11BD" w:rsidRDefault="00BA2FE4" w:rsidP="00F03230">
            <w:pPr>
              <w:pStyle w:val="Size10"/>
              <w:rPr>
                <w:noProof/>
              </w:rPr>
            </w:pPr>
            <w:r w:rsidRPr="003B11BD">
              <w:rPr>
                <w:noProof/>
              </w:rPr>
              <w:t>TRANSPORT, PERSONAL CONVEYANCES, OR ACCOMMODATION SPECIALLY ADAPTED FOR PATIENTS OR DISABLED PERSONS; OPERATING TABLES OR CHAIRS; CHAIRS FOR DENTISTRY; FUNERAL DEVICES</w:t>
            </w:r>
          </w:p>
        </w:tc>
      </w:tr>
      <w:tr w:rsidR="00BA2FE4" w:rsidRPr="003B11BD" w14:paraId="4432EA76" w14:textId="77777777" w:rsidTr="003D1306">
        <w:tc>
          <w:tcPr>
            <w:tcW w:w="1418" w:type="dxa"/>
          </w:tcPr>
          <w:p w14:paraId="648D8E70" w14:textId="77777777" w:rsidR="00BA2FE4" w:rsidRPr="003B11BD" w:rsidRDefault="00BA2FE4" w:rsidP="00F03230">
            <w:pPr>
              <w:pStyle w:val="Size10"/>
              <w:rPr>
                <w:noProof/>
              </w:rPr>
            </w:pPr>
            <w:r w:rsidRPr="003B11BD">
              <w:rPr>
                <w:noProof/>
              </w:rPr>
              <w:t xml:space="preserve">A61G 3/00 </w:t>
            </w:r>
          </w:p>
        </w:tc>
        <w:tc>
          <w:tcPr>
            <w:tcW w:w="7451" w:type="dxa"/>
          </w:tcPr>
          <w:p w14:paraId="259E47BD" w14:textId="77777777" w:rsidR="00BA2FE4" w:rsidRPr="003B11BD" w:rsidRDefault="00BA2FE4" w:rsidP="00F03230">
            <w:pPr>
              <w:pStyle w:val="Size10"/>
              <w:rPr>
                <w:noProof/>
              </w:rPr>
            </w:pPr>
            <w:r w:rsidRPr="003B11BD">
              <w:rPr>
                <w:noProof/>
              </w:rPr>
              <w:t>Ambulance aspects of vehicles; Vehicles with special provisions for transporting patients or disabled persons, or their personal conveyances, e.g. for facilitating access of, or for loading, wheelchairs</w:t>
            </w:r>
          </w:p>
        </w:tc>
      </w:tr>
      <w:tr w:rsidR="00BA2FE4" w:rsidRPr="003B11BD" w14:paraId="3D298DE5" w14:textId="77777777" w:rsidTr="003D1306">
        <w:tc>
          <w:tcPr>
            <w:tcW w:w="1418" w:type="dxa"/>
          </w:tcPr>
          <w:p w14:paraId="705991AC" w14:textId="77777777" w:rsidR="00BA2FE4" w:rsidRPr="003B11BD" w:rsidRDefault="00BA2FE4" w:rsidP="00F03230">
            <w:pPr>
              <w:pStyle w:val="Size10"/>
              <w:rPr>
                <w:noProof/>
              </w:rPr>
            </w:pPr>
            <w:r w:rsidRPr="003B11BD">
              <w:rPr>
                <w:noProof/>
              </w:rPr>
              <w:t xml:space="preserve">A61G 10/00 </w:t>
            </w:r>
          </w:p>
        </w:tc>
        <w:tc>
          <w:tcPr>
            <w:tcW w:w="7451" w:type="dxa"/>
          </w:tcPr>
          <w:p w14:paraId="37366766" w14:textId="77777777" w:rsidR="00BA2FE4" w:rsidRPr="003B11BD" w:rsidRDefault="00BA2FE4" w:rsidP="00F03230">
            <w:pPr>
              <w:pStyle w:val="Size10"/>
              <w:rPr>
                <w:noProof/>
              </w:rPr>
            </w:pPr>
            <w:r w:rsidRPr="003B11BD">
              <w:rPr>
                <w:noProof/>
              </w:rPr>
              <w:t>Treatment rooms for medical purposes</w:t>
            </w:r>
          </w:p>
        </w:tc>
      </w:tr>
      <w:tr w:rsidR="00BA2FE4" w:rsidRPr="003B11BD" w14:paraId="2E96E926" w14:textId="77777777" w:rsidTr="003D1306">
        <w:tc>
          <w:tcPr>
            <w:tcW w:w="1418" w:type="dxa"/>
          </w:tcPr>
          <w:p w14:paraId="7E355BDC" w14:textId="77777777" w:rsidR="00BA2FE4" w:rsidRPr="003B11BD" w:rsidRDefault="00BA2FE4" w:rsidP="00F03230">
            <w:pPr>
              <w:pStyle w:val="Size10"/>
              <w:rPr>
                <w:noProof/>
              </w:rPr>
            </w:pPr>
            <w:r w:rsidRPr="003B11BD">
              <w:rPr>
                <w:noProof/>
              </w:rPr>
              <w:t xml:space="preserve">A61G 12/00 </w:t>
            </w:r>
          </w:p>
        </w:tc>
        <w:tc>
          <w:tcPr>
            <w:tcW w:w="7451" w:type="dxa"/>
          </w:tcPr>
          <w:p w14:paraId="601206AC" w14:textId="77777777" w:rsidR="00BA2FE4" w:rsidRPr="003B11BD" w:rsidRDefault="00BA2FE4" w:rsidP="00F03230">
            <w:pPr>
              <w:pStyle w:val="Size10"/>
              <w:rPr>
                <w:noProof/>
              </w:rPr>
            </w:pPr>
            <w:r w:rsidRPr="003B11BD">
              <w:rPr>
                <w:noProof/>
              </w:rPr>
              <w:t>Accommodation for nursing, e.g. in hospitals, not covered by groups A61G1/-A61G11/120; Prescription lists</w:t>
            </w:r>
          </w:p>
        </w:tc>
      </w:tr>
      <w:tr w:rsidR="00BA2FE4" w:rsidRPr="003B11BD" w14:paraId="1F7143E4" w14:textId="77777777" w:rsidTr="003D1306">
        <w:tc>
          <w:tcPr>
            <w:tcW w:w="1418" w:type="dxa"/>
          </w:tcPr>
          <w:p w14:paraId="6E7B2986" w14:textId="77777777" w:rsidR="00BA2FE4" w:rsidRPr="003B11BD" w:rsidRDefault="00BA2FE4" w:rsidP="00F03230">
            <w:pPr>
              <w:pStyle w:val="Size10"/>
              <w:rPr>
                <w:noProof/>
              </w:rPr>
            </w:pPr>
            <w:r w:rsidRPr="003B11BD">
              <w:rPr>
                <w:noProof/>
              </w:rPr>
              <w:t xml:space="preserve">A61K </w:t>
            </w:r>
          </w:p>
        </w:tc>
        <w:tc>
          <w:tcPr>
            <w:tcW w:w="7451" w:type="dxa"/>
          </w:tcPr>
          <w:p w14:paraId="05F4E7E7" w14:textId="77777777" w:rsidR="00BA2FE4" w:rsidRPr="003B11BD" w:rsidRDefault="00BA2FE4" w:rsidP="00F03230">
            <w:pPr>
              <w:pStyle w:val="Size10"/>
              <w:rPr>
                <w:noProof/>
              </w:rPr>
            </w:pPr>
            <w:r w:rsidRPr="003B11BD">
              <w:rPr>
                <w:noProof/>
              </w:rPr>
              <w:t>PREPARATIONS FOR MEDICAL, DENTAL, OR TOILET PURPOSES</w:t>
            </w:r>
          </w:p>
        </w:tc>
      </w:tr>
      <w:tr w:rsidR="00BA2FE4" w:rsidRPr="003B11BD" w14:paraId="37A0A5DA" w14:textId="77777777" w:rsidTr="003D1306">
        <w:tc>
          <w:tcPr>
            <w:tcW w:w="1418" w:type="dxa"/>
          </w:tcPr>
          <w:p w14:paraId="5746336E" w14:textId="77777777" w:rsidR="00BA2FE4" w:rsidRPr="003B11BD" w:rsidRDefault="00BA2FE4" w:rsidP="00F03230">
            <w:pPr>
              <w:pStyle w:val="Size10"/>
              <w:rPr>
                <w:noProof/>
              </w:rPr>
            </w:pPr>
            <w:r w:rsidRPr="003B11BD">
              <w:rPr>
                <w:noProof/>
              </w:rPr>
              <w:t xml:space="preserve">A61K 35/00 </w:t>
            </w:r>
          </w:p>
        </w:tc>
        <w:tc>
          <w:tcPr>
            <w:tcW w:w="7451" w:type="dxa"/>
          </w:tcPr>
          <w:p w14:paraId="3B2FE63E" w14:textId="77777777" w:rsidR="00BA2FE4" w:rsidRPr="003B11BD" w:rsidRDefault="00BA2FE4" w:rsidP="00F03230">
            <w:pPr>
              <w:pStyle w:val="Size10"/>
              <w:rPr>
                <w:noProof/>
              </w:rPr>
            </w:pPr>
            <w:r w:rsidRPr="003B11BD">
              <w:rPr>
                <w:noProof/>
              </w:rPr>
              <w:t>Medicinal preparations containing materials or reaction products thereof with undetermined constitution</w:t>
            </w:r>
          </w:p>
        </w:tc>
      </w:tr>
      <w:tr w:rsidR="00BA2FE4" w:rsidRPr="003B11BD" w14:paraId="2F880D8E" w14:textId="77777777" w:rsidTr="003D1306">
        <w:tc>
          <w:tcPr>
            <w:tcW w:w="1418" w:type="dxa"/>
          </w:tcPr>
          <w:p w14:paraId="2907610E" w14:textId="77777777" w:rsidR="00BA2FE4" w:rsidRPr="003B11BD" w:rsidRDefault="00BA2FE4" w:rsidP="00F03230">
            <w:pPr>
              <w:pStyle w:val="Size10"/>
              <w:rPr>
                <w:noProof/>
              </w:rPr>
            </w:pPr>
            <w:r w:rsidRPr="003B11BD">
              <w:rPr>
                <w:noProof/>
              </w:rPr>
              <w:t xml:space="preserve">A61K 45/00 </w:t>
            </w:r>
          </w:p>
        </w:tc>
        <w:tc>
          <w:tcPr>
            <w:tcW w:w="7451" w:type="dxa"/>
          </w:tcPr>
          <w:p w14:paraId="1B232D28" w14:textId="77777777" w:rsidR="00BA2FE4" w:rsidRPr="003B11BD" w:rsidRDefault="00BA2FE4" w:rsidP="00F03230">
            <w:pPr>
              <w:pStyle w:val="Size10"/>
              <w:rPr>
                <w:noProof/>
              </w:rPr>
            </w:pPr>
            <w:r w:rsidRPr="003B11BD">
              <w:rPr>
                <w:noProof/>
              </w:rPr>
              <w:t>Medicinal preparations containing active ingredients not provided for in groups A61K31/-A61K41/132</w:t>
            </w:r>
          </w:p>
        </w:tc>
      </w:tr>
      <w:tr w:rsidR="00BA2FE4" w:rsidRPr="003B11BD" w14:paraId="2737A989" w14:textId="77777777" w:rsidTr="003D1306">
        <w:tc>
          <w:tcPr>
            <w:tcW w:w="1418" w:type="dxa"/>
          </w:tcPr>
          <w:p w14:paraId="117CD901" w14:textId="77777777" w:rsidR="00BA2FE4" w:rsidRPr="003B11BD" w:rsidRDefault="00BA2FE4" w:rsidP="00F03230">
            <w:pPr>
              <w:pStyle w:val="Size10"/>
              <w:rPr>
                <w:noProof/>
              </w:rPr>
            </w:pPr>
            <w:r w:rsidRPr="003B11BD">
              <w:rPr>
                <w:noProof/>
              </w:rPr>
              <w:t xml:space="preserve">C07K </w:t>
            </w:r>
          </w:p>
        </w:tc>
        <w:tc>
          <w:tcPr>
            <w:tcW w:w="7451" w:type="dxa"/>
          </w:tcPr>
          <w:p w14:paraId="7D9DBBB9" w14:textId="77777777" w:rsidR="00BA2FE4" w:rsidRPr="003B11BD" w:rsidRDefault="00BA2FE4" w:rsidP="00F03230">
            <w:pPr>
              <w:pStyle w:val="Size10"/>
              <w:rPr>
                <w:noProof/>
              </w:rPr>
            </w:pPr>
            <w:r w:rsidRPr="003B11BD">
              <w:rPr>
                <w:noProof/>
              </w:rPr>
              <w:t>PEPTIDES</w:t>
            </w:r>
          </w:p>
        </w:tc>
      </w:tr>
      <w:tr w:rsidR="00BA2FE4" w:rsidRPr="003B11BD" w14:paraId="5E661479" w14:textId="77777777" w:rsidTr="003D1306">
        <w:tc>
          <w:tcPr>
            <w:tcW w:w="1418" w:type="dxa"/>
          </w:tcPr>
          <w:p w14:paraId="1D6FB407" w14:textId="77777777" w:rsidR="00BA2FE4" w:rsidRPr="003B11BD" w:rsidRDefault="00BA2FE4" w:rsidP="00F03230">
            <w:pPr>
              <w:pStyle w:val="Size10"/>
              <w:rPr>
                <w:noProof/>
              </w:rPr>
            </w:pPr>
            <w:r w:rsidRPr="003B11BD">
              <w:rPr>
                <w:noProof/>
              </w:rPr>
              <w:t xml:space="preserve">A61K 35/76 </w:t>
            </w:r>
          </w:p>
        </w:tc>
        <w:tc>
          <w:tcPr>
            <w:tcW w:w="7451" w:type="dxa"/>
          </w:tcPr>
          <w:p w14:paraId="615A406A" w14:textId="77777777" w:rsidR="00BA2FE4" w:rsidRPr="003B11BD" w:rsidRDefault="00BA2FE4" w:rsidP="00F03230">
            <w:pPr>
              <w:pStyle w:val="Size10"/>
              <w:rPr>
                <w:noProof/>
              </w:rPr>
            </w:pPr>
            <w:r w:rsidRPr="003B11BD">
              <w:rPr>
                <w:noProof/>
              </w:rPr>
              <w:t>Medicinal preparations containing materials or reaction products thereof with undetermined constitution + Microorganisms or materials therefrom + Viruses; Subviral particles; Bacteriophages</w:t>
            </w:r>
          </w:p>
        </w:tc>
      </w:tr>
      <w:tr w:rsidR="00BA2FE4" w:rsidRPr="003B11BD" w14:paraId="2AA892A1" w14:textId="77777777" w:rsidTr="003D1306">
        <w:tc>
          <w:tcPr>
            <w:tcW w:w="1418" w:type="dxa"/>
          </w:tcPr>
          <w:p w14:paraId="0D2C4A5D" w14:textId="77777777" w:rsidR="00BA2FE4" w:rsidRPr="003B11BD" w:rsidRDefault="00BA2FE4" w:rsidP="00F03230">
            <w:pPr>
              <w:pStyle w:val="Size10"/>
              <w:rPr>
                <w:noProof/>
              </w:rPr>
            </w:pPr>
            <w:r w:rsidRPr="003B11BD">
              <w:rPr>
                <w:noProof/>
              </w:rPr>
              <w:t xml:space="preserve">A61K 38/00 </w:t>
            </w:r>
          </w:p>
        </w:tc>
        <w:tc>
          <w:tcPr>
            <w:tcW w:w="7451" w:type="dxa"/>
          </w:tcPr>
          <w:p w14:paraId="772D948B" w14:textId="77777777" w:rsidR="00BA2FE4" w:rsidRPr="003B11BD" w:rsidRDefault="00BA2FE4" w:rsidP="00F03230">
            <w:pPr>
              <w:pStyle w:val="Size10"/>
              <w:rPr>
                <w:noProof/>
              </w:rPr>
            </w:pPr>
            <w:r w:rsidRPr="003B11BD">
              <w:rPr>
                <w:noProof/>
              </w:rPr>
              <w:t>Medicinal preparations containing peptides</w:t>
            </w:r>
          </w:p>
        </w:tc>
      </w:tr>
      <w:tr w:rsidR="00BA2FE4" w:rsidRPr="003B11BD" w14:paraId="73B48273" w14:textId="77777777" w:rsidTr="003D1306">
        <w:tc>
          <w:tcPr>
            <w:tcW w:w="1418" w:type="dxa"/>
          </w:tcPr>
          <w:p w14:paraId="200E0754" w14:textId="77777777" w:rsidR="00BA2FE4" w:rsidRPr="003B11BD" w:rsidRDefault="00BA2FE4" w:rsidP="00F03230">
            <w:pPr>
              <w:pStyle w:val="Size10"/>
              <w:rPr>
                <w:noProof/>
              </w:rPr>
            </w:pPr>
            <w:r w:rsidRPr="003B11BD">
              <w:rPr>
                <w:noProof/>
              </w:rPr>
              <w:t xml:space="preserve">A61K 39/00 </w:t>
            </w:r>
          </w:p>
        </w:tc>
        <w:tc>
          <w:tcPr>
            <w:tcW w:w="7451" w:type="dxa"/>
          </w:tcPr>
          <w:p w14:paraId="553BD703" w14:textId="77777777" w:rsidR="00BA2FE4" w:rsidRPr="003B11BD" w:rsidRDefault="00BA2FE4" w:rsidP="00F03230">
            <w:pPr>
              <w:pStyle w:val="Size10"/>
              <w:rPr>
                <w:noProof/>
              </w:rPr>
            </w:pPr>
            <w:r w:rsidRPr="003B11BD">
              <w:rPr>
                <w:noProof/>
              </w:rPr>
              <w:t>Medicinal preparations containing antigens or antibodies</w:t>
            </w:r>
          </w:p>
        </w:tc>
      </w:tr>
      <w:tr w:rsidR="00BA2FE4" w:rsidRPr="003B11BD" w14:paraId="6A961B1A" w14:textId="77777777" w:rsidTr="003D1306">
        <w:tc>
          <w:tcPr>
            <w:tcW w:w="1418" w:type="dxa"/>
          </w:tcPr>
          <w:p w14:paraId="6EFD7959" w14:textId="77777777" w:rsidR="00BA2FE4" w:rsidRPr="003B11BD" w:rsidRDefault="00BA2FE4" w:rsidP="00F03230">
            <w:pPr>
              <w:pStyle w:val="Size10"/>
              <w:rPr>
                <w:noProof/>
              </w:rPr>
            </w:pPr>
            <w:r w:rsidRPr="003B11BD">
              <w:rPr>
                <w:noProof/>
              </w:rPr>
              <w:t xml:space="preserve">A61K 39/12 </w:t>
            </w:r>
          </w:p>
        </w:tc>
        <w:tc>
          <w:tcPr>
            <w:tcW w:w="7451" w:type="dxa"/>
          </w:tcPr>
          <w:p w14:paraId="0D254A0A" w14:textId="77777777" w:rsidR="00BA2FE4" w:rsidRPr="003B11BD" w:rsidRDefault="00BA2FE4" w:rsidP="00F03230">
            <w:pPr>
              <w:pStyle w:val="Size10"/>
              <w:rPr>
                <w:noProof/>
              </w:rPr>
            </w:pPr>
            <w:r w:rsidRPr="003B11BD">
              <w:rPr>
                <w:noProof/>
              </w:rPr>
              <w:t>Medicinal preparations containing antigens or antibodies + Viral antigens</w:t>
            </w:r>
          </w:p>
        </w:tc>
      </w:tr>
      <w:tr w:rsidR="00BA2FE4" w:rsidRPr="003B11BD" w14:paraId="6986955E" w14:textId="77777777" w:rsidTr="003D1306">
        <w:tc>
          <w:tcPr>
            <w:tcW w:w="1418" w:type="dxa"/>
          </w:tcPr>
          <w:p w14:paraId="1B9A9A80" w14:textId="77777777" w:rsidR="00BA2FE4" w:rsidRPr="003B11BD" w:rsidRDefault="00BA2FE4" w:rsidP="00F03230">
            <w:pPr>
              <w:pStyle w:val="Size10"/>
              <w:rPr>
                <w:noProof/>
              </w:rPr>
            </w:pPr>
            <w:r w:rsidRPr="003B11BD">
              <w:rPr>
                <w:noProof/>
              </w:rPr>
              <w:t xml:space="preserve">A61K 39/215 </w:t>
            </w:r>
          </w:p>
        </w:tc>
        <w:tc>
          <w:tcPr>
            <w:tcW w:w="7451" w:type="dxa"/>
          </w:tcPr>
          <w:p w14:paraId="1525E31D" w14:textId="77777777" w:rsidR="00BA2FE4" w:rsidRPr="003B11BD" w:rsidRDefault="00BA2FE4" w:rsidP="00F03230">
            <w:pPr>
              <w:pStyle w:val="Size10"/>
              <w:rPr>
                <w:noProof/>
              </w:rPr>
            </w:pPr>
            <w:r w:rsidRPr="003B11BD">
              <w:rPr>
                <w:noProof/>
              </w:rPr>
              <w:t>Medicinal preparations containing antigens or antibodies + Viral antigens + Coronaviridae, e.g. avian infectious bronchitis virus</w:t>
            </w:r>
          </w:p>
        </w:tc>
      </w:tr>
      <w:tr w:rsidR="00BA2FE4" w:rsidRPr="003B11BD" w14:paraId="43A9E47D" w14:textId="77777777" w:rsidTr="003D1306">
        <w:tc>
          <w:tcPr>
            <w:tcW w:w="1418" w:type="dxa"/>
          </w:tcPr>
          <w:p w14:paraId="6B1D1C13" w14:textId="77777777" w:rsidR="00BA2FE4" w:rsidRPr="003B11BD" w:rsidRDefault="00BA2FE4" w:rsidP="00F03230">
            <w:pPr>
              <w:pStyle w:val="Size10"/>
              <w:rPr>
                <w:noProof/>
              </w:rPr>
            </w:pPr>
            <w:r w:rsidRPr="003B11BD">
              <w:rPr>
                <w:noProof/>
              </w:rPr>
              <w:t>C07K 14/165</w:t>
            </w:r>
          </w:p>
        </w:tc>
        <w:tc>
          <w:tcPr>
            <w:tcW w:w="7451" w:type="dxa"/>
          </w:tcPr>
          <w:p w14:paraId="56CAF871" w14:textId="77777777" w:rsidR="00BA2FE4" w:rsidRPr="003B11BD" w:rsidRDefault="00BA2FE4" w:rsidP="00F03230">
            <w:pPr>
              <w:pStyle w:val="Size10"/>
              <w:rPr>
                <w:noProof/>
              </w:rPr>
            </w:pPr>
            <w:r w:rsidRPr="003B11BD">
              <w:rPr>
                <w:noProof/>
              </w:rPr>
              <w:t>Peptides having more than 20 amino acids; Gastrins; Somatostatins; Melanotropins; Derivatives thereof + from viruses + RNA viruses + Coronaviridae, e.g. avian infectious bronchitis virus</w:t>
            </w:r>
          </w:p>
        </w:tc>
      </w:tr>
      <w:tr w:rsidR="00BA2FE4" w:rsidRPr="003B11BD" w14:paraId="0A6BC9CA" w14:textId="77777777" w:rsidTr="003D1306">
        <w:tc>
          <w:tcPr>
            <w:tcW w:w="1418" w:type="dxa"/>
          </w:tcPr>
          <w:p w14:paraId="67AF564A" w14:textId="77777777" w:rsidR="00BA2FE4" w:rsidRPr="003B11BD" w:rsidRDefault="00BA2FE4" w:rsidP="00F03230">
            <w:pPr>
              <w:pStyle w:val="Size10"/>
              <w:rPr>
                <w:noProof/>
              </w:rPr>
            </w:pPr>
            <w:r w:rsidRPr="003B11BD">
              <w:rPr>
                <w:noProof/>
              </w:rPr>
              <w:t>C12N</w:t>
            </w:r>
          </w:p>
        </w:tc>
        <w:tc>
          <w:tcPr>
            <w:tcW w:w="7451" w:type="dxa"/>
          </w:tcPr>
          <w:p w14:paraId="4C8E4EA4" w14:textId="77777777" w:rsidR="00BA2FE4" w:rsidRPr="003B11BD" w:rsidRDefault="00BA2FE4" w:rsidP="00F03230">
            <w:pPr>
              <w:pStyle w:val="Size10"/>
              <w:rPr>
                <w:noProof/>
              </w:rPr>
            </w:pPr>
            <w:r w:rsidRPr="003B11BD">
              <w:rPr>
                <w:noProof/>
              </w:rPr>
              <w:t>MICROORGANISMS OR ENZYMES; COMPOSITIONS THEREOF; PROPAGATING, PRESERVING, OR MAINTAINING MICROORGANISMS; MUTATION OR GENETIC ENGINEERING; CULTURE MEDIA</w:t>
            </w:r>
          </w:p>
        </w:tc>
      </w:tr>
      <w:tr w:rsidR="00BA2FE4" w:rsidRPr="003B11BD" w14:paraId="687B45EC" w14:textId="77777777" w:rsidTr="003D1306">
        <w:tc>
          <w:tcPr>
            <w:tcW w:w="1418" w:type="dxa"/>
          </w:tcPr>
          <w:p w14:paraId="6429068C" w14:textId="77777777" w:rsidR="00BA2FE4" w:rsidRPr="003B11BD" w:rsidRDefault="00BA2FE4" w:rsidP="00F03230">
            <w:pPr>
              <w:pStyle w:val="Size10"/>
              <w:rPr>
                <w:noProof/>
              </w:rPr>
            </w:pPr>
            <w:r w:rsidRPr="003B11BD">
              <w:rPr>
                <w:noProof/>
              </w:rPr>
              <w:t xml:space="preserve">C12N 7/00 </w:t>
            </w:r>
          </w:p>
        </w:tc>
        <w:tc>
          <w:tcPr>
            <w:tcW w:w="7451" w:type="dxa"/>
          </w:tcPr>
          <w:p w14:paraId="14ED2398" w14:textId="77777777" w:rsidR="00BA2FE4" w:rsidRPr="003B11BD" w:rsidRDefault="00BA2FE4" w:rsidP="00F03230">
            <w:pPr>
              <w:pStyle w:val="Size10"/>
              <w:rPr>
                <w:noProof/>
              </w:rPr>
            </w:pPr>
            <w:r w:rsidRPr="003B11BD">
              <w:rPr>
                <w:noProof/>
              </w:rPr>
              <w:t>Viruses, e.g. bacteriophages; Compositions thereof; Preparation or purification thereof</w:t>
            </w:r>
          </w:p>
        </w:tc>
      </w:tr>
      <w:tr w:rsidR="00BA2FE4" w:rsidRPr="003B11BD" w14:paraId="679ADAD2" w14:textId="77777777" w:rsidTr="003D1306">
        <w:tc>
          <w:tcPr>
            <w:tcW w:w="1418" w:type="dxa"/>
          </w:tcPr>
          <w:p w14:paraId="5C36686B" w14:textId="77777777" w:rsidR="00BA2FE4" w:rsidRPr="003B11BD" w:rsidRDefault="00BA2FE4" w:rsidP="00F03230">
            <w:pPr>
              <w:pStyle w:val="Size10"/>
              <w:rPr>
                <w:noProof/>
              </w:rPr>
            </w:pPr>
            <w:r w:rsidRPr="003B11BD">
              <w:rPr>
                <w:noProof/>
              </w:rPr>
              <w:t xml:space="preserve">C12N 15/00 </w:t>
            </w:r>
          </w:p>
        </w:tc>
        <w:tc>
          <w:tcPr>
            <w:tcW w:w="7451" w:type="dxa"/>
          </w:tcPr>
          <w:p w14:paraId="2E50AA1D" w14:textId="77777777" w:rsidR="00BA2FE4" w:rsidRPr="003B11BD" w:rsidRDefault="00BA2FE4" w:rsidP="00F03230">
            <w:pPr>
              <w:pStyle w:val="Size10"/>
              <w:rPr>
                <w:noProof/>
              </w:rPr>
            </w:pPr>
            <w:r w:rsidRPr="003B11BD">
              <w:rPr>
                <w:noProof/>
              </w:rPr>
              <w:t>Mutation or genetic engineering; DNA or RNA concerning genetic engineering, vectors, e.g. plasmids, or their isolation, preparation or purification; Use of hosts therefor</w:t>
            </w:r>
          </w:p>
        </w:tc>
      </w:tr>
      <w:tr w:rsidR="00BA2FE4" w:rsidRPr="003B11BD" w14:paraId="71982C54" w14:textId="77777777" w:rsidTr="003D1306">
        <w:tc>
          <w:tcPr>
            <w:tcW w:w="1418" w:type="dxa"/>
          </w:tcPr>
          <w:p w14:paraId="3AC9A4A6" w14:textId="77777777" w:rsidR="00BA2FE4" w:rsidRPr="003B11BD" w:rsidRDefault="00BA2FE4" w:rsidP="00F03230">
            <w:pPr>
              <w:pStyle w:val="Size10"/>
              <w:rPr>
                <w:noProof/>
              </w:rPr>
            </w:pPr>
            <w:r w:rsidRPr="003B11BD">
              <w:rPr>
                <w:noProof/>
              </w:rPr>
              <w:t xml:space="preserve">C12N 15/50 </w:t>
            </w:r>
          </w:p>
        </w:tc>
        <w:tc>
          <w:tcPr>
            <w:tcW w:w="7451" w:type="dxa"/>
          </w:tcPr>
          <w:p w14:paraId="64BE3F88" w14:textId="77777777" w:rsidR="00BA2FE4" w:rsidRPr="003B11BD" w:rsidRDefault="00BA2FE4" w:rsidP="00F03230">
            <w:pPr>
              <w:pStyle w:val="Size10"/>
              <w:rPr>
                <w:noProof/>
              </w:rPr>
            </w:pPr>
            <w:r w:rsidRPr="003B11BD">
              <w:rPr>
                <w:noProof/>
              </w:rPr>
              <w:t>Mutation or genetic engineering; DNA or RNA concerning genetic engineering, vectors, e.g. plasmids, or their isolation, preparation or purification; Use of hosts therefor + Recombinant DNA-technology + DNA or RNA fragments; Modified forms thereof + Genes encoding microbial proteins, e.g. enterotoxins + Genes encoding viral proteins + Proteins from RNA viruses, e.g. flaviviruses + Coronaviridae, e.g. infectious bronchitis virus, transmissible gastroenteritis virus</w:t>
            </w:r>
          </w:p>
        </w:tc>
      </w:tr>
      <w:tr w:rsidR="00BA2FE4" w:rsidRPr="003B11BD" w14:paraId="33C4B0C5" w14:textId="77777777" w:rsidTr="003D1306">
        <w:tc>
          <w:tcPr>
            <w:tcW w:w="1418" w:type="dxa"/>
          </w:tcPr>
          <w:p w14:paraId="75E9903E" w14:textId="77777777" w:rsidR="00BA2FE4" w:rsidRPr="003B11BD" w:rsidRDefault="00BA2FE4" w:rsidP="00F03230">
            <w:pPr>
              <w:pStyle w:val="Size10"/>
              <w:rPr>
                <w:noProof/>
              </w:rPr>
            </w:pPr>
            <w:r w:rsidRPr="003B11BD">
              <w:rPr>
                <w:noProof/>
              </w:rPr>
              <w:t>A61K 31/00</w:t>
            </w:r>
          </w:p>
        </w:tc>
        <w:tc>
          <w:tcPr>
            <w:tcW w:w="7451" w:type="dxa"/>
          </w:tcPr>
          <w:p w14:paraId="1C4F92F0" w14:textId="77777777" w:rsidR="00BA2FE4" w:rsidRPr="003B11BD" w:rsidRDefault="00BA2FE4" w:rsidP="00F03230">
            <w:pPr>
              <w:pStyle w:val="Size10"/>
              <w:rPr>
                <w:noProof/>
              </w:rPr>
            </w:pPr>
            <w:r w:rsidRPr="003B11BD">
              <w:rPr>
                <w:noProof/>
              </w:rPr>
              <w:t>Medicinal preparations containing organic active ingredients</w:t>
            </w:r>
          </w:p>
        </w:tc>
      </w:tr>
      <w:tr w:rsidR="00BA2FE4" w:rsidRPr="003B11BD" w14:paraId="3AC74861" w14:textId="77777777" w:rsidTr="003D1306">
        <w:tc>
          <w:tcPr>
            <w:tcW w:w="1418" w:type="dxa"/>
          </w:tcPr>
          <w:p w14:paraId="1BBE3628" w14:textId="77777777" w:rsidR="00BA2FE4" w:rsidRPr="003B11BD" w:rsidRDefault="00BA2FE4" w:rsidP="00F03230">
            <w:pPr>
              <w:pStyle w:val="Size10"/>
              <w:rPr>
                <w:noProof/>
              </w:rPr>
            </w:pPr>
            <w:r w:rsidRPr="003B11BD">
              <w:rPr>
                <w:noProof/>
              </w:rPr>
              <w:t>A61K 33/00</w:t>
            </w:r>
          </w:p>
        </w:tc>
        <w:tc>
          <w:tcPr>
            <w:tcW w:w="7451" w:type="dxa"/>
          </w:tcPr>
          <w:p w14:paraId="6B306609" w14:textId="77777777" w:rsidR="00BA2FE4" w:rsidRPr="003B11BD" w:rsidRDefault="00BA2FE4" w:rsidP="00F03230">
            <w:pPr>
              <w:pStyle w:val="Size10"/>
              <w:rPr>
                <w:noProof/>
              </w:rPr>
            </w:pPr>
            <w:r w:rsidRPr="003B11BD">
              <w:rPr>
                <w:noProof/>
              </w:rPr>
              <w:t>Medicinal preparations containing inorganic active ingredients</w:t>
            </w:r>
          </w:p>
        </w:tc>
      </w:tr>
      <w:tr w:rsidR="00BA2FE4" w:rsidRPr="003B11BD" w14:paraId="60EDC4D0" w14:textId="77777777" w:rsidTr="003D1306">
        <w:tc>
          <w:tcPr>
            <w:tcW w:w="1418" w:type="dxa"/>
          </w:tcPr>
          <w:p w14:paraId="0A30744D" w14:textId="77777777" w:rsidR="00BA2FE4" w:rsidRPr="003B11BD" w:rsidRDefault="00BA2FE4" w:rsidP="00F03230">
            <w:pPr>
              <w:pStyle w:val="Size10"/>
              <w:rPr>
                <w:noProof/>
              </w:rPr>
            </w:pPr>
            <w:r w:rsidRPr="003B11BD">
              <w:rPr>
                <w:noProof/>
              </w:rPr>
              <w:t>A61K 36/00</w:t>
            </w:r>
          </w:p>
        </w:tc>
        <w:tc>
          <w:tcPr>
            <w:tcW w:w="7451" w:type="dxa"/>
          </w:tcPr>
          <w:p w14:paraId="7FEA7740" w14:textId="77777777" w:rsidR="00BA2FE4" w:rsidRPr="003B11BD" w:rsidRDefault="00BA2FE4" w:rsidP="00F03230">
            <w:pPr>
              <w:pStyle w:val="Size10"/>
              <w:rPr>
                <w:noProof/>
              </w:rPr>
            </w:pPr>
            <w:r w:rsidRPr="003B11BD">
              <w:rPr>
                <w:noProof/>
              </w:rPr>
              <w:t>Medicinal preparations of undetermined constitution containing material from algae, lichens, fungi or plants, or derivatives thereof, e.g. traditional herbal medicines</w:t>
            </w:r>
          </w:p>
        </w:tc>
      </w:tr>
      <w:tr w:rsidR="00BA2FE4" w:rsidRPr="003B11BD" w14:paraId="02DE5CDB" w14:textId="77777777" w:rsidTr="003D1306">
        <w:tc>
          <w:tcPr>
            <w:tcW w:w="1418" w:type="dxa"/>
          </w:tcPr>
          <w:p w14:paraId="1CA4556D" w14:textId="77777777" w:rsidR="00BA2FE4" w:rsidRPr="003B11BD" w:rsidRDefault="00BA2FE4" w:rsidP="00F03230">
            <w:pPr>
              <w:pStyle w:val="Size10"/>
              <w:rPr>
                <w:noProof/>
              </w:rPr>
            </w:pPr>
            <w:r w:rsidRPr="003B11BD">
              <w:rPr>
                <w:noProof/>
              </w:rPr>
              <w:t>A61K 39/395</w:t>
            </w:r>
          </w:p>
        </w:tc>
        <w:tc>
          <w:tcPr>
            <w:tcW w:w="7451" w:type="dxa"/>
          </w:tcPr>
          <w:p w14:paraId="676E05B8" w14:textId="77777777" w:rsidR="00BA2FE4" w:rsidRPr="003B11BD" w:rsidRDefault="00BA2FE4" w:rsidP="00F03230">
            <w:pPr>
              <w:pStyle w:val="Size10"/>
              <w:rPr>
                <w:noProof/>
              </w:rPr>
            </w:pPr>
            <w:r w:rsidRPr="003B11BD">
              <w:rPr>
                <w:noProof/>
              </w:rPr>
              <w:t xml:space="preserve">Medicinal preparations containing antigens or antibodies + Antibodies; Immunoglobulins; Immune serum, e.g. antilymphocytic serum </w:t>
            </w:r>
          </w:p>
        </w:tc>
      </w:tr>
      <w:tr w:rsidR="00BA2FE4" w:rsidRPr="003B11BD" w14:paraId="6BF4935F" w14:textId="77777777" w:rsidTr="003D1306">
        <w:tc>
          <w:tcPr>
            <w:tcW w:w="1418" w:type="dxa"/>
          </w:tcPr>
          <w:p w14:paraId="279CFE73" w14:textId="77777777" w:rsidR="00BA2FE4" w:rsidRPr="003B11BD" w:rsidRDefault="00BA2FE4" w:rsidP="00F03230">
            <w:pPr>
              <w:pStyle w:val="Size10"/>
              <w:rPr>
                <w:noProof/>
              </w:rPr>
            </w:pPr>
            <w:r w:rsidRPr="003B11BD">
              <w:rPr>
                <w:noProof/>
              </w:rPr>
              <w:t>A61K 39/42</w:t>
            </w:r>
          </w:p>
        </w:tc>
        <w:tc>
          <w:tcPr>
            <w:tcW w:w="7451" w:type="dxa"/>
          </w:tcPr>
          <w:p w14:paraId="4CDA40CB" w14:textId="77777777" w:rsidR="00BA2FE4" w:rsidRPr="003B11BD" w:rsidRDefault="00BA2FE4" w:rsidP="00F03230">
            <w:pPr>
              <w:pStyle w:val="Size10"/>
              <w:rPr>
                <w:noProof/>
              </w:rPr>
            </w:pPr>
            <w:r w:rsidRPr="003B11BD">
              <w:rPr>
                <w:noProof/>
              </w:rPr>
              <w:t>Medicinal preparations containing antigens or antibodies + Antibodies; Immunoglobulins; Immune serum, e.g. antilymphocytic serum + viral</w:t>
            </w:r>
          </w:p>
        </w:tc>
      </w:tr>
      <w:tr w:rsidR="00BA2FE4" w:rsidRPr="003B11BD" w14:paraId="7BD26C94" w14:textId="77777777" w:rsidTr="003D1306">
        <w:tc>
          <w:tcPr>
            <w:tcW w:w="1418" w:type="dxa"/>
          </w:tcPr>
          <w:p w14:paraId="20C6855F" w14:textId="77777777" w:rsidR="00BA2FE4" w:rsidRPr="003B11BD" w:rsidRDefault="00BA2FE4" w:rsidP="00F03230">
            <w:pPr>
              <w:pStyle w:val="Size10"/>
              <w:rPr>
                <w:noProof/>
              </w:rPr>
            </w:pPr>
            <w:r w:rsidRPr="003B11BD">
              <w:rPr>
                <w:noProof/>
              </w:rPr>
              <w:t>A61K 39/44</w:t>
            </w:r>
          </w:p>
        </w:tc>
        <w:tc>
          <w:tcPr>
            <w:tcW w:w="7451" w:type="dxa"/>
          </w:tcPr>
          <w:p w14:paraId="7AF749AD" w14:textId="77777777" w:rsidR="00BA2FE4" w:rsidRPr="003B11BD" w:rsidRDefault="00BA2FE4" w:rsidP="00F03230">
            <w:pPr>
              <w:pStyle w:val="Size10"/>
              <w:rPr>
                <w:noProof/>
              </w:rPr>
            </w:pPr>
            <w:r w:rsidRPr="003B11BD">
              <w:rPr>
                <w:noProof/>
              </w:rPr>
              <w:t>Medicinal preparations containing antigens or antibodies + Antibodies; Immunoglobulins; Immune serum, e.g. antilymphocytic serum + Antibodies bound to carriers</w:t>
            </w:r>
          </w:p>
        </w:tc>
      </w:tr>
      <w:tr w:rsidR="00BA2FE4" w:rsidRPr="003B11BD" w14:paraId="32E772B5" w14:textId="77777777" w:rsidTr="003D1306">
        <w:tc>
          <w:tcPr>
            <w:tcW w:w="1418" w:type="dxa"/>
          </w:tcPr>
          <w:p w14:paraId="529C57FC" w14:textId="77777777" w:rsidR="00BA2FE4" w:rsidRPr="003B11BD" w:rsidRDefault="00BA2FE4" w:rsidP="00F03230">
            <w:pPr>
              <w:pStyle w:val="Size10"/>
              <w:rPr>
                <w:noProof/>
              </w:rPr>
            </w:pPr>
            <w:r w:rsidRPr="003B11BD">
              <w:rPr>
                <w:noProof/>
              </w:rPr>
              <w:t>C07</w:t>
            </w:r>
          </w:p>
        </w:tc>
        <w:tc>
          <w:tcPr>
            <w:tcW w:w="7451" w:type="dxa"/>
          </w:tcPr>
          <w:p w14:paraId="52E83FE1" w14:textId="77777777" w:rsidR="00BA2FE4" w:rsidRPr="003B11BD" w:rsidRDefault="00BA2FE4" w:rsidP="00F03230">
            <w:pPr>
              <w:pStyle w:val="Size10"/>
              <w:rPr>
                <w:noProof/>
              </w:rPr>
            </w:pPr>
            <w:r w:rsidRPr="003B11BD">
              <w:rPr>
                <w:noProof/>
              </w:rPr>
              <w:t>ORGANIC CHEMISTRY</w:t>
            </w:r>
          </w:p>
        </w:tc>
      </w:tr>
      <w:tr w:rsidR="00BA2FE4" w:rsidRPr="003B11BD" w14:paraId="5B4E4D6C" w14:textId="77777777" w:rsidTr="003D1306">
        <w:tc>
          <w:tcPr>
            <w:tcW w:w="1418" w:type="dxa"/>
          </w:tcPr>
          <w:p w14:paraId="742846AB" w14:textId="77777777" w:rsidR="00BA2FE4" w:rsidRPr="003B11BD" w:rsidRDefault="00BA2FE4" w:rsidP="00F03230">
            <w:pPr>
              <w:pStyle w:val="Size10"/>
              <w:rPr>
                <w:noProof/>
              </w:rPr>
            </w:pPr>
            <w:r w:rsidRPr="003B11BD">
              <w:rPr>
                <w:noProof/>
              </w:rPr>
              <w:t>C07D</w:t>
            </w:r>
          </w:p>
        </w:tc>
        <w:tc>
          <w:tcPr>
            <w:tcW w:w="7451" w:type="dxa"/>
          </w:tcPr>
          <w:p w14:paraId="482C01CF" w14:textId="77777777" w:rsidR="00BA2FE4" w:rsidRPr="003B11BD" w:rsidRDefault="00BA2FE4" w:rsidP="00F03230">
            <w:pPr>
              <w:pStyle w:val="Size10"/>
              <w:rPr>
                <w:noProof/>
              </w:rPr>
            </w:pPr>
            <w:r w:rsidRPr="003B11BD">
              <w:rPr>
                <w:noProof/>
              </w:rPr>
              <w:t>HETEROCYCLIC COMPOUNDS</w:t>
            </w:r>
          </w:p>
        </w:tc>
      </w:tr>
      <w:tr w:rsidR="00BA2FE4" w:rsidRPr="003B11BD" w14:paraId="2F02E6D7" w14:textId="77777777" w:rsidTr="003D1306">
        <w:tc>
          <w:tcPr>
            <w:tcW w:w="1418" w:type="dxa"/>
          </w:tcPr>
          <w:p w14:paraId="65FCFF4D" w14:textId="77777777" w:rsidR="00BA2FE4" w:rsidRPr="003B11BD" w:rsidRDefault="00BA2FE4" w:rsidP="00F03230">
            <w:pPr>
              <w:pStyle w:val="Size10"/>
              <w:rPr>
                <w:noProof/>
              </w:rPr>
            </w:pPr>
            <w:r w:rsidRPr="003B11BD">
              <w:rPr>
                <w:noProof/>
              </w:rPr>
              <w:t>C07H</w:t>
            </w:r>
          </w:p>
        </w:tc>
        <w:tc>
          <w:tcPr>
            <w:tcW w:w="7451" w:type="dxa"/>
          </w:tcPr>
          <w:p w14:paraId="35DB095C" w14:textId="77777777" w:rsidR="00BA2FE4" w:rsidRPr="003B11BD" w:rsidRDefault="00BA2FE4" w:rsidP="00F03230">
            <w:pPr>
              <w:pStyle w:val="Size10"/>
              <w:rPr>
                <w:noProof/>
              </w:rPr>
            </w:pPr>
            <w:r w:rsidRPr="003B11BD">
              <w:rPr>
                <w:noProof/>
              </w:rPr>
              <w:t>SUGARS; DERIVATIVES THEREOF; NUCLEOSIDES; NUCLEOTIDES; NUCLEIC ACIDS</w:t>
            </w:r>
          </w:p>
        </w:tc>
      </w:tr>
      <w:tr w:rsidR="00BA2FE4" w:rsidRPr="003B11BD" w14:paraId="5B3F290E" w14:textId="77777777" w:rsidTr="003D1306">
        <w:tc>
          <w:tcPr>
            <w:tcW w:w="1418" w:type="dxa"/>
          </w:tcPr>
          <w:p w14:paraId="1D5E8679" w14:textId="77777777" w:rsidR="00BA2FE4" w:rsidRPr="003B11BD" w:rsidRDefault="00BA2FE4" w:rsidP="00F03230">
            <w:pPr>
              <w:pStyle w:val="Size10"/>
              <w:rPr>
                <w:noProof/>
              </w:rPr>
            </w:pPr>
            <w:r w:rsidRPr="003B11BD">
              <w:rPr>
                <w:noProof/>
              </w:rPr>
              <w:t>C07H 21/00</w:t>
            </w:r>
          </w:p>
        </w:tc>
        <w:tc>
          <w:tcPr>
            <w:tcW w:w="7451" w:type="dxa"/>
          </w:tcPr>
          <w:p w14:paraId="4E59848E" w14:textId="77777777" w:rsidR="00BA2FE4" w:rsidRPr="003B11BD" w:rsidRDefault="00BA2FE4" w:rsidP="00F03230">
            <w:pPr>
              <w:pStyle w:val="Size10"/>
              <w:rPr>
                <w:noProof/>
              </w:rPr>
            </w:pPr>
            <w:r w:rsidRPr="003B11BD">
              <w:rPr>
                <w:noProof/>
              </w:rPr>
              <w:t>Compounds containing two or more mononucleotide units having separate phosphate or polyphosphate groups linked by saccharide radicals of nucleoside groups, e.g. nucleic acids</w:t>
            </w:r>
          </w:p>
        </w:tc>
      </w:tr>
      <w:tr w:rsidR="00BA2FE4" w:rsidRPr="003B11BD" w14:paraId="0C16E3DB" w14:textId="77777777" w:rsidTr="003D1306">
        <w:tc>
          <w:tcPr>
            <w:tcW w:w="1418" w:type="dxa"/>
          </w:tcPr>
          <w:p w14:paraId="2116E663" w14:textId="77777777" w:rsidR="00BA2FE4" w:rsidRPr="003B11BD" w:rsidRDefault="00BA2FE4" w:rsidP="00F03230">
            <w:pPr>
              <w:pStyle w:val="Size10"/>
              <w:rPr>
                <w:noProof/>
              </w:rPr>
            </w:pPr>
            <w:r w:rsidRPr="003B11BD">
              <w:rPr>
                <w:noProof/>
              </w:rPr>
              <w:t>C07K 16/10</w:t>
            </w:r>
          </w:p>
        </w:tc>
        <w:tc>
          <w:tcPr>
            <w:tcW w:w="7451" w:type="dxa"/>
          </w:tcPr>
          <w:p w14:paraId="069137D0" w14:textId="77777777" w:rsidR="00BA2FE4" w:rsidRPr="003B11BD" w:rsidRDefault="00BA2FE4" w:rsidP="00F03230">
            <w:pPr>
              <w:pStyle w:val="Size10"/>
              <w:rPr>
                <w:noProof/>
              </w:rPr>
            </w:pPr>
            <w:r w:rsidRPr="003B11BD">
              <w:rPr>
                <w:noProof/>
              </w:rPr>
              <w:t>Immunoglobulins, e.g. monoclonal or polyclonal antibodies + against material from viruses + from RNA viruses</w:t>
            </w:r>
          </w:p>
        </w:tc>
      </w:tr>
      <w:tr w:rsidR="00BA2FE4" w:rsidRPr="003B11BD" w14:paraId="4B42585C" w14:textId="77777777" w:rsidTr="003D1306">
        <w:tc>
          <w:tcPr>
            <w:tcW w:w="1418" w:type="dxa"/>
          </w:tcPr>
          <w:p w14:paraId="6530125C" w14:textId="77777777" w:rsidR="00BA2FE4" w:rsidRPr="003B11BD" w:rsidRDefault="00BA2FE4" w:rsidP="00F03230">
            <w:pPr>
              <w:pStyle w:val="Size10"/>
              <w:rPr>
                <w:noProof/>
              </w:rPr>
            </w:pPr>
            <w:r w:rsidRPr="003B11BD">
              <w:rPr>
                <w:noProof/>
              </w:rPr>
              <w:t>C12P</w:t>
            </w:r>
          </w:p>
        </w:tc>
        <w:tc>
          <w:tcPr>
            <w:tcW w:w="7451" w:type="dxa"/>
          </w:tcPr>
          <w:p w14:paraId="003D5068" w14:textId="77777777" w:rsidR="00BA2FE4" w:rsidRPr="003B11BD" w:rsidRDefault="00BA2FE4" w:rsidP="00F03230">
            <w:pPr>
              <w:pStyle w:val="Size10"/>
              <w:rPr>
                <w:noProof/>
              </w:rPr>
            </w:pPr>
            <w:r w:rsidRPr="003B11BD">
              <w:rPr>
                <w:noProof/>
              </w:rPr>
              <w:t>FERMENTATION OR ENZYME-USING PROCESSES TO SYNTHESISE A DESIRED CHEMICAL COMPOUND OR COMPOSITION OR TO SEPARATE OPTICAL ISOMERS FROM A RACEMIC MIXTURE</w:t>
            </w:r>
          </w:p>
        </w:tc>
      </w:tr>
      <w:tr w:rsidR="00BA2FE4" w:rsidRPr="003B11BD" w14:paraId="282EAEA1" w14:textId="77777777" w:rsidTr="003D1306">
        <w:tc>
          <w:tcPr>
            <w:tcW w:w="1418" w:type="dxa"/>
          </w:tcPr>
          <w:p w14:paraId="4B448C34" w14:textId="77777777" w:rsidR="00BA2FE4" w:rsidRPr="003B11BD" w:rsidRDefault="00BA2FE4" w:rsidP="00F03230">
            <w:pPr>
              <w:pStyle w:val="Size10"/>
              <w:rPr>
                <w:noProof/>
              </w:rPr>
            </w:pPr>
            <w:r w:rsidRPr="003B11BD">
              <w:rPr>
                <w:noProof/>
              </w:rPr>
              <w:t>C12P 19/34</w:t>
            </w:r>
          </w:p>
        </w:tc>
        <w:tc>
          <w:tcPr>
            <w:tcW w:w="7451" w:type="dxa"/>
          </w:tcPr>
          <w:p w14:paraId="1FC37365" w14:textId="77777777" w:rsidR="00BA2FE4" w:rsidRPr="003B11BD" w:rsidRDefault="00BA2FE4" w:rsidP="00F03230">
            <w:pPr>
              <w:pStyle w:val="Size10"/>
              <w:rPr>
                <w:noProof/>
              </w:rPr>
            </w:pPr>
            <w:r w:rsidRPr="003B11BD">
              <w:rPr>
                <w:noProof/>
              </w:rPr>
              <w:t>Preparation of compounds containing saccharide radicals + Preparation of nitrogen-containing carbohydrates + N-glycosides + Nucleotides + Polynucleotides, e.g. nucleic acids, oligoribonucleotides</w:t>
            </w:r>
          </w:p>
        </w:tc>
      </w:tr>
      <w:tr w:rsidR="00BA2FE4" w:rsidRPr="003B11BD" w14:paraId="18C5E4B0" w14:textId="77777777" w:rsidTr="003D1306">
        <w:tc>
          <w:tcPr>
            <w:tcW w:w="1418" w:type="dxa"/>
          </w:tcPr>
          <w:p w14:paraId="21EE0E2A" w14:textId="77777777" w:rsidR="00BA2FE4" w:rsidRPr="003B11BD" w:rsidRDefault="00BA2FE4" w:rsidP="00F03230">
            <w:pPr>
              <w:pStyle w:val="Size10"/>
              <w:rPr>
                <w:noProof/>
              </w:rPr>
            </w:pPr>
            <w:r w:rsidRPr="003B11BD">
              <w:rPr>
                <w:noProof/>
              </w:rPr>
              <w:t>A41D 13/11</w:t>
            </w:r>
          </w:p>
        </w:tc>
        <w:tc>
          <w:tcPr>
            <w:tcW w:w="7451" w:type="dxa"/>
          </w:tcPr>
          <w:p w14:paraId="44A21329" w14:textId="77777777" w:rsidR="00BA2FE4" w:rsidRPr="003B11BD" w:rsidRDefault="00BA2FE4" w:rsidP="00F03230">
            <w:pPr>
              <w:pStyle w:val="Size10"/>
              <w:rPr>
                <w:noProof/>
              </w:rPr>
            </w:pPr>
            <w:r w:rsidRPr="003B11BD">
              <w:rPr>
                <w:noProof/>
              </w:rPr>
              <w:t>Professional, industrial or sporting protective garments, e.g. surgeons' gowns or garments protecting against blows or punches + protecting only a particular body part + Protective face masks, e.g. for surgical use, or for use in foul atmospheres</w:t>
            </w:r>
          </w:p>
        </w:tc>
      </w:tr>
      <w:tr w:rsidR="00BA2FE4" w:rsidRPr="003B11BD" w14:paraId="694D3582" w14:textId="77777777" w:rsidTr="003D1306">
        <w:tc>
          <w:tcPr>
            <w:tcW w:w="1418" w:type="dxa"/>
          </w:tcPr>
          <w:p w14:paraId="7AE2F0C7" w14:textId="77777777" w:rsidR="00BA2FE4" w:rsidRPr="003B11BD" w:rsidRDefault="00BA2FE4" w:rsidP="00F03230">
            <w:pPr>
              <w:pStyle w:val="Size10"/>
              <w:rPr>
                <w:noProof/>
              </w:rPr>
            </w:pPr>
            <w:r w:rsidRPr="003B11BD">
              <w:rPr>
                <w:noProof/>
              </w:rPr>
              <w:t>A41D 13/12</w:t>
            </w:r>
          </w:p>
        </w:tc>
        <w:tc>
          <w:tcPr>
            <w:tcW w:w="7451" w:type="dxa"/>
          </w:tcPr>
          <w:p w14:paraId="6F3BEF03" w14:textId="77777777" w:rsidR="00BA2FE4" w:rsidRPr="003B11BD" w:rsidRDefault="00BA2FE4" w:rsidP="00F03230">
            <w:pPr>
              <w:pStyle w:val="Size10"/>
              <w:rPr>
                <w:noProof/>
              </w:rPr>
            </w:pPr>
            <w:r w:rsidRPr="003B11BD">
              <w:rPr>
                <w:noProof/>
              </w:rPr>
              <w:t>Professional, industrial or sporting protective garments, e.g. surgeons' gowns or garments protecting against blows or punches + Surgeons' or patients' gowns or dresses</w:t>
            </w:r>
          </w:p>
        </w:tc>
      </w:tr>
      <w:tr w:rsidR="00BA2FE4" w:rsidRPr="003B11BD" w14:paraId="42EB6F89" w14:textId="77777777" w:rsidTr="003D1306">
        <w:tc>
          <w:tcPr>
            <w:tcW w:w="1418" w:type="dxa"/>
          </w:tcPr>
          <w:p w14:paraId="520A99F6" w14:textId="77777777" w:rsidR="00BA2FE4" w:rsidRPr="003B11BD" w:rsidRDefault="00BA2FE4" w:rsidP="00F03230">
            <w:pPr>
              <w:pStyle w:val="Size10"/>
              <w:rPr>
                <w:noProof/>
              </w:rPr>
            </w:pPr>
            <w:r w:rsidRPr="003B11BD">
              <w:rPr>
                <w:noProof/>
              </w:rPr>
              <w:t>A61B 42/00</w:t>
            </w:r>
          </w:p>
        </w:tc>
        <w:tc>
          <w:tcPr>
            <w:tcW w:w="7451" w:type="dxa"/>
          </w:tcPr>
          <w:p w14:paraId="7BC1551F" w14:textId="77777777" w:rsidR="00BA2FE4" w:rsidRPr="003B11BD" w:rsidRDefault="00BA2FE4" w:rsidP="00F03230">
            <w:pPr>
              <w:pStyle w:val="Size10"/>
              <w:rPr>
                <w:noProof/>
              </w:rPr>
            </w:pPr>
            <w:r w:rsidRPr="003B11BD">
              <w:rPr>
                <w:noProof/>
              </w:rPr>
              <w:t>Surgical gloves; Finger-stalls specially adapted for surgery; Devices for handling or treatment thereof</w:t>
            </w:r>
          </w:p>
        </w:tc>
      </w:tr>
      <w:tr w:rsidR="00BA2FE4" w:rsidRPr="003B11BD" w14:paraId="0AF75FC6" w14:textId="77777777" w:rsidTr="003D1306">
        <w:tc>
          <w:tcPr>
            <w:tcW w:w="1418" w:type="dxa"/>
          </w:tcPr>
          <w:p w14:paraId="5D22BC8D" w14:textId="77777777" w:rsidR="00BA2FE4" w:rsidRPr="003B11BD" w:rsidRDefault="00BA2FE4" w:rsidP="00F03230">
            <w:pPr>
              <w:pStyle w:val="Size10"/>
              <w:rPr>
                <w:noProof/>
              </w:rPr>
            </w:pPr>
            <w:r w:rsidRPr="003B11BD">
              <w:rPr>
                <w:noProof/>
              </w:rPr>
              <w:t>A61F 9/04</w:t>
            </w:r>
          </w:p>
        </w:tc>
        <w:tc>
          <w:tcPr>
            <w:tcW w:w="7451" w:type="dxa"/>
          </w:tcPr>
          <w:p w14:paraId="18A848A3" w14:textId="77777777" w:rsidR="00BA2FE4" w:rsidRPr="003B11BD" w:rsidRDefault="00BA2FE4" w:rsidP="00F03230">
            <w:pPr>
              <w:pStyle w:val="Size10"/>
              <w:rPr>
                <w:noProof/>
              </w:rPr>
            </w:pPr>
            <w:r w:rsidRPr="003B11BD">
              <w:rPr>
                <w:noProof/>
              </w:rPr>
              <w:t>Methods or devices for treatment of the eyes; Devices for putting in contact-lenses; Devices to correct squinting; Apparatus to guide the blind; Protective devices for the eyes, carried on the body or in the hand + Eye-masks</w:t>
            </w:r>
          </w:p>
        </w:tc>
      </w:tr>
      <w:tr w:rsidR="00BA2FE4" w:rsidRPr="003B11BD" w14:paraId="6B7F6D82" w14:textId="77777777" w:rsidTr="003D1306">
        <w:tc>
          <w:tcPr>
            <w:tcW w:w="1418" w:type="dxa"/>
          </w:tcPr>
          <w:p w14:paraId="4F21D824" w14:textId="77777777" w:rsidR="00BA2FE4" w:rsidRPr="003B11BD" w:rsidRDefault="00BA2FE4" w:rsidP="00F03230">
            <w:pPr>
              <w:pStyle w:val="Size10"/>
              <w:rPr>
                <w:noProof/>
              </w:rPr>
            </w:pPr>
            <w:r w:rsidRPr="003B11BD">
              <w:rPr>
                <w:noProof/>
              </w:rPr>
              <w:t>A62B 7/00 -&gt;A62B 33/00</w:t>
            </w:r>
          </w:p>
        </w:tc>
        <w:tc>
          <w:tcPr>
            <w:tcW w:w="7451" w:type="dxa"/>
          </w:tcPr>
          <w:p w14:paraId="606DB32B" w14:textId="77777777" w:rsidR="00BA2FE4" w:rsidRPr="003B11BD" w:rsidRDefault="00BA2FE4" w:rsidP="00F03230">
            <w:pPr>
              <w:pStyle w:val="Size10"/>
              <w:rPr>
                <w:noProof/>
              </w:rPr>
            </w:pPr>
            <w:r w:rsidRPr="003B11BD">
              <w:rPr>
                <w:noProof/>
              </w:rPr>
              <w:t>Respiratory apparatus</w:t>
            </w:r>
          </w:p>
        </w:tc>
      </w:tr>
      <w:tr w:rsidR="00BA2FE4" w:rsidRPr="003B11BD" w14:paraId="0DF800FA" w14:textId="77777777" w:rsidTr="003D1306">
        <w:tc>
          <w:tcPr>
            <w:tcW w:w="1418" w:type="dxa"/>
          </w:tcPr>
          <w:p w14:paraId="1298FBDB" w14:textId="77777777" w:rsidR="00BA2FE4" w:rsidRPr="003B11BD" w:rsidRDefault="00BA2FE4" w:rsidP="00F03230">
            <w:pPr>
              <w:pStyle w:val="Size10"/>
              <w:rPr>
                <w:noProof/>
              </w:rPr>
            </w:pPr>
            <w:r w:rsidRPr="003B11BD">
              <w:rPr>
                <w:noProof/>
              </w:rPr>
              <w:t>A62B 18/02</w:t>
            </w:r>
          </w:p>
        </w:tc>
        <w:tc>
          <w:tcPr>
            <w:tcW w:w="7451" w:type="dxa"/>
          </w:tcPr>
          <w:p w14:paraId="1202BC21" w14:textId="77777777" w:rsidR="00BA2FE4" w:rsidRPr="003B11BD" w:rsidRDefault="00BA2FE4" w:rsidP="00F03230">
            <w:pPr>
              <w:pStyle w:val="Size10"/>
              <w:rPr>
                <w:noProof/>
              </w:rPr>
            </w:pPr>
            <w:r w:rsidRPr="003B11BD">
              <w:rPr>
                <w:noProof/>
              </w:rPr>
              <w:t>Breathing masks or helmets, e.g. affording protection against chemical agents or for use at high altitudes+ Masks</w:t>
            </w:r>
          </w:p>
        </w:tc>
      </w:tr>
      <w:tr w:rsidR="00BA2FE4" w:rsidRPr="003B11BD" w14:paraId="1473C4E6" w14:textId="77777777" w:rsidTr="003D1306">
        <w:tc>
          <w:tcPr>
            <w:tcW w:w="1418" w:type="dxa"/>
          </w:tcPr>
          <w:p w14:paraId="7E4A3921" w14:textId="77777777" w:rsidR="00BA2FE4" w:rsidRPr="003B11BD" w:rsidRDefault="00BA2FE4" w:rsidP="00F03230">
            <w:pPr>
              <w:pStyle w:val="Size10"/>
              <w:rPr>
                <w:noProof/>
              </w:rPr>
            </w:pPr>
            <w:r w:rsidRPr="003B11BD">
              <w:rPr>
                <w:noProof/>
              </w:rPr>
              <w:t>A62B 23/00</w:t>
            </w:r>
          </w:p>
        </w:tc>
        <w:tc>
          <w:tcPr>
            <w:tcW w:w="7451" w:type="dxa"/>
          </w:tcPr>
          <w:p w14:paraId="007E9DAE" w14:textId="77777777" w:rsidR="00BA2FE4" w:rsidRPr="003B11BD" w:rsidRDefault="00BA2FE4" w:rsidP="00F03230">
            <w:pPr>
              <w:pStyle w:val="Size10"/>
              <w:rPr>
                <w:noProof/>
              </w:rPr>
            </w:pPr>
            <w:r w:rsidRPr="003B11BD">
              <w:rPr>
                <w:noProof/>
              </w:rPr>
              <w:t>Filters for breathing-protection purposes</w:t>
            </w:r>
          </w:p>
        </w:tc>
      </w:tr>
      <w:tr w:rsidR="00BA2FE4" w:rsidRPr="003B11BD" w14:paraId="4B8DE906" w14:textId="77777777" w:rsidTr="003D1306">
        <w:tc>
          <w:tcPr>
            <w:tcW w:w="1418" w:type="dxa"/>
          </w:tcPr>
          <w:p w14:paraId="3855773C" w14:textId="77777777" w:rsidR="00BA2FE4" w:rsidRPr="003B11BD" w:rsidRDefault="00BA2FE4" w:rsidP="00F03230">
            <w:pPr>
              <w:pStyle w:val="Size10"/>
              <w:rPr>
                <w:noProof/>
              </w:rPr>
            </w:pPr>
            <w:r w:rsidRPr="003B11BD">
              <w:rPr>
                <w:noProof/>
              </w:rPr>
              <w:t>A62B 23/02</w:t>
            </w:r>
          </w:p>
        </w:tc>
        <w:tc>
          <w:tcPr>
            <w:tcW w:w="7451" w:type="dxa"/>
          </w:tcPr>
          <w:p w14:paraId="41CC094F" w14:textId="77777777" w:rsidR="00BA2FE4" w:rsidRPr="003B11BD" w:rsidRDefault="00BA2FE4" w:rsidP="00F03230">
            <w:pPr>
              <w:pStyle w:val="Size10"/>
              <w:rPr>
                <w:noProof/>
              </w:rPr>
            </w:pPr>
            <w:r w:rsidRPr="003B11BD">
              <w:rPr>
                <w:noProof/>
              </w:rPr>
              <w:t>Filters for breathing-protection purposes + for respirators</w:t>
            </w:r>
          </w:p>
        </w:tc>
      </w:tr>
      <w:tr w:rsidR="00BA2FE4" w:rsidRPr="003B11BD" w14:paraId="69BC856E" w14:textId="77777777" w:rsidTr="003D1306">
        <w:tc>
          <w:tcPr>
            <w:tcW w:w="1418" w:type="dxa"/>
          </w:tcPr>
          <w:p w14:paraId="1E317668" w14:textId="77777777" w:rsidR="00BA2FE4" w:rsidRPr="003B11BD" w:rsidRDefault="00BA2FE4" w:rsidP="00F03230">
            <w:pPr>
              <w:pStyle w:val="Size10"/>
              <w:rPr>
                <w:noProof/>
              </w:rPr>
            </w:pPr>
            <w:r w:rsidRPr="003B11BD">
              <w:rPr>
                <w:noProof/>
              </w:rPr>
              <w:t>A62D 5/00</w:t>
            </w:r>
          </w:p>
        </w:tc>
        <w:tc>
          <w:tcPr>
            <w:tcW w:w="7451" w:type="dxa"/>
          </w:tcPr>
          <w:p w14:paraId="6A98247B" w14:textId="77777777" w:rsidR="00BA2FE4" w:rsidRPr="003B11BD" w:rsidRDefault="00BA2FE4" w:rsidP="00F03230">
            <w:pPr>
              <w:pStyle w:val="Size10"/>
              <w:rPr>
                <w:noProof/>
              </w:rPr>
            </w:pPr>
            <w:r w:rsidRPr="003B11BD">
              <w:rPr>
                <w:noProof/>
              </w:rPr>
              <w:t>Composition of materials for coverings or clothing affording protection against harmful chemical agents</w:t>
            </w:r>
          </w:p>
        </w:tc>
      </w:tr>
      <w:tr w:rsidR="00BA2FE4" w:rsidRPr="003B11BD" w14:paraId="2258C8EE" w14:textId="77777777" w:rsidTr="003D1306">
        <w:tc>
          <w:tcPr>
            <w:tcW w:w="1418" w:type="dxa"/>
          </w:tcPr>
          <w:p w14:paraId="0057CBBE" w14:textId="77777777" w:rsidR="00BA2FE4" w:rsidRPr="003B11BD" w:rsidRDefault="00BA2FE4" w:rsidP="00F03230">
            <w:pPr>
              <w:pStyle w:val="Size10"/>
              <w:rPr>
                <w:noProof/>
              </w:rPr>
            </w:pPr>
            <w:r w:rsidRPr="003B11BD">
              <w:rPr>
                <w:noProof/>
              </w:rPr>
              <w:t>A62D 7/00</w:t>
            </w:r>
          </w:p>
        </w:tc>
        <w:tc>
          <w:tcPr>
            <w:tcW w:w="7451" w:type="dxa"/>
          </w:tcPr>
          <w:p w14:paraId="432FF863" w14:textId="77777777" w:rsidR="00BA2FE4" w:rsidRPr="003B11BD" w:rsidRDefault="00BA2FE4" w:rsidP="00F03230">
            <w:pPr>
              <w:pStyle w:val="Size10"/>
              <w:rPr>
                <w:noProof/>
              </w:rPr>
            </w:pPr>
            <w:r w:rsidRPr="003B11BD">
              <w:rPr>
                <w:noProof/>
              </w:rPr>
              <w:t>Composition of materials for transparent parts of gas-masks, respirators, breathing bags, or helmets</w:t>
            </w:r>
          </w:p>
        </w:tc>
      </w:tr>
      <w:tr w:rsidR="00BA2FE4" w:rsidRPr="003B11BD" w14:paraId="1B1430AD" w14:textId="77777777" w:rsidTr="003D1306">
        <w:tc>
          <w:tcPr>
            <w:tcW w:w="1418" w:type="dxa"/>
          </w:tcPr>
          <w:p w14:paraId="432127F4" w14:textId="77777777" w:rsidR="00BA2FE4" w:rsidRPr="003B11BD" w:rsidRDefault="00BA2FE4" w:rsidP="00F03230">
            <w:pPr>
              <w:pStyle w:val="Size10"/>
              <w:rPr>
                <w:noProof/>
              </w:rPr>
            </w:pPr>
            <w:r w:rsidRPr="003B11BD">
              <w:rPr>
                <w:noProof/>
              </w:rPr>
              <w:t>A62D 9/00</w:t>
            </w:r>
          </w:p>
        </w:tc>
        <w:tc>
          <w:tcPr>
            <w:tcW w:w="7451" w:type="dxa"/>
          </w:tcPr>
          <w:p w14:paraId="6A069F25" w14:textId="77777777" w:rsidR="00BA2FE4" w:rsidRPr="003B11BD" w:rsidRDefault="00BA2FE4" w:rsidP="00F03230">
            <w:pPr>
              <w:pStyle w:val="Size10"/>
              <w:rPr>
                <w:noProof/>
              </w:rPr>
            </w:pPr>
            <w:r w:rsidRPr="003B11BD">
              <w:rPr>
                <w:noProof/>
              </w:rPr>
              <w:t>Composition of chemical substances for use in breathing apparatus</w:t>
            </w:r>
          </w:p>
        </w:tc>
      </w:tr>
    </w:tbl>
    <w:p w14:paraId="2EEBA929" w14:textId="60E03691" w:rsidR="00BA2FE4" w:rsidRPr="003B11BD" w:rsidRDefault="00241157" w:rsidP="00BA2FE4">
      <w:pPr>
        <w:rPr>
          <w:noProof/>
          <w:lang w:val="en-IE"/>
        </w:rPr>
      </w:pPr>
      <w:r w:rsidRPr="003B11BD">
        <w:rPr>
          <w:noProof/>
          <w:lang w:val="en-IE"/>
        </w:rPr>
        <w:br/>
      </w:r>
      <w:r w:rsidR="007B47CE" w:rsidRPr="003B11BD">
        <w:rPr>
          <w:noProof/>
          <w:lang w:val="en-IE"/>
        </w:rPr>
        <w:t>T</w:t>
      </w:r>
      <w:r w:rsidR="00BA2FE4" w:rsidRPr="003B11BD">
        <w:rPr>
          <w:noProof/>
          <w:lang w:val="en-IE"/>
        </w:rPr>
        <w:t>he IPC creates a hierarchical system for the classification of patents (and utility models) according to the different technical fields to which they belong. The classification system contains about 70 000 entries, i.e. classification symbols or codes that can be allotted to patent documents. Symbols are arranged in a hierarchical, tree-like structure:</w:t>
      </w:r>
    </w:p>
    <w:p w14:paraId="21C55BCB" w14:textId="77777777" w:rsidR="00BA2FE4" w:rsidRPr="003B11BD" w:rsidRDefault="00BA2FE4" w:rsidP="004C618F">
      <w:pPr>
        <w:pStyle w:val="Bullets"/>
        <w:rPr>
          <w:noProof/>
        </w:rPr>
      </w:pPr>
      <w:r w:rsidRPr="003B11BD">
        <w:rPr>
          <w:noProof/>
        </w:rPr>
        <w:t xml:space="preserve">at the highest level are the eight </w:t>
      </w:r>
      <w:r w:rsidRPr="003B11BD">
        <w:rPr>
          <w:b/>
          <w:noProof/>
        </w:rPr>
        <w:t>sections</w:t>
      </w:r>
      <w:r w:rsidRPr="003B11BD">
        <w:rPr>
          <w:noProof/>
        </w:rPr>
        <w:t xml:space="preserve"> corresponding to very broad technical fields (e.g., Section C deals with chemistry and metallurgy);</w:t>
      </w:r>
    </w:p>
    <w:p w14:paraId="2B5F42AE" w14:textId="77777777" w:rsidR="00BA2FE4" w:rsidRPr="003B11BD" w:rsidRDefault="00BA2FE4" w:rsidP="004C618F">
      <w:pPr>
        <w:pStyle w:val="Bullets"/>
        <w:rPr>
          <w:noProof/>
        </w:rPr>
      </w:pPr>
      <w:r w:rsidRPr="003B11BD">
        <w:rPr>
          <w:noProof/>
        </w:rPr>
        <w:t xml:space="preserve">sections are further subdivided into </w:t>
      </w:r>
      <w:r w:rsidRPr="003B11BD">
        <w:rPr>
          <w:b/>
          <w:noProof/>
        </w:rPr>
        <w:t xml:space="preserve">classes </w:t>
      </w:r>
      <w:r w:rsidRPr="003B11BD">
        <w:rPr>
          <w:noProof/>
        </w:rPr>
        <w:t>(e.g., Class C21 deals with the metallurgy of iron);</w:t>
      </w:r>
    </w:p>
    <w:p w14:paraId="008DCF14" w14:textId="77777777" w:rsidR="00BA2FE4" w:rsidRPr="003B11BD" w:rsidRDefault="00BA2FE4" w:rsidP="004C618F">
      <w:pPr>
        <w:pStyle w:val="Bullets"/>
        <w:rPr>
          <w:noProof/>
        </w:rPr>
      </w:pPr>
      <w:r w:rsidRPr="003B11BD">
        <w:rPr>
          <w:noProof/>
        </w:rPr>
        <w:t xml:space="preserve">classes are divided into more than 600 </w:t>
      </w:r>
      <w:r w:rsidRPr="003B11BD">
        <w:rPr>
          <w:b/>
          <w:bCs/>
          <w:noProof/>
        </w:rPr>
        <w:t>subclasses</w:t>
      </w:r>
      <w:r w:rsidRPr="003B11BD">
        <w:rPr>
          <w:noProof/>
        </w:rPr>
        <w:t xml:space="preserve"> (e.g., Subclass A21B contains bakers' ovens and machines or equipment for baking).</w:t>
      </w:r>
      <w:r w:rsidRPr="003B11BD">
        <w:rPr>
          <w:rStyle w:val="FootnoteReference"/>
          <w:noProof/>
        </w:rPr>
        <w:footnoteReference w:id="157"/>
      </w:r>
    </w:p>
    <w:p w14:paraId="5B4DD8C7" w14:textId="77777777" w:rsidR="00BA2FE4" w:rsidRPr="003B11BD" w:rsidRDefault="00BA2FE4" w:rsidP="004C618F">
      <w:pPr>
        <w:pStyle w:val="Bullets"/>
        <w:rPr>
          <w:noProof/>
        </w:rPr>
      </w:pPr>
      <w:r w:rsidRPr="003B11BD">
        <w:rPr>
          <w:noProof/>
        </w:rPr>
        <w:t xml:space="preserve">subclass is divided into </w:t>
      </w:r>
      <w:r w:rsidRPr="003B11BD">
        <w:rPr>
          <w:b/>
          <w:noProof/>
        </w:rPr>
        <w:t>groups</w:t>
      </w:r>
      <w:r w:rsidRPr="003B11BD">
        <w:rPr>
          <w:noProof/>
        </w:rPr>
        <w:t xml:space="preserve"> (e.g., “A23F 3: Tea; Tea substitutes […]”). Groups are either main groups (e.g., “A23F 3/00: Tea; Tea substitutes […] (Not otherwise classified)”) or </w:t>
      </w:r>
      <w:r w:rsidRPr="003B11BD">
        <w:rPr>
          <w:b/>
          <w:noProof/>
        </w:rPr>
        <w:t xml:space="preserve">subgroups </w:t>
      </w:r>
      <w:r w:rsidRPr="003B11BD">
        <w:rPr>
          <w:noProof/>
        </w:rPr>
        <w:t>(e.g., “A23F 3/16: Tea extraction […]”). The symbols of the main groups end with “/00”.</w:t>
      </w:r>
    </w:p>
    <w:p w14:paraId="21C7B16F" w14:textId="6C6722B8" w:rsidR="00BA2FE4" w:rsidRPr="003B11BD" w:rsidRDefault="00BA2FE4" w:rsidP="001E5551">
      <w:pPr>
        <w:rPr>
          <w:noProof/>
          <w:lang w:val="en-IE"/>
        </w:rPr>
      </w:pPr>
      <w:r w:rsidRPr="003B11BD">
        <w:rPr>
          <w:noProof/>
          <w:lang w:val="en-IE"/>
        </w:rPr>
        <w:t xml:space="preserve">At this point it is important to note that the list of IPC codes selected for the </w:t>
      </w:r>
      <w:r w:rsidR="00202498" w:rsidRPr="003B11BD">
        <w:rPr>
          <w:noProof/>
          <w:lang w:val="en-IE"/>
        </w:rPr>
        <w:t>PatentScope</w:t>
      </w:r>
      <w:r w:rsidRPr="003B11BD">
        <w:rPr>
          <w:noProof/>
          <w:lang w:val="en-IE"/>
        </w:rPr>
        <w:t xml:space="preserve"> COVID-19 INDEX contains many subclasses (e.g. C07D HETEROCYCLIC COMPOUNDS), as well as even a class (i.e. C07 ORGANIC CHEMISTRY). Yet, such high level definitions seemed too broad for the intended analysis</w:t>
      </w:r>
      <w:r w:rsidRPr="003B11BD">
        <w:rPr>
          <w:rStyle w:val="FootnoteReference"/>
          <w:noProof/>
          <w:lang w:val="en-IE"/>
        </w:rPr>
        <w:footnoteReference w:id="158"/>
      </w:r>
      <w:r w:rsidR="007B47CE" w:rsidRPr="003B11BD">
        <w:rPr>
          <w:noProof/>
          <w:lang w:val="en-IE"/>
        </w:rPr>
        <w:t>, as they may</w:t>
      </w:r>
      <w:r w:rsidRPr="003B11BD">
        <w:rPr>
          <w:noProof/>
          <w:lang w:val="en-IE"/>
        </w:rPr>
        <w:t xml:space="preserve"> contain </w:t>
      </w:r>
      <w:r w:rsidR="007B47CE" w:rsidRPr="003B11BD">
        <w:rPr>
          <w:noProof/>
          <w:lang w:val="en-IE"/>
        </w:rPr>
        <w:t xml:space="preserve">a </w:t>
      </w:r>
      <w:r w:rsidRPr="003B11BD">
        <w:rPr>
          <w:noProof/>
          <w:lang w:val="en-IE"/>
        </w:rPr>
        <w:t xml:space="preserve">significant </w:t>
      </w:r>
      <w:r w:rsidR="007B47CE" w:rsidRPr="003B11BD">
        <w:rPr>
          <w:noProof/>
          <w:lang w:val="en-IE"/>
        </w:rPr>
        <w:t>share</w:t>
      </w:r>
      <w:r w:rsidRPr="003B11BD">
        <w:rPr>
          <w:noProof/>
          <w:lang w:val="en-IE"/>
        </w:rPr>
        <w:t xml:space="preserve"> of patents that were only indirectly related to fighting the pandemics. As a consequence, these high level codes were not taken into account in the analys</w:t>
      </w:r>
      <w:r w:rsidR="007B47CE" w:rsidRPr="003B11BD">
        <w:rPr>
          <w:noProof/>
          <w:lang w:val="en-IE"/>
        </w:rPr>
        <w:t>is (marked with caps lock in</w:t>
      </w:r>
      <w:r w:rsidRPr="003B11BD">
        <w:rPr>
          <w:noProof/>
          <w:lang w:val="en-IE"/>
        </w:rPr>
        <w:t xml:space="preserve"> Table</w:t>
      </w:r>
      <w:r w:rsidR="007B47CE" w:rsidRPr="003B11BD">
        <w:rPr>
          <w:noProof/>
          <w:lang w:val="en-IE"/>
        </w:rPr>
        <w:t xml:space="preserve"> 1</w:t>
      </w:r>
      <w:r w:rsidR="00973B87" w:rsidRPr="003B11BD">
        <w:rPr>
          <w:noProof/>
          <w:lang w:val="en-IE"/>
        </w:rPr>
        <w:t>3</w:t>
      </w:r>
      <w:r w:rsidRPr="003B11BD">
        <w:rPr>
          <w:noProof/>
          <w:lang w:val="en-IE"/>
        </w:rPr>
        <w:t xml:space="preserve">). Nonetheless, all the remaining codes from </w:t>
      </w:r>
      <w:r w:rsidR="007B47CE" w:rsidRPr="003B11BD">
        <w:rPr>
          <w:noProof/>
          <w:lang w:val="en-IE"/>
        </w:rPr>
        <w:t xml:space="preserve">the Table, </w:t>
      </w:r>
      <w:r w:rsidRPr="003B11BD">
        <w:rPr>
          <w:noProof/>
          <w:lang w:val="en-IE"/>
        </w:rPr>
        <w:t>with the level of granularity of groups or subgroups</w:t>
      </w:r>
      <w:r w:rsidR="007B47CE" w:rsidRPr="003B11BD">
        <w:rPr>
          <w:noProof/>
          <w:lang w:val="en-IE"/>
        </w:rPr>
        <w:t>,</w:t>
      </w:r>
      <w:r w:rsidRPr="003B11BD">
        <w:rPr>
          <w:noProof/>
          <w:lang w:val="en-IE"/>
        </w:rPr>
        <w:t xml:space="preserve"> w</w:t>
      </w:r>
      <w:r w:rsidR="007B47CE" w:rsidRPr="003B11BD">
        <w:rPr>
          <w:noProof/>
          <w:lang w:val="en-IE"/>
        </w:rPr>
        <w:t>ere used as a basis in the</w:t>
      </w:r>
      <w:r w:rsidRPr="003B11BD">
        <w:rPr>
          <w:noProof/>
          <w:lang w:val="en-IE"/>
        </w:rPr>
        <w:t xml:space="preserve"> search of active patents and later used to come up with the final estimate.</w:t>
      </w:r>
    </w:p>
    <w:p w14:paraId="04EEC173" w14:textId="4A21B2AA" w:rsidR="00BA2FE4" w:rsidRPr="003B11BD" w:rsidRDefault="00BA2FE4" w:rsidP="00BA2FE4">
      <w:pPr>
        <w:rPr>
          <w:noProof/>
          <w:lang w:val="en-IE"/>
        </w:rPr>
      </w:pPr>
      <w:r w:rsidRPr="003B11BD">
        <w:rPr>
          <w:noProof/>
          <w:lang w:val="en-IE"/>
        </w:rPr>
        <w:t>Once the crisis-related patents were identified</w:t>
      </w:r>
      <w:r w:rsidR="007B47CE" w:rsidRPr="003B11BD">
        <w:rPr>
          <w:noProof/>
          <w:lang w:val="en-IE"/>
        </w:rPr>
        <w:t xml:space="preserve"> according to </w:t>
      </w:r>
      <w:r w:rsidR="00202498" w:rsidRPr="003B11BD">
        <w:rPr>
          <w:noProof/>
          <w:lang w:val="en-IE"/>
        </w:rPr>
        <w:t>PatentScope</w:t>
      </w:r>
      <w:r w:rsidR="007B47CE" w:rsidRPr="003B11BD">
        <w:rPr>
          <w:noProof/>
          <w:lang w:val="en-IE"/>
        </w:rPr>
        <w:t xml:space="preserve"> list of IPC</w:t>
      </w:r>
      <w:r w:rsidRPr="003B11BD">
        <w:rPr>
          <w:noProof/>
          <w:lang w:val="en-IE"/>
        </w:rPr>
        <w:t>, PatentSight®</w:t>
      </w:r>
      <w:r w:rsidRPr="003B11BD">
        <w:rPr>
          <w:rStyle w:val="FootnoteReference"/>
          <w:noProof/>
          <w:lang w:val="en-IE"/>
        </w:rPr>
        <w:footnoteReference w:id="159"/>
      </w:r>
      <w:r w:rsidRPr="003B11BD">
        <w:rPr>
          <w:noProof/>
          <w:lang w:val="en-IE"/>
        </w:rPr>
        <w:t xml:space="preserve"> database was used to extract the information on the number and geographical coverage of such patents within the EU. The query resulted in 216 381 patent families in which at least one member was currently active</w:t>
      </w:r>
      <w:r w:rsidRPr="003B11BD">
        <w:rPr>
          <w:rStyle w:val="FootnoteReference"/>
          <w:noProof/>
          <w:lang w:val="en-IE"/>
        </w:rPr>
        <w:footnoteReference w:id="160"/>
      </w:r>
      <w:r w:rsidRPr="003B11BD">
        <w:rPr>
          <w:noProof/>
          <w:lang w:val="en-IE"/>
        </w:rPr>
        <w:t xml:space="preserve"> in EU-27 Member States. The dataset reporting date (i.e. last server update) was 12/08/2022. The variables extracted were the following: Patent Family, Active Authorities Today, IPC Subclasses (Symbol)</w:t>
      </w:r>
      <w:r w:rsidRPr="003B11BD">
        <w:rPr>
          <w:rStyle w:val="FootnoteReference"/>
          <w:noProof/>
          <w:lang w:val="en-IE"/>
        </w:rPr>
        <w:footnoteReference w:id="161"/>
      </w:r>
      <w:r w:rsidRPr="003B11BD">
        <w:rPr>
          <w:noProof/>
          <w:lang w:val="en-IE"/>
        </w:rPr>
        <w:t xml:space="preserve">. </w:t>
      </w:r>
    </w:p>
    <w:p w14:paraId="56800F40" w14:textId="0FDC2296" w:rsidR="00BA2FE4" w:rsidRPr="003B11BD" w:rsidRDefault="00BA2FE4" w:rsidP="00BA2FE4">
      <w:pPr>
        <w:rPr>
          <w:noProof/>
          <w:lang w:val="en-IE"/>
        </w:rPr>
      </w:pPr>
      <w:r w:rsidRPr="003B11BD">
        <w:rPr>
          <w:noProof/>
          <w:lang w:val="en-IE"/>
        </w:rPr>
        <w:t>First, the observations were identified by their granting patent office – the basic tabulation for the main dataset is provided below (</w:t>
      </w:r>
      <w:r w:rsidR="00973B87" w:rsidRPr="003B11BD">
        <w:rPr>
          <w:noProof/>
          <w:lang w:val="en-IE"/>
        </w:rPr>
        <w:t>Table 14</w:t>
      </w:r>
      <w:r w:rsidRPr="003B11BD">
        <w:rPr>
          <w:noProof/>
          <w:lang w:val="en-IE"/>
        </w:rPr>
        <w:t>), showing that the European Patents accounted for 87.5% of all patents in the dataset.</w:t>
      </w:r>
    </w:p>
    <w:p w14:paraId="6CD4F438" w14:textId="7F0CDD2C" w:rsidR="00BA2FE4" w:rsidRPr="003B11BD" w:rsidRDefault="00BA2FE4" w:rsidP="00BA2FE4">
      <w:pPr>
        <w:pStyle w:val="Caption"/>
        <w:rPr>
          <w:noProof/>
          <w:lang w:val="en-IE"/>
        </w:rPr>
      </w:pPr>
      <w:bookmarkStart w:id="1133" w:name="_Ref123744547"/>
      <w:r w:rsidRPr="003B11BD">
        <w:rPr>
          <w:noProof/>
          <w:lang w:val="en-IE"/>
        </w:rPr>
        <w:t xml:space="preserve">Table </w:t>
      </w:r>
      <w:r w:rsidR="00C6592A">
        <w:rPr>
          <w:noProof/>
          <w:lang w:val="en-IE"/>
        </w:rPr>
        <w:t>14</w:t>
      </w:r>
      <w:bookmarkEnd w:id="1133"/>
      <w:r w:rsidRPr="003B11BD">
        <w:rPr>
          <w:noProof/>
          <w:lang w:val="en-IE"/>
        </w:rPr>
        <w:t>: Origin of patents in the retained dataset – frequency and percentage by patent office.</w:t>
      </w:r>
    </w:p>
    <w:tbl>
      <w:tblPr>
        <w:tblW w:w="5248" w:type="dxa"/>
        <w:jc w:val="center"/>
        <w:tblLook w:val="04A0" w:firstRow="1" w:lastRow="0" w:firstColumn="1" w:lastColumn="0" w:noHBand="0" w:noVBand="1"/>
      </w:tblPr>
      <w:tblGrid>
        <w:gridCol w:w="3328"/>
        <w:gridCol w:w="960"/>
        <w:gridCol w:w="960"/>
      </w:tblGrid>
      <w:tr w:rsidR="00BA2FE4" w:rsidRPr="003B11BD" w14:paraId="0D8E1D87" w14:textId="77777777" w:rsidTr="00E220EA">
        <w:trPr>
          <w:trHeight w:val="300"/>
          <w:jc w:val="center"/>
        </w:trPr>
        <w:tc>
          <w:tcPr>
            <w:tcW w:w="3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5E61E" w14:textId="77777777" w:rsidR="00BA2FE4" w:rsidRPr="003B11BD" w:rsidRDefault="00BA2FE4" w:rsidP="00546934">
            <w:pPr>
              <w:spacing w:after="0"/>
              <w:jc w:val="lef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Patent office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E9B488" w14:textId="77777777" w:rsidR="00BA2FE4" w:rsidRPr="003B11BD" w:rsidRDefault="00BA2FE4" w:rsidP="00546934">
            <w:pPr>
              <w:spacing w:after="0"/>
              <w:jc w:val="lef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Freq.</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BFC8FB" w14:textId="77777777" w:rsidR="00BA2FE4" w:rsidRPr="003B11BD" w:rsidRDefault="00BA2FE4" w:rsidP="00546934">
            <w:pPr>
              <w:spacing w:after="0"/>
              <w:jc w:val="lef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Percent</w:t>
            </w:r>
          </w:p>
        </w:tc>
      </w:tr>
      <w:tr w:rsidR="00BA2FE4" w:rsidRPr="003B11BD" w14:paraId="4F063937" w14:textId="77777777" w:rsidTr="00E220EA">
        <w:trPr>
          <w:trHeight w:val="300"/>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200F7D71" w14:textId="77777777" w:rsidR="00BA2FE4" w:rsidRPr="003B11BD" w:rsidRDefault="00BA2FE4" w:rsidP="00546934">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EP</w:t>
            </w:r>
          </w:p>
        </w:tc>
        <w:tc>
          <w:tcPr>
            <w:tcW w:w="960" w:type="dxa"/>
            <w:tcBorders>
              <w:top w:val="nil"/>
              <w:left w:val="nil"/>
              <w:bottom w:val="single" w:sz="4" w:space="0" w:color="auto"/>
              <w:right w:val="single" w:sz="4" w:space="0" w:color="auto"/>
            </w:tcBorders>
            <w:shd w:val="clear" w:color="auto" w:fill="auto"/>
            <w:noWrap/>
            <w:vAlign w:val="bottom"/>
            <w:hideMark/>
          </w:tcPr>
          <w:p w14:paraId="0D4C10C6"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189 316</w:t>
            </w:r>
          </w:p>
        </w:tc>
        <w:tc>
          <w:tcPr>
            <w:tcW w:w="960" w:type="dxa"/>
            <w:tcBorders>
              <w:top w:val="nil"/>
              <w:left w:val="nil"/>
              <w:bottom w:val="single" w:sz="4" w:space="0" w:color="auto"/>
              <w:right w:val="single" w:sz="4" w:space="0" w:color="auto"/>
            </w:tcBorders>
            <w:shd w:val="clear" w:color="auto" w:fill="auto"/>
            <w:noWrap/>
            <w:vAlign w:val="bottom"/>
            <w:hideMark/>
          </w:tcPr>
          <w:p w14:paraId="3A2C42AA"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87.49</w:t>
            </w:r>
          </w:p>
        </w:tc>
      </w:tr>
      <w:tr w:rsidR="00BA2FE4" w:rsidRPr="003B11BD" w14:paraId="7A6D633D" w14:textId="77777777" w:rsidTr="00E220EA">
        <w:trPr>
          <w:trHeight w:val="300"/>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CCDDB6E" w14:textId="5B7DF0F5" w:rsidR="00BA2FE4" w:rsidRPr="003B11BD" w:rsidRDefault="00E220EA" w:rsidP="00546934">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National patent offices of EU-27</w:t>
            </w:r>
          </w:p>
        </w:tc>
        <w:tc>
          <w:tcPr>
            <w:tcW w:w="960" w:type="dxa"/>
            <w:tcBorders>
              <w:top w:val="nil"/>
              <w:left w:val="nil"/>
              <w:bottom w:val="single" w:sz="4" w:space="0" w:color="auto"/>
              <w:right w:val="single" w:sz="4" w:space="0" w:color="auto"/>
            </w:tcBorders>
            <w:shd w:val="clear" w:color="auto" w:fill="auto"/>
            <w:noWrap/>
            <w:vAlign w:val="bottom"/>
            <w:hideMark/>
          </w:tcPr>
          <w:p w14:paraId="4067ECBE"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15 678</w:t>
            </w:r>
          </w:p>
        </w:tc>
        <w:tc>
          <w:tcPr>
            <w:tcW w:w="960" w:type="dxa"/>
            <w:tcBorders>
              <w:top w:val="nil"/>
              <w:left w:val="nil"/>
              <w:bottom w:val="single" w:sz="4" w:space="0" w:color="auto"/>
              <w:right w:val="single" w:sz="4" w:space="0" w:color="auto"/>
            </w:tcBorders>
            <w:shd w:val="clear" w:color="auto" w:fill="auto"/>
            <w:noWrap/>
            <w:vAlign w:val="bottom"/>
            <w:hideMark/>
          </w:tcPr>
          <w:p w14:paraId="6DF2106F"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7.25</w:t>
            </w:r>
          </w:p>
        </w:tc>
      </w:tr>
      <w:tr w:rsidR="00BA2FE4" w:rsidRPr="003B11BD" w14:paraId="028A3AE3" w14:textId="77777777" w:rsidTr="00E220EA">
        <w:trPr>
          <w:trHeight w:val="300"/>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5185112C" w14:textId="77777777" w:rsidR="00BA2FE4" w:rsidRPr="003B11BD" w:rsidRDefault="00BA2FE4" w:rsidP="00546934">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US</w:t>
            </w:r>
          </w:p>
        </w:tc>
        <w:tc>
          <w:tcPr>
            <w:tcW w:w="960" w:type="dxa"/>
            <w:tcBorders>
              <w:top w:val="nil"/>
              <w:left w:val="nil"/>
              <w:bottom w:val="single" w:sz="4" w:space="0" w:color="auto"/>
              <w:right w:val="single" w:sz="4" w:space="0" w:color="auto"/>
            </w:tcBorders>
            <w:shd w:val="clear" w:color="auto" w:fill="auto"/>
            <w:noWrap/>
            <w:vAlign w:val="bottom"/>
            <w:hideMark/>
          </w:tcPr>
          <w:p w14:paraId="78F0A21E"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8 235</w:t>
            </w:r>
          </w:p>
        </w:tc>
        <w:tc>
          <w:tcPr>
            <w:tcW w:w="960" w:type="dxa"/>
            <w:tcBorders>
              <w:top w:val="nil"/>
              <w:left w:val="nil"/>
              <w:bottom w:val="single" w:sz="4" w:space="0" w:color="auto"/>
              <w:right w:val="single" w:sz="4" w:space="0" w:color="auto"/>
            </w:tcBorders>
            <w:shd w:val="clear" w:color="auto" w:fill="auto"/>
            <w:noWrap/>
            <w:vAlign w:val="bottom"/>
            <w:hideMark/>
          </w:tcPr>
          <w:p w14:paraId="428850A2"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3.81</w:t>
            </w:r>
          </w:p>
        </w:tc>
      </w:tr>
      <w:tr w:rsidR="00BA2FE4" w:rsidRPr="003B11BD" w14:paraId="5C41CCAB" w14:textId="77777777" w:rsidTr="00E220EA">
        <w:trPr>
          <w:trHeight w:val="300"/>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0C01B663" w14:textId="77777777" w:rsidR="00BA2FE4" w:rsidRPr="003B11BD" w:rsidRDefault="00BA2FE4" w:rsidP="00546934">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WO</w:t>
            </w:r>
          </w:p>
        </w:tc>
        <w:tc>
          <w:tcPr>
            <w:tcW w:w="960" w:type="dxa"/>
            <w:tcBorders>
              <w:top w:val="nil"/>
              <w:left w:val="nil"/>
              <w:bottom w:val="single" w:sz="4" w:space="0" w:color="auto"/>
              <w:right w:val="single" w:sz="4" w:space="0" w:color="auto"/>
            </w:tcBorders>
            <w:shd w:val="clear" w:color="auto" w:fill="auto"/>
            <w:noWrap/>
            <w:vAlign w:val="bottom"/>
            <w:hideMark/>
          </w:tcPr>
          <w:p w14:paraId="38BEB5FB"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2 396</w:t>
            </w:r>
          </w:p>
        </w:tc>
        <w:tc>
          <w:tcPr>
            <w:tcW w:w="960" w:type="dxa"/>
            <w:tcBorders>
              <w:top w:val="nil"/>
              <w:left w:val="nil"/>
              <w:bottom w:val="single" w:sz="4" w:space="0" w:color="auto"/>
              <w:right w:val="single" w:sz="4" w:space="0" w:color="auto"/>
            </w:tcBorders>
            <w:shd w:val="clear" w:color="auto" w:fill="auto"/>
            <w:noWrap/>
            <w:vAlign w:val="bottom"/>
            <w:hideMark/>
          </w:tcPr>
          <w:p w14:paraId="075829A1"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1.11</w:t>
            </w:r>
          </w:p>
        </w:tc>
      </w:tr>
      <w:tr w:rsidR="00BA2FE4" w:rsidRPr="003B11BD" w14:paraId="7504F365" w14:textId="77777777" w:rsidTr="00E220EA">
        <w:trPr>
          <w:trHeight w:val="300"/>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6355AB63" w14:textId="77777777" w:rsidR="00BA2FE4" w:rsidRPr="003B11BD" w:rsidRDefault="00BA2FE4" w:rsidP="00546934">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689CEB0D"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756</w:t>
            </w:r>
          </w:p>
        </w:tc>
        <w:tc>
          <w:tcPr>
            <w:tcW w:w="960" w:type="dxa"/>
            <w:tcBorders>
              <w:top w:val="nil"/>
              <w:left w:val="nil"/>
              <w:bottom w:val="single" w:sz="4" w:space="0" w:color="auto"/>
              <w:right w:val="single" w:sz="4" w:space="0" w:color="auto"/>
            </w:tcBorders>
            <w:shd w:val="clear" w:color="auto" w:fill="auto"/>
            <w:noWrap/>
            <w:vAlign w:val="bottom"/>
            <w:hideMark/>
          </w:tcPr>
          <w:p w14:paraId="66F235C0" w14:textId="77777777" w:rsidR="00BA2FE4" w:rsidRPr="003B11BD" w:rsidRDefault="00BA2FE4" w:rsidP="00546934">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0.35</w:t>
            </w:r>
          </w:p>
        </w:tc>
      </w:tr>
      <w:tr w:rsidR="00BA2FE4" w:rsidRPr="003B11BD" w14:paraId="1405FE7D" w14:textId="77777777" w:rsidTr="00E220EA">
        <w:trPr>
          <w:trHeight w:val="300"/>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59FA5211" w14:textId="77777777" w:rsidR="00BA2FE4" w:rsidRPr="003B11BD" w:rsidRDefault="00BA2FE4" w:rsidP="00546934">
            <w:pPr>
              <w:spacing w:after="0"/>
              <w:jc w:val="lef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732B3110" w14:textId="77777777" w:rsidR="00BA2FE4" w:rsidRPr="003B11BD" w:rsidRDefault="00BA2FE4" w:rsidP="00546934">
            <w:pPr>
              <w:spacing w:after="0"/>
              <w:jc w:val="righ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216 381</w:t>
            </w:r>
          </w:p>
        </w:tc>
        <w:tc>
          <w:tcPr>
            <w:tcW w:w="960" w:type="dxa"/>
            <w:tcBorders>
              <w:top w:val="nil"/>
              <w:left w:val="nil"/>
              <w:bottom w:val="single" w:sz="4" w:space="0" w:color="auto"/>
              <w:right w:val="single" w:sz="4" w:space="0" w:color="auto"/>
            </w:tcBorders>
            <w:shd w:val="clear" w:color="auto" w:fill="auto"/>
            <w:noWrap/>
            <w:vAlign w:val="bottom"/>
            <w:hideMark/>
          </w:tcPr>
          <w:p w14:paraId="5B061950" w14:textId="77777777" w:rsidR="00BA2FE4" w:rsidRPr="003B11BD" w:rsidRDefault="00BA2FE4" w:rsidP="00546934">
            <w:pPr>
              <w:spacing w:after="0"/>
              <w:jc w:val="right"/>
              <w:rPr>
                <w:rFonts w:ascii="Calibri" w:eastAsia="Times New Roman" w:hAnsi="Calibri" w:cs="Calibri"/>
                <w:b/>
                <w:noProof/>
                <w:color w:val="000000"/>
                <w:sz w:val="22"/>
                <w:szCs w:val="22"/>
                <w:lang w:val="en-IE" w:eastAsia="en-GB"/>
              </w:rPr>
            </w:pPr>
            <w:r w:rsidRPr="003B11BD">
              <w:rPr>
                <w:rFonts w:ascii="Calibri" w:eastAsia="Times New Roman" w:hAnsi="Calibri" w:cs="Calibri"/>
                <w:b/>
                <w:noProof/>
                <w:color w:val="000000"/>
                <w:sz w:val="22"/>
                <w:szCs w:val="22"/>
                <w:lang w:val="en-IE" w:eastAsia="en-GB"/>
              </w:rPr>
              <w:t>100</w:t>
            </w:r>
          </w:p>
        </w:tc>
      </w:tr>
    </w:tbl>
    <w:p w14:paraId="4FEA0166" w14:textId="7F097C78" w:rsidR="00BA2FE4" w:rsidRPr="003B11BD" w:rsidRDefault="00EA24C7" w:rsidP="00BA2FE4">
      <w:pPr>
        <w:rPr>
          <w:noProof/>
          <w:lang w:val="en-IE"/>
        </w:rPr>
      </w:pPr>
      <w:r w:rsidRPr="003B11BD">
        <w:rPr>
          <w:noProof/>
          <w:lang w:val="en-IE"/>
        </w:rPr>
        <w:br/>
        <w:t>Second</w:t>
      </w:r>
      <w:r w:rsidR="007B47CE" w:rsidRPr="003B11BD">
        <w:rPr>
          <w:noProof/>
          <w:lang w:val="en-IE"/>
        </w:rPr>
        <w:t>, information contained in the Active A</w:t>
      </w:r>
      <w:r w:rsidR="00BA2FE4" w:rsidRPr="003B11BD">
        <w:rPr>
          <w:noProof/>
          <w:lang w:val="en-IE"/>
        </w:rPr>
        <w:t xml:space="preserve">uthorities variable was processed in order to </w:t>
      </w:r>
      <w:r w:rsidR="007B47CE" w:rsidRPr="003B11BD">
        <w:rPr>
          <w:noProof/>
          <w:lang w:val="en-IE"/>
        </w:rPr>
        <w:t>remove</w:t>
      </w:r>
      <w:r w:rsidR="00BA2FE4" w:rsidRPr="003B11BD">
        <w:rPr>
          <w:noProof/>
          <w:lang w:val="en-IE"/>
        </w:rPr>
        <w:t xml:space="preserve"> all other jurisdictions were the members of each patent family were active, except for EU-27</w:t>
      </w:r>
      <w:r w:rsidR="007B47CE" w:rsidRPr="003B11BD">
        <w:rPr>
          <w:noProof/>
          <w:lang w:val="en-IE"/>
        </w:rPr>
        <w:t xml:space="preserve"> countries</w:t>
      </w:r>
      <w:r w:rsidR="00BA2FE4" w:rsidRPr="003B11BD">
        <w:rPr>
          <w:noProof/>
          <w:lang w:val="en-IE"/>
        </w:rPr>
        <w:t>. This step makes this exercise different from the usual approach to counting the patent family size</w:t>
      </w:r>
      <w:r w:rsidR="00BA2FE4" w:rsidRPr="003B11BD">
        <w:rPr>
          <w:rStyle w:val="FootnoteReference"/>
          <w:noProof/>
          <w:lang w:val="en-IE"/>
        </w:rPr>
        <w:footnoteReference w:id="162"/>
      </w:r>
      <w:r w:rsidR="007B47CE" w:rsidRPr="003B11BD">
        <w:rPr>
          <w:noProof/>
          <w:lang w:val="en-IE"/>
        </w:rPr>
        <w:t xml:space="preserve"> as defined in the literature, because </w:t>
      </w:r>
      <w:r w:rsidR="00BA2FE4" w:rsidRPr="003B11BD">
        <w:rPr>
          <w:noProof/>
          <w:lang w:val="en-IE"/>
        </w:rPr>
        <w:t xml:space="preserve">it will capture only the “EU subset” of a patent family (i.e. </w:t>
      </w:r>
      <w:r w:rsidR="007B47CE" w:rsidRPr="003B11BD">
        <w:rPr>
          <w:noProof/>
          <w:lang w:val="en-IE"/>
        </w:rPr>
        <w:t xml:space="preserve">the </w:t>
      </w:r>
      <w:r w:rsidR="00BA2FE4" w:rsidRPr="003B11BD">
        <w:rPr>
          <w:noProof/>
          <w:lang w:val="en-IE"/>
        </w:rPr>
        <w:t xml:space="preserve">patent family size would </w:t>
      </w:r>
      <w:r w:rsidR="007B47CE" w:rsidRPr="003B11BD">
        <w:rPr>
          <w:noProof/>
          <w:lang w:val="en-IE"/>
        </w:rPr>
        <w:t xml:space="preserve">normally </w:t>
      </w:r>
      <w:r w:rsidR="00BA2FE4" w:rsidRPr="003B11BD">
        <w:rPr>
          <w:noProof/>
          <w:lang w:val="en-IE"/>
        </w:rPr>
        <w:t xml:space="preserve">include a validation in </w:t>
      </w:r>
      <w:r w:rsidR="007B47CE" w:rsidRPr="003B11BD">
        <w:rPr>
          <w:noProof/>
          <w:lang w:val="en-IE"/>
        </w:rPr>
        <w:t xml:space="preserve">for example </w:t>
      </w:r>
      <w:r w:rsidR="00BA2FE4" w:rsidRPr="003B11BD">
        <w:rPr>
          <w:noProof/>
          <w:lang w:val="en-IE"/>
        </w:rPr>
        <w:t xml:space="preserve">the US, whereas here information </w:t>
      </w:r>
      <w:r w:rsidR="00601CFE" w:rsidRPr="003B11BD">
        <w:rPr>
          <w:noProof/>
          <w:lang w:val="en-IE"/>
        </w:rPr>
        <w:t xml:space="preserve">on non-EU validations </w:t>
      </w:r>
      <w:r w:rsidR="00BA2FE4" w:rsidRPr="003B11BD">
        <w:rPr>
          <w:noProof/>
          <w:lang w:val="en-IE"/>
        </w:rPr>
        <w:t xml:space="preserve">is ignored). </w:t>
      </w:r>
    </w:p>
    <w:p w14:paraId="67DE4C32" w14:textId="23B92EF8" w:rsidR="00140462" w:rsidRPr="003B11BD" w:rsidRDefault="006B087E" w:rsidP="00FC6D56">
      <w:pPr>
        <w:pStyle w:val="AnnexTitle"/>
        <w:rPr>
          <w:noProof/>
        </w:rPr>
      </w:pPr>
      <w:bookmarkStart w:id="1134" w:name="_Toc120731253"/>
      <w:bookmarkStart w:id="1135" w:name="_Toc121386415"/>
      <w:bookmarkStart w:id="1136" w:name="_Toc121489639"/>
      <w:bookmarkStart w:id="1137" w:name="_Toc121496399"/>
      <w:bookmarkStart w:id="1138" w:name="_Toc121748052"/>
      <w:bookmarkStart w:id="1139" w:name="_Toc133435405"/>
      <w:r w:rsidRPr="003B11BD">
        <w:rPr>
          <w:noProof/>
        </w:rPr>
        <w:t xml:space="preserve">Annex 5: </w:t>
      </w:r>
      <w:r w:rsidR="00DD0408" w:rsidRPr="003B11BD">
        <w:rPr>
          <w:noProof/>
        </w:rPr>
        <w:t xml:space="preserve">Legal background and </w:t>
      </w:r>
      <w:r w:rsidR="009311C2" w:rsidRPr="003B11BD">
        <w:rPr>
          <w:noProof/>
        </w:rPr>
        <w:t>the key legal provisions</w:t>
      </w:r>
      <w:bookmarkEnd w:id="1134"/>
      <w:bookmarkEnd w:id="1135"/>
      <w:bookmarkEnd w:id="1136"/>
      <w:bookmarkEnd w:id="1137"/>
      <w:bookmarkEnd w:id="1138"/>
      <w:bookmarkEnd w:id="1139"/>
    </w:p>
    <w:p w14:paraId="68E53328" w14:textId="46639D3D" w:rsidR="00815724" w:rsidRPr="003B11BD" w:rsidRDefault="00815724" w:rsidP="00815724">
      <w:pPr>
        <w:pStyle w:val="Annexsubsections"/>
        <w:numPr>
          <w:ilvl w:val="0"/>
          <w:numId w:val="0"/>
        </w:numPr>
        <w:rPr>
          <w:noProof/>
        </w:rPr>
      </w:pPr>
      <w:r w:rsidRPr="003B11BD">
        <w:rPr>
          <w:noProof/>
        </w:rPr>
        <w:t>5A.</w:t>
      </w:r>
      <w:r w:rsidRPr="003B11BD">
        <w:rPr>
          <w:noProof/>
        </w:rPr>
        <w:tab/>
        <w:t>The international legal context</w:t>
      </w:r>
    </w:p>
    <w:p w14:paraId="3BE87C98" w14:textId="77777777" w:rsidR="00815724" w:rsidRPr="003B11BD" w:rsidRDefault="00815724" w:rsidP="00815724">
      <w:pPr>
        <w:rPr>
          <w:rFonts w:eastAsia="Calibri"/>
          <w:noProof/>
          <w:lang w:val="en-IE"/>
        </w:rPr>
      </w:pPr>
      <w:r w:rsidRPr="003B11BD">
        <w:rPr>
          <w:rFonts w:eastAsia="Calibri"/>
          <w:noProof/>
          <w:lang w:val="en-IE"/>
        </w:rPr>
        <w:t>The Paris Convention</w:t>
      </w:r>
      <w:r w:rsidRPr="003B11BD">
        <w:rPr>
          <w:rStyle w:val="FootnoteReference"/>
          <w:rFonts w:eastAsia="Calibri"/>
          <w:noProof/>
          <w:lang w:val="en-IE"/>
        </w:rPr>
        <w:footnoteReference w:id="163"/>
      </w:r>
      <w:r w:rsidRPr="003B11BD">
        <w:rPr>
          <w:rFonts w:eastAsia="Calibri"/>
          <w:noProof/>
          <w:lang w:val="en-IE"/>
        </w:rPr>
        <w:t xml:space="preserve"> of 1883 already enabled countries to take legislative measures providing for the grant of compulsory licences to prevent abuses resulting from the exercise of patent exclusive rights</w:t>
      </w:r>
      <w:r w:rsidRPr="003B11BD">
        <w:rPr>
          <w:rStyle w:val="FootnoteReference"/>
          <w:rFonts w:eastAsia="Calibri"/>
          <w:noProof/>
          <w:lang w:val="en-IE"/>
        </w:rPr>
        <w:footnoteReference w:id="164"/>
      </w:r>
      <w:r w:rsidRPr="003B11BD">
        <w:rPr>
          <w:rFonts w:eastAsia="Calibri"/>
          <w:noProof/>
          <w:lang w:val="en-IE"/>
        </w:rPr>
        <w:t>. This explains why, at the time the TRIPS Agreement was negotiated, most countries in the world already had in place compulsory licensing schemes. The TRIPS Agreement leaves untouched the principles on compulsory licensing laid down in the Paris Convention. However, it provides several conditions for the granting of compulsory licences.</w:t>
      </w:r>
    </w:p>
    <w:p w14:paraId="61009EBF" w14:textId="143794E7" w:rsidR="00815724" w:rsidRPr="003B11BD" w:rsidRDefault="00953EA5" w:rsidP="00815724">
      <w:pPr>
        <w:rPr>
          <w:rFonts w:eastAsia="Calibri"/>
          <w:noProof/>
          <w:lang w:val="en-IE"/>
        </w:rPr>
      </w:pPr>
      <w:r w:rsidRPr="003B11BD">
        <w:rPr>
          <w:rFonts w:eastAsia="Calibri"/>
          <w:noProof/>
          <w:lang w:val="en-IE"/>
        </w:rPr>
        <w:t>As indicated in the introduction, a</w:t>
      </w:r>
      <w:r w:rsidR="00815724" w:rsidRPr="003B11BD">
        <w:rPr>
          <w:rFonts w:eastAsia="Calibri"/>
          <w:noProof/>
          <w:lang w:val="en-IE"/>
        </w:rPr>
        <w:t xml:space="preserve"> compulsory licence</w:t>
      </w:r>
      <w:r w:rsidR="00815724" w:rsidRPr="003B11BD">
        <w:rPr>
          <w:rStyle w:val="FootnoteReference"/>
          <w:rFonts w:eastAsia="Calibri"/>
          <w:noProof/>
          <w:lang w:val="en-IE"/>
        </w:rPr>
        <w:footnoteReference w:id="165"/>
      </w:r>
      <w:r w:rsidR="00815724" w:rsidRPr="003B11BD">
        <w:rPr>
          <w:rFonts w:eastAsia="Calibri"/>
          <w:noProof/>
          <w:lang w:val="en-IE"/>
        </w:rPr>
        <w:t xml:space="preserve"> refers to the possibility for a government to allow a third party to use a patent without the authorisation of the right holder, subject to certain conditions aiming at preserving the legitimate interests of the patent holders. The TRIPS Agreement sets the international legal obligations as regards compulsory licensing. It provides two types of compulsory licensing schemes: (i) compulsory licensing for the domestic market (Article 31), which applies to all types of products and (ii) compulsory licensing for the export, which only applies to pharmaceutical products (article 31bis). </w:t>
      </w:r>
    </w:p>
    <w:p w14:paraId="6FD6E2D2" w14:textId="77777777" w:rsidR="00815724" w:rsidRPr="003B11BD" w:rsidRDefault="00815724" w:rsidP="00815724">
      <w:pPr>
        <w:rPr>
          <w:noProof/>
          <w:lang w:val="en-IE"/>
        </w:rPr>
      </w:pPr>
      <w:r w:rsidRPr="003B11BD">
        <w:rPr>
          <w:noProof/>
          <w:lang w:val="en-IE"/>
        </w:rPr>
        <w:t xml:space="preserve">Article 31 allows the granting of a compulsory licence, for any type of product. In this context, the compulsory licence must be predominantly for the supply of the </w:t>
      </w:r>
      <w:r w:rsidRPr="003B11BD">
        <w:rPr>
          <w:b/>
          <w:noProof/>
          <w:lang w:val="en-IE"/>
        </w:rPr>
        <w:t>domestic market</w:t>
      </w:r>
      <w:r w:rsidRPr="003B11BD">
        <w:rPr>
          <w:noProof/>
          <w:lang w:val="en-IE"/>
        </w:rPr>
        <w:t xml:space="preserve"> of the WTO Member authorising the use. This condition limits in practice the export of goods made under a compulsory licence. </w:t>
      </w:r>
    </w:p>
    <w:p w14:paraId="21C87F89" w14:textId="77777777" w:rsidR="00815724" w:rsidRPr="003B11BD" w:rsidRDefault="00815724" w:rsidP="00815724">
      <w:pPr>
        <w:rPr>
          <w:noProof/>
          <w:lang w:val="en-IE"/>
        </w:rPr>
      </w:pPr>
      <w:r w:rsidRPr="003B11BD">
        <w:rPr>
          <w:noProof/>
          <w:lang w:val="en-IE"/>
        </w:rPr>
        <w:t xml:space="preserve">The TRIPS Agreement </w:t>
      </w:r>
      <w:r w:rsidRPr="003B11BD">
        <w:rPr>
          <w:b/>
          <w:bCs/>
          <w:noProof/>
          <w:lang w:val="en-IE"/>
        </w:rPr>
        <w:t>does not list the grounds on which a compulsory licence can be granted</w:t>
      </w:r>
      <w:r w:rsidRPr="003B11BD">
        <w:rPr>
          <w:noProof/>
          <w:lang w:val="en-IE"/>
        </w:rPr>
        <w:t>. The WTO members retain their margin of manoeuvre in this respect, as explicitly confirmed by the Doha Declaration</w:t>
      </w:r>
      <w:r w:rsidRPr="003B11BD">
        <w:rPr>
          <w:rStyle w:val="FootnoteReference"/>
          <w:noProof/>
          <w:lang w:val="en-IE"/>
        </w:rPr>
        <w:footnoteReference w:id="166"/>
      </w:r>
      <w:r w:rsidRPr="003B11BD">
        <w:rPr>
          <w:noProof/>
          <w:lang w:val="en-IE"/>
        </w:rPr>
        <w:t xml:space="preserve">. Nor does the TRIPS Agreement limit the purposes of a compulsory licence, which can be to import or locally manufacture products. In contrast, the TRIPS agreement provides several </w:t>
      </w:r>
      <w:r w:rsidRPr="003B11BD">
        <w:rPr>
          <w:b/>
          <w:bCs/>
          <w:noProof/>
          <w:lang w:val="en-IE"/>
        </w:rPr>
        <w:t>conditions</w:t>
      </w:r>
      <w:r w:rsidRPr="003B11BD">
        <w:rPr>
          <w:noProof/>
          <w:lang w:val="en-IE"/>
        </w:rPr>
        <w:t xml:space="preserve"> under which a compulsory licence can be authorised (see Annex 5). These conditions constitute the frame for any TRIPS-compliant compulsory licensing scheme for the domestic market. </w:t>
      </w:r>
    </w:p>
    <w:p w14:paraId="23D17E51" w14:textId="77777777" w:rsidR="00815724" w:rsidRPr="003B11BD" w:rsidRDefault="00815724" w:rsidP="00815724">
      <w:pPr>
        <w:rPr>
          <w:noProof/>
          <w:lang w:val="en-IE"/>
        </w:rPr>
      </w:pPr>
      <w:r w:rsidRPr="003B11BD">
        <w:rPr>
          <w:noProof/>
          <w:lang w:val="en-IE"/>
        </w:rPr>
        <w:t>Among other conditions, Article 31 of the TRIPS Agreement does not allow compulsory licensing to supply foreign markets (or at least not predominantly). This condition was the result of negotiations on the TRIPS Agreement but it left a gap in the compulsory licensing system whereby countries with no or limited manufacturing capacity were not able to make us of this system. The link between the TRIPS Agreement and public health was clarified in 2001 Doha Declaration (Annex 5) which also mandated further work on the issue of the members with no or limited manufacturing capacity. This resulted in implementation of the so-called Paragraph 6 system which in turn led to the adoption of Article 31bis of the TRIPS Agreement.</w:t>
      </w:r>
    </w:p>
    <w:p w14:paraId="36E7B135" w14:textId="77777777" w:rsidR="00815724" w:rsidRPr="003B11BD" w:rsidRDefault="00815724" w:rsidP="00815724">
      <w:pPr>
        <w:rPr>
          <w:noProof/>
          <w:lang w:val="en-IE"/>
        </w:rPr>
      </w:pPr>
      <w:r w:rsidRPr="003B11BD">
        <w:rPr>
          <w:noProof/>
          <w:lang w:val="en-IE"/>
        </w:rPr>
        <w:t xml:space="preserve">Under Article 31bis of the TRIPS Agreement, a country can grant a compulsory licence to the extent necessary for the </w:t>
      </w:r>
      <w:r w:rsidRPr="003B11BD">
        <w:rPr>
          <w:b/>
          <w:bCs/>
          <w:noProof/>
          <w:lang w:val="en-IE"/>
        </w:rPr>
        <w:t>purposes of production and the export of a pharmaceutical product</w:t>
      </w:r>
      <w:r w:rsidRPr="003B11BD">
        <w:rPr>
          <w:noProof/>
          <w:lang w:val="en-IE"/>
        </w:rPr>
        <w:t>. It establishes a specific mechanism of mainly procedural requirements (e.g. transparency, packaging) that would allow to address the circumstances of two sides – the exporting country and the importing country. Depending on where the product is protected by a patent, either only the exporting or both the exporting and the importing country may need to issue relevant compulsory licences. The European Union implemented this new disposition in its legal order through the adoption of regulation (EC) No 816/2006</w:t>
      </w:r>
      <w:r w:rsidRPr="003B11BD">
        <w:rPr>
          <w:rStyle w:val="FootnoteReference"/>
          <w:noProof/>
          <w:lang w:val="en-IE"/>
        </w:rPr>
        <w:footnoteReference w:id="167"/>
      </w:r>
      <w:r w:rsidRPr="003B11BD">
        <w:rPr>
          <w:noProof/>
          <w:lang w:val="en-IE"/>
        </w:rPr>
        <w:t xml:space="preserve">. The EU may only act as an exporter to the countries with no or limited manufacturing capacity. </w:t>
      </w:r>
    </w:p>
    <w:p w14:paraId="7186188A" w14:textId="3546E219" w:rsidR="00815724" w:rsidRPr="003B11BD" w:rsidRDefault="002A6C9E" w:rsidP="00815724">
      <w:pPr>
        <w:pStyle w:val="Annexsubsections"/>
        <w:numPr>
          <w:ilvl w:val="0"/>
          <w:numId w:val="0"/>
        </w:numPr>
        <w:ind w:left="360" w:hanging="360"/>
        <w:rPr>
          <w:noProof/>
        </w:rPr>
      </w:pPr>
      <w:r w:rsidRPr="003B11BD">
        <w:rPr>
          <w:noProof/>
        </w:rPr>
        <w:t>5B.</w:t>
      </w:r>
      <w:r w:rsidRPr="003B11BD">
        <w:rPr>
          <w:noProof/>
        </w:rPr>
        <w:tab/>
      </w:r>
      <w:r w:rsidR="00815724" w:rsidRPr="003B11BD">
        <w:rPr>
          <w:noProof/>
        </w:rPr>
        <w:t>The EU legal context</w:t>
      </w:r>
      <w:r w:rsidR="00957C2F" w:rsidRPr="003B11BD">
        <w:rPr>
          <w:noProof/>
        </w:rPr>
        <w:t xml:space="preserve"> and practice</w:t>
      </w:r>
    </w:p>
    <w:p w14:paraId="4068619D" w14:textId="77777777" w:rsidR="00815724" w:rsidRPr="003B11BD" w:rsidRDefault="00815724" w:rsidP="00815724">
      <w:pPr>
        <w:rPr>
          <w:noProof/>
          <w:lang w:val="en-IE"/>
        </w:rPr>
      </w:pPr>
      <w:r w:rsidRPr="003B11BD">
        <w:rPr>
          <w:noProof/>
          <w:lang w:val="en-IE"/>
        </w:rPr>
        <w:t>There is no EU harmonisation as regards compulsory licensing for the domestic market, including as regards European patents with a unitary effect</w:t>
      </w:r>
      <w:r w:rsidRPr="003B11BD">
        <w:rPr>
          <w:rStyle w:val="FootnoteReference"/>
          <w:noProof/>
          <w:lang w:val="en-IE"/>
        </w:rPr>
        <w:footnoteReference w:id="168"/>
      </w:r>
      <w:r w:rsidRPr="003B11BD">
        <w:rPr>
          <w:noProof/>
          <w:lang w:val="en-IE"/>
        </w:rPr>
        <w:t xml:space="preserve">. EU countries have all implemented compulsory licensing schemes but for different grounds and following different procedures, in accordance with the flexibilities left at international level. </w:t>
      </w:r>
    </w:p>
    <w:p w14:paraId="7F75AB0F" w14:textId="3FC53187" w:rsidR="00815724" w:rsidRPr="003B11BD" w:rsidRDefault="00815724" w:rsidP="00815724">
      <w:pPr>
        <w:pStyle w:val="Text2"/>
        <w:ind w:left="0"/>
        <w:rPr>
          <w:noProof/>
          <w:lang w:val="en-IE"/>
        </w:rPr>
      </w:pPr>
      <w:r w:rsidRPr="003B11BD">
        <w:rPr>
          <w:noProof/>
          <w:lang w:val="en-IE"/>
        </w:rPr>
        <w:t xml:space="preserve">In contrast, compulsory licensing for export purposes of pharmaceutical products is regulated by Regulation (EC) No 816/2006. In the context of Regulation (EC) No 816/2006, EU countries remain the main points of contacts for granting the compulsory licence, checking whether the conditions are respected and when it is terminated. The role of the Commission remains limited to the case where the export of the product under a compulsory licence would be directed to an importing country which is not a WTO member. In such case, the importing country must make a notification to the Commission instead of the WTO. </w:t>
      </w:r>
    </w:p>
    <w:p w14:paraId="60305549" w14:textId="60A7348A" w:rsidR="00815724" w:rsidRPr="003B11BD" w:rsidRDefault="00815724" w:rsidP="00815724">
      <w:pPr>
        <w:spacing w:after="120"/>
        <w:rPr>
          <w:noProof/>
          <w:lang w:val="en-IE"/>
        </w:rPr>
      </w:pPr>
      <w:r w:rsidRPr="003B11BD">
        <w:rPr>
          <w:noProof/>
          <w:lang w:val="en-IE"/>
        </w:rPr>
        <w:t>The mechanism under Article 31bis of the TRIPS Agreement was only used once, in the Canada-Rwanda case (see Annex 5d). In 2021 Bolivia and Antigua and Barbuda notified the WTO of their intention to use Article 31bis of the TRIPS Agreement for the production of COVID-19 vaccines, but this has not resulted in a compulsory licence under the system. For the system to function, a manufacturer of these products must be identified and the exporting country where that manufacturer is located must be ready to issue a compulsory licence for that purpose. Regulation (EC) No 816/2006 was never used nor evaluated</w:t>
      </w:r>
      <w:r w:rsidRPr="003B11BD">
        <w:rPr>
          <w:rStyle w:val="FootnoteReference"/>
          <w:noProof/>
          <w:lang w:val="en-IE"/>
        </w:rPr>
        <w:footnoteReference w:id="169"/>
      </w:r>
      <w:r w:rsidRPr="003B11BD">
        <w:rPr>
          <w:noProof/>
          <w:lang w:val="en-IE"/>
        </w:rPr>
        <w:t>.</w:t>
      </w:r>
    </w:p>
    <w:p w14:paraId="244F3ABE" w14:textId="0F8875CB" w:rsidR="00953EA5" w:rsidRPr="003B11BD" w:rsidRDefault="00815724" w:rsidP="0074079F">
      <w:pPr>
        <w:spacing w:after="120"/>
        <w:rPr>
          <w:noProof/>
          <w:lang w:val="en-IE"/>
        </w:rPr>
      </w:pPr>
      <w:r w:rsidRPr="003B11BD">
        <w:rPr>
          <w:noProof/>
          <w:lang w:val="en-IE"/>
        </w:rPr>
        <w:t>Two other EU legislations provide for a compulsory licensing scheme. First, the Regulation on Community plant variety rights</w:t>
      </w:r>
      <w:r w:rsidRPr="003B11BD">
        <w:rPr>
          <w:rStyle w:val="FootnoteReference"/>
          <w:noProof/>
          <w:lang w:val="en-IE"/>
        </w:rPr>
        <w:footnoteReference w:id="170"/>
      </w:r>
      <w:r w:rsidRPr="003B11BD">
        <w:rPr>
          <w:noProof/>
          <w:lang w:val="en-IE"/>
        </w:rPr>
        <w:t xml:space="preserve"> provides for the possibility for the Plant Variety Office to grant a compulsory licence on a community plant variety right, on application by a Member State, by the Commission or by an organisation set up EU level</w:t>
      </w:r>
      <w:r w:rsidRPr="003B11BD">
        <w:rPr>
          <w:rStyle w:val="FootnoteReference"/>
          <w:noProof/>
          <w:lang w:val="en-IE"/>
        </w:rPr>
        <w:footnoteReference w:id="171"/>
      </w:r>
      <w:r w:rsidRPr="003B11BD">
        <w:rPr>
          <w:noProof/>
          <w:lang w:val="en-IE"/>
        </w:rPr>
        <w:t>. Second, the Biotech Directive</w:t>
      </w:r>
      <w:r w:rsidRPr="003B11BD">
        <w:rPr>
          <w:rStyle w:val="FootnoteReference"/>
          <w:noProof/>
          <w:lang w:val="en-IE"/>
        </w:rPr>
        <w:footnoteReference w:id="172"/>
      </w:r>
      <w:r w:rsidRPr="003B11BD">
        <w:rPr>
          <w:noProof/>
          <w:lang w:val="en-IE"/>
        </w:rPr>
        <w:t xml:space="preserve"> provides for the possibility, w</w:t>
      </w:r>
      <w:r w:rsidRPr="003B11BD">
        <w:rPr>
          <w:rFonts w:eastAsia="Times New Roman"/>
          <w:noProof/>
          <w:lang w:val="en-IE" w:eastAsia="en-IE"/>
        </w:rPr>
        <w:t>here a plant breeder cannot use a plant variety without infringing a patent, to apply for a compulsory licence.</w:t>
      </w:r>
      <w:r w:rsidR="00953EA5" w:rsidRPr="003B11BD">
        <w:rPr>
          <w:rFonts w:eastAsia="Times New Roman"/>
          <w:noProof/>
          <w:lang w:val="en-IE" w:eastAsia="en-IE"/>
        </w:rPr>
        <w:t xml:space="preserve"> </w:t>
      </w:r>
    </w:p>
    <w:p w14:paraId="0E255893" w14:textId="681F1117" w:rsidR="00815724" w:rsidRPr="003B11BD" w:rsidRDefault="00953EA5" w:rsidP="00045060">
      <w:pPr>
        <w:rPr>
          <w:noProof/>
          <w:lang w:val="en-IE"/>
        </w:rPr>
      </w:pPr>
      <w:r w:rsidRPr="003B11BD">
        <w:rPr>
          <w:noProof/>
          <w:lang w:val="en-IE"/>
        </w:rPr>
        <w:t>As discussed in section1.3, c</w:t>
      </w:r>
      <w:r w:rsidR="00815724" w:rsidRPr="003B11BD">
        <w:rPr>
          <w:noProof/>
          <w:lang w:val="en-IE"/>
        </w:rPr>
        <w:t>ompulsory licensing is often presented as a ‘last resort mechanism’</w:t>
      </w:r>
      <w:r w:rsidR="00815724" w:rsidRPr="003B11BD">
        <w:rPr>
          <w:rStyle w:val="FootnoteReference"/>
          <w:noProof/>
          <w:lang w:val="en-IE"/>
        </w:rPr>
        <w:footnoteReference w:id="173"/>
      </w:r>
      <w:r w:rsidR="00815724" w:rsidRPr="003B11BD">
        <w:rPr>
          <w:noProof/>
          <w:lang w:val="en-IE"/>
        </w:rPr>
        <w:t>. In the vast majority of cases, voluntary agreements are the most efficient solution to ensure the manufacturing and supply of critical products. Voluntary cooperation ensures not only the licensing of necessary IP, but is likely to provide the crucial tools needed to manufacture the product, including know-how, technical expertise, qualified personnel for training an</w:t>
      </w:r>
      <w:r w:rsidR="000E7974" w:rsidRPr="003B11BD">
        <w:rPr>
          <w:noProof/>
          <w:lang w:val="en-IE"/>
        </w:rPr>
        <w:t>d even access to raw materials.</w:t>
      </w:r>
      <w:r w:rsidR="00815724" w:rsidRPr="003B11BD">
        <w:rPr>
          <w:noProof/>
          <w:lang w:val="en-IE"/>
        </w:rPr>
        <w:t xml:space="preserve"> For instance, in the context of the COVID-19 crisis, hundreds of voluntary agreements were concluded to ensure the scaling up of the COVID-19 related products across the globe. There were several tries to increase the production of certain products through compulsory licences, e.g. in Israel, Hungary and Russia, but it does not appear that they have brought major results in terms of access to these products. Likewise, to this date, no compulsory licence was granted to produce COVID-19 vaccines based on the WTO Decision on the TRIPS Agreement. </w:t>
      </w:r>
    </w:p>
    <w:p w14:paraId="023F5956" w14:textId="132AF068" w:rsidR="00EF41FB" w:rsidRPr="003B11BD" w:rsidRDefault="00815724" w:rsidP="00815724">
      <w:pPr>
        <w:pStyle w:val="Annexsubsections"/>
        <w:numPr>
          <w:ilvl w:val="0"/>
          <w:numId w:val="0"/>
        </w:numPr>
        <w:ind w:left="360" w:hanging="360"/>
        <w:rPr>
          <w:noProof/>
        </w:rPr>
      </w:pPr>
      <w:r w:rsidRPr="003B11BD">
        <w:rPr>
          <w:noProof/>
        </w:rPr>
        <w:t>5</w:t>
      </w:r>
      <w:r w:rsidR="00957C2F" w:rsidRPr="003B11BD">
        <w:rPr>
          <w:noProof/>
        </w:rPr>
        <w:t>C</w:t>
      </w:r>
      <w:r w:rsidR="002A6C9E" w:rsidRPr="003B11BD">
        <w:rPr>
          <w:noProof/>
        </w:rPr>
        <w:t>.</w:t>
      </w:r>
      <w:r w:rsidR="002A6C9E" w:rsidRPr="003B11BD">
        <w:rPr>
          <w:noProof/>
        </w:rPr>
        <w:tab/>
      </w:r>
      <w:r w:rsidR="00EF41FB" w:rsidRPr="003B11BD">
        <w:rPr>
          <w:noProof/>
        </w:rPr>
        <w:t>Compulsory licensing and the TRIPS waiver</w:t>
      </w:r>
    </w:p>
    <w:p w14:paraId="55CA44EA" w14:textId="77777777" w:rsidR="00EF41FB" w:rsidRPr="003B11BD" w:rsidRDefault="00EF41FB" w:rsidP="002A6C9E">
      <w:pPr>
        <w:rPr>
          <w:noProof/>
          <w:lang w:val="en-IE"/>
        </w:rPr>
      </w:pPr>
      <w:r w:rsidRPr="003B11BD">
        <w:rPr>
          <w:noProof/>
          <w:lang w:val="en-IE"/>
        </w:rPr>
        <w:t xml:space="preserve">On 2 October 2020, several WTO members submitted a proposal for a decision by the WTO General Council that would waive WTO members’ obligation to protect and enforce some IP rights in relation to the prevention, containment or treatment of COVID-19. The assumption was that IP rights were an impediment to a swift scaling-up of manufacturing capacities and that access to vaccines in developing countries could not be found by operating within the IP system. The proposal was then made to waive IP rights. The EU submitted an alternative proposal on 18 June 2021, insisting on the need to make full use of the flexibilities of the TRIPS Agreement, especially as regards compulsory licensing.  </w:t>
      </w:r>
    </w:p>
    <w:p w14:paraId="4BC2A1B2" w14:textId="429DCD51" w:rsidR="00EF41FB" w:rsidRPr="003B11BD" w:rsidRDefault="00EF41FB" w:rsidP="002A6C9E">
      <w:pPr>
        <w:rPr>
          <w:noProof/>
          <w:lang w:val="en-IE"/>
        </w:rPr>
      </w:pPr>
      <w:r w:rsidRPr="003B11BD">
        <w:rPr>
          <w:noProof/>
          <w:lang w:val="en-IE"/>
        </w:rPr>
        <w:t>Waiving IP rights differs from compulsory licensing. A compulsory licence is an authorisation granted by a government to a party other than the patent holder to use a</w:t>
      </w:r>
      <w:r w:rsidR="002A6C9E" w:rsidRPr="003B11BD">
        <w:rPr>
          <w:noProof/>
          <w:lang w:val="en-IE"/>
        </w:rPr>
        <w:t> </w:t>
      </w:r>
      <w:r w:rsidRPr="003B11BD">
        <w:rPr>
          <w:noProof/>
          <w:lang w:val="en-IE"/>
        </w:rPr>
        <w:t xml:space="preserve">patented invention without the consent of the patent holder. The TRIPS Agreement explicitly allows compulsory licensing, provided that some conditions, such as a limited duration and the payment of an adequate remuneration, are met. The TRIPS Agreement does not provide for a mechanism to waive IP rights. Waiving IP rights consists of depriving the patent owner of its rights, including of the possibility to ask for a remuneration. </w:t>
      </w:r>
    </w:p>
    <w:p w14:paraId="04C1F798" w14:textId="77777777" w:rsidR="00EF41FB" w:rsidRPr="003B11BD" w:rsidRDefault="00EF41FB" w:rsidP="002A6C9E">
      <w:pPr>
        <w:rPr>
          <w:noProof/>
          <w:lang w:val="en-IE"/>
        </w:rPr>
      </w:pPr>
      <w:r w:rsidRPr="003B11BD">
        <w:rPr>
          <w:noProof/>
          <w:lang w:val="en-IE"/>
        </w:rPr>
        <w:t>This explains why the EU, among other WTO members, were not in favour of waiving IP rights. The EU considered that the TRIPS Agreement already provides for a solution, namely compulsory licensing. Compulsory licensing is a legitimate tool to scale up the production of critical goods. For compulsory licensing to be an efficient tool, it is however necessary to ensure proper implementation at national level, taking full advantage of the flexibilities of the TRIPS Agreement.</w:t>
      </w:r>
    </w:p>
    <w:p w14:paraId="71DE60AE" w14:textId="213E9D3A" w:rsidR="002A6C9E" w:rsidRPr="003B11BD" w:rsidRDefault="002A6C9E" w:rsidP="002A6C9E">
      <w:pPr>
        <w:rPr>
          <w:noProof/>
          <w:lang w:val="en-IE"/>
        </w:rPr>
      </w:pPr>
      <w:r w:rsidRPr="003B11BD">
        <w:rPr>
          <w:noProof/>
          <w:lang w:val="en-IE"/>
        </w:rPr>
        <w:t xml:space="preserve">Discussions at WTO level pursued and led to a consensus during the 12th Ministerial Conference of June 2022. The agreement mainly provides clarifications of existing flexibilities (i.e. the calculation of the remuneration can take into account the humanitarian and not-for-profit purpose of vaccine distribution programme, there is no need to make efforts to obtain the authorisation from the right holder in case of an emergency, and a compulsory licence can be based on any instrument available in the law). In addition, the agreement waived the “predominantly for the domestic market” condition, meaning that products manufactured under a compulsory licence can more easily be exported to other countries. </w:t>
      </w:r>
    </w:p>
    <w:p w14:paraId="7342C58A" w14:textId="77777777" w:rsidR="00EF41FB" w:rsidRPr="003B11BD" w:rsidRDefault="00EF41FB" w:rsidP="00815724">
      <w:pPr>
        <w:rPr>
          <w:rFonts w:eastAsia="Times New Roman"/>
          <w:noProof/>
          <w:lang w:val="en-IE"/>
        </w:rPr>
      </w:pPr>
      <w:r w:rsidRPr="003B11BD">
        <w:rPr>
          <w:noProof/>
          <w:lang w:val="en-IE"/>
        </w:rPr>
        <w:t>This agreement, valid for 5 years, is applicable to developing countries and limited to COVID-19 vaccines, with the possibility of an extension to cover the production and supply of COVID-19 diagnostics and therapeutics. Discussions are still ongoing as regards the extension of the agreement.</w:t>
      </w:r>
    </w:p>
    <w:p w14:paraId="2A7FB018" w14:textId="5DD308B4" w:rsidR="00DB57A8" w:rsidRPr="003B11BD" w:rsidRDefault="009311C2" w:rsidP="00815724">
      <w:pPr>
        <w:pStyle w:val="Annexsubsections"/>
        <w:numPr>
          <w:ilvl w:val="0"/>
          <w:numId w:val="0"/>
        </w:numPr>
        <w:ind w:left="360" w:hanging="360"/>
        <w:rPr>
          <w:noProof/>
        </w:rPr>
      </w:pPr>
      <w:r w:rsidRPr="003B11BD">
        <w:rPr>
          <w:noProof/>
        </w:rPr>
        <w:t>5</w:t>
      </w:r>
      <w:r w:rsidR="00957C2F" w:rsidRPr="003B11BD">
        <w:rPr>
          <w:noProof/>
        </w:rPr>
        <w:t>D</w:t>
      </w:r>
      <w:r w:rsidR="00C905A4" w:rsidRPr="003B11BD">
        <w:rPr>
          <w:noProof/>
        </w:rPr>
        <w:t>.</w:t>
      </w:r>
      <w:r w:rsidRPr="003B11BD">
        <w:rPr>
          <w:noProof/>
        </w:rPr>
        <w:t xml:space="preserve"> </w:t>
      </w:r>
      <w:r w:rsidR="00DB57A8" w:rsidRPr="003B11BD">
        <w:rPr>
          <w:noProof/>
        </w:rPr>
        <w:t>Conditions under which a compulsory licence can be granted under Article 31 of the TRIPS Agreement</w:t>
      </w:r>
    </w:p>
    <w:p w14:paraId="1731AA54" w14:textId="66FEB4D3" w:rsidR="00DB57A8" w:rsidRPr="003B11BD" w:rsidRDefault="00DB57A8" w:rsidP="00957C2F">
      <w:pPr>
        <w:rPr>
          <w:noProof/>
          <w:lang w:val="en-IE"/>
        </w:rPr>
      </w:pPr>
      <w:r w:rsidRPr="003B11BD">
        <w:rPr>
          <w:noProof/>
          <w:lang w:val="en-IE"/>
        </w:rPr>
        <w:t xml:space="preserve">Article 31 of the TRIPS agreement provides several </w:t>
      </w:r>
      <w:r w:rsidRPr="003B11BD">
        <w:rPr>
          <w:b/>
          <w:noProof/>
          <w:lang w:val="en-IE"/>
        </w:rPr>
        <w:t>conditions</w:t>
      </w:r>
      <w:r w:rsidRPr="003B11BD">
        <w:rPr>
          <w:noProof/>
          <w:lang w:val="en-IE"/>
        </w:rPr>
        <w:t xml:space="preserve"> under which a compulsory licence can be authorised which can be summarised as follows:</w:t>
      </w:r>
    </w:p>
    <w:p w14:paraId="27164524" w14:textId="6A9CA736" w:rsidR="00DB57A8" w:rsidRPr="003B11BD" w:rsidRDefault="00DB57A8" w:rsidP="004C618F">
      <w:pPr>
        <w:pStyle w:val="Bullets"/>
        <w:rPr>
          <w:noProof/>
        </w:rPr>
      </w:pPr>
      <w:r w:rsidRPr="003B11BD">
        <w:rPr>
          <w:noProof/>
        </w:rPr>
        <w:t xml:space="preserve">The compulsory licence shall be considered on </w:t>
      </w:r>
      <w:r w:rsidRPr="003B11BD">
        <w:rPr>
          <w:i/>
          <w:noProof/>
        </w:rPr>
        <w:t>its individual merits</w:t>
      </w:r>
      <w:r w:rsidRPr="003B11BD">
        <w:rPr>
          <w:noProof/>
        </w:rPr>
        <w:t xml:space="preserve">. This condition aims at preventing blanket authorisations not taking into account the circumstances of each authorisation. </w:t>
      </w:r>
    </w:p>
    <w:p w14:paraId="1C673279" w14:textId="77777777" w:rsidR="00DB57A8" w:rsidRPr="003B11BD" w:rsidRDefault="00DB57A8" w:rsidP="004C618F">
      <w:pPr>
        <w:pStyle w:val="Bullets"/>
        <w:rPr>
          <w:noProof/>
        </w:rPr>
      </w:pPr>
      <w:r w:rsidRPr="003B11BD">
        <w:rPr>
          <w:noProof/>
        </w:rPr>
        <w:t xml:space="preserve">Prior to the compulsory licence, the user shall made </w:t>
      </w:r>
      <w:r w:rsidRPr="003B11BD">
        <w:rPr>
          <w:i/>
          <w:iCs/>
          <w:noProof/>
        </w:rPr>
        <w:t>efforts to obtain authorisation from the right holder on reasonable terms and conditions</w:t>
      </w:r>
      <w:r w:rsidRPr="003B11BD">
        <w:rPr>
          <w:noProof/>
        </w:rPr>
        <w:t>. This requirement may be waived in the case of a national emergency or other circumstances of extreme urgency</w:t>
      </w:r>
      <w:r w:rsidRPr="003B11BD">
        <w:rPr>
          <w:rStyle w:val="FootnoteReference"/>
          <w:noProof/>
        </w:rPr>
        <w:footnoteReference w:id="174"/>
      </w:r>
      <w:r w:rsidRPr="003B11BD">
        <w:rPr>
          <w:noProof/>
        </w:rPr>
        <w:t xml:space="preserve"> or in cases of public non-commercial use.</w:t>
      </w:r>
    </w:p>
    <w:p w14:paraId="3E080EDE" w14:textId="7C499BF1" w:rsidR="00DB57A8" w:rsidRPr="003B11BD" w:rsidRDefault="00202498" w:rsidP="004C618F">
      <w:pPr>
        <w:pStyle w:val="Bullets"/>
        <w:rPr>
          <w:noProof/>
        </w:rPr>
      </w:pPr>
      <w:r w:rsidRPr="003B11BD">
        <w:rPr>
          <w:noProof/>
        </w:rPr>
        <w:t>The</w:t>
      </w:r>
      <w:r w:rsidR="00DB57A8" w:rsidRPr="003B11BD">
        <w:rPr>
          <w:noProof/>
        </w:rPr>
        <w:t xml:space="preserve"> scope and duration of the compulsory licence shall be limited to the purpose for which it was authorised.</w:t>
      </w:r>
    </w:p>
    <w:p w14:paraId="562F3C5B" w14:textId="64AEB9E5" w:rsidR="00DB57A8" w:rsidRPr="003B11BD" w:rsidRDefault="00202498" w:rsidP="004C618F">
      <w:pPr>
        <w:pStyle w:val="Bullets"/>
        <w:rPr>
          <w:noProof/>
        </w:rPr>
      </w:pPr>
      <w:r w:rsidRPr="003B11BD">
        <w:rPr>
          <w:noProof/>
        </w:rPr>
        <w:t>The</w:t>
      </w:r>
      <w:r w:rsidR="00DB57A8" w:rsidRPr="003B11BD">
        <w:rPr>
          <w:noProof/>
        </w:rPr>
        <w:t xml:space="preserve"> compulsory licence shall be </w:t>
      </w:r>
      <w:r w:rsidR="00DB57A8" w:rsidRPr="003B11BD">
        <w:rPr>
          <w:i/>
          <w:iCs/>
          <w:noProof/>
        </w:rPr>
        <w:t>non-exclusive and non-assignable</w:t>
      </w:r>
      <w:r w:rsidR="00DB57A8" w:rsidRPr="003B11BD">
        <w:rPr>
          <w:noProof/>
        </w:rPr>
        <w:t>.</w:t>
      </w:r>
    </w:p>
    <w:p w14:paraId="6D2B4380" w14:textId="7D2BA167" w:rsidR="00DB57A8" w:rsidRPr="003B11BD" w:rsidRDefault="00202498" w:rsidP="004C618F">
      <w:pPr>
        <w:pStyle w:val="Bullets"/>
        <w:rPr>
          <w:noProof/>
        </w:rPr>
      </w:pPr>
      <w:r w:rsidRPr="003B11BD">
        <w:rPr>
          <w:noProof/>
        </w:rPr>
        <w:t>The</w:t>
      </w:r>
      <w:r w:rsidR="00DB57A8" w:rsidRPr="003B11BD">
        <w:rPr>
          <w:noProof/>
        </w:rPr>
        <w:t xml:space="preserve"> compulsory licence shall be authorised predominantly for the supply of the </w:t>
      </w:r>
      <w:r w:rsidR="00DB57A8" w:rsidRPr="003B11BD">
        <w:rPr>
          <w:i/>
          <w:noProof/>
        </w:rPr>
        <w:t>domestic market</w:t>
      </w:r>
      <w:r w:rsidR="00DB57A8" w:rsidRPr="003B11BD">
        <w:rPr>
          <w:noProof/>
        </w:rPr>
        <w:t>.</w:t>
      </w:r>
    </w:p>
    <w:p w14:paraId="2FC97A8A" w14:textId="2BA8E5EB" w:rsidR="00DB57A8" w:rsidRPr="003B11BD" w:rsidRDefault="00202498" w:rsidP="004C618F">
      <w:pPr>
        <w:pStyle w:val="Bullets"/>
        <w:rPr>
          <w:noProof/>
        </w:rPr>
      </w:pPr>
      <w:r w:rsidRPr="003B11BD">
        <w:rPr>
          <w:noProof/>
        </w:rPr>
        <w:t>The</w:t>
      </w:r>
      <w:r w:rsidR="00DB57A8" w:rsidRPr="003B11BD">
        <w:rPr>
          <w:noProof/>
        </w:rPr>
        <w:t xml:space="preserve"> compulsory licence shall be terminated if and when the </w:t>
      </w:r>
      <w:r w:rsidR="00DB57A8" w:rsidRPr="003B11BD">
        <w:rPr>
          <w:i/>
          <w:noProof/>
        </w:rPr>
        <w:t>circumstances which led to it cease to exist</w:t>
      </w:r>
      <w:r w:rsidR="00DB57A8" w:rsidRPr="003B11BD">
        <w:rPr>
          <w:noProof/>
        </w:rPr>
        <w:t xml:space="preserve"> and are unlikely to recur. This condition is subject to the legitimate interests of the licensee.</w:t>
      </w:r>
    </w:p>
    <w:p w14:paraId="5F6ECF7B" w14:textId="6A5C5862" w:rsidR="00DB57A8" w:rsidRPr="003B11BD" w:rsidRDefault="00202498" w:rsidP="004C618F">
      <w:pPr>
        <w:pStyle w:val="Bullets"/>
        <w:rPr>
          <w:noProof/>
        </w:rPr>
      </w:pPr>
      <w:r w:rsidRPr="003B11BD">
        <w:rPr>
          <w:noProof/>
        </w:rPr>
        <w:t>The</w:t>
      </w:r>
      <w:r w:rsidR="00DB57A8" w:rsidRPr="003B11BD">
        <w:rPr>
          <w:noProof/>
        </w:rPr>
        <w:t xml:space="preserve"> right holder shall be paid </w:t>
      </w:r>
      <w:r w:rsidR="00DB57A8" w:rsidRPr="003B11BD">
        <w:rPr>
          <w:i/>
          <w:noProof/>
        </w:rPr>
        <w:t>adequate remuneration</w:t>
      </w:r>
      <w:r w:rsidR="00DB57A8" w:rsidRPr="003B11BD">
        <w:rPr>
          <w:noProof/>
        </w:rPr>
        <w:t xml:space="preserve">. </w:t>
      </w:r>
    </w:p>
    <w:p w14:paraId="391A893C" w14:textId="5939CA47" w:rsidR="00DB57A8" w:rsidRPr="003B11BD" w:rsidRDefault="00202498" w:rsidP="004C618F">
      <w:pPr>
        <w:pStyle w:val="Bullets"/>
        <w:rPr>
          <w:noProof/>
        </w:rPr>
      </w:pPr>
      <w:r w:rsidRPr="003B11BD">
        <w:rPr>
          <w:noProof/>
          <w:shd w:val="clear" w:color="auto" w:fill="FFFFFF"/>
        </w:rPr>
        <w:t>The</w:t>
      </w:r>
      <w:r w:rsidR="00DB57A8" w:rsidRPr="003B11BD">
        <w:rPr>
          <w:noProof/>
          <w:shd w:val="clear" w:color="auto" w:fill="FFFFFF"/>
        </w:rPr>
        <w:t xml:space="preserve"> legal validity of any decision relating to the authorisation of a compulsory licence and any decision relating to the remuneration shall be subject to </w:t>
      </w:r>
      <w:r w:rsidR="00DB57A8" w:rsidRPr="003B11BD">
        <w:rPr>
          <w:i/>
          <w:noProof/>
          <w:shd w:val="clear" w:color="auto" w:fill="FFFFFF"/>
        </w:rPr>
        <w:t>judicial review</w:t>
      </w:r>
      <w:r w:rsidR="00DB57A8" w:rsidRPr="003B11BD">
        <w:rPr>
          <w:noProof/>
          <w:shd w:val="clear" w:color="auto" w:fill="FFFFFF"/>
        </w:rPr>
        <w:t>.</w:t>
      </w:r>
    </w:p>
    <w:p w14:paraId="03800297" w14:textId="7701144F" w:rsidR="00761FBB" w:rsidRPr="003B11BD" w:rsidRDefault="00FB2C86" w:rsidP="00815724">
      <w:pPr>
        <w:pStyle w:val="Annexsubsections"/>
        <w:numPr>
          <w:ilvl w:val="0"/>
          <w:numId w:val="0"/>
        </w:numPr>
        <w:ind w:left="360" w:hanging="360"/>
        <w:rPr>
          <w:noProof/>
        </w:rPr>
      </w:pPr>
      <w:r w:rsidRPr="003B11BD">
        <w:rPr>
          <w:noProof/>
        </w:rPr>
        <w:t>5</w:t>
      </w:r>
      <w:r w:rsidR="00957C2F" w:rsidRPr="003B11BD">
        <w:rPr>
          <w:noProof/>
        </w:rPr>
        <w:t>E</w:t>
      </w:r>
      <w:r w:rsidR="00C905A4" w:rsidRPr="003B11BD">
        <w:rPr>
          <w:noProof/>
        </w:rPr>
        <w:t>.</w:t>
      </w:r>
      <w:r w:rsidR="00761FBB" w:rsidRPr="003B11BD">
        <w:rPr>
          <w:noProof/>
        </w:rPr>
        <w:t xml:space="preserve"> </w:t>
      </w:r>
      <w:r w:rsidRPr="003B11BD">
        <w:rPr>
          <w:noProof/>
        </w:rPr>
        <w:t>Article 31bis of the TRIPS Agreement and its implementation in EU law</w:t>
      </w:r>
    </w:p>
    <w:p w14:paraId="60E29ED0" w14:textId="7E08DDDA" w:rsidR="00FB2C86" w:rsidRPr="003B11BD" w:rsidRDefault="00FB2C86" w:rsidP="00815724">
      <w:pPr>
        <w:rPr>
          <w:noProof/>
          <w:lang w:val="en-IE"/>
        </w:rPr>
      </w:pPr>
      <w:r w:rsidRPr="003B11BD">
        <w:rPr>
          <w:noProof/>
          <w:lang w:val="en-IE"/>
        </w:rPr>
        <w:t>Article 31 of the TRIPS Agreement does not allow compulsory licensing to supply foreign markets (or at least not predominantly). At the height of the AIDS epidemic this quickly proved controversial. Once bound by the TRIPS Agreement, countries with manufacturing capacities could no longer export goods manufactured under a compulsory licensing to foreign markets. Some countries, facing grave public health problems, consider that the system implemented by the TRIPS Agreement severely affected their access to medicines</w:t>
      </w:r>
      <w:r w:rsidRPr="003B11BD">
        <w:rPr>
          <w:rStyle w:val="FootnoteReference"/>
          <w:noProof/>
          <w:lang w:val="en-IE"/>
        </w:rPr>
        <w:footnoteReference w:id="175"/>
      </w:r>
      <w:r w:rsidRPr="003B11BD">
        <w:rPr>
          <w:noProof/>
          <w:lang w:val="en-IE"/>
        </w:rPr>
        <w:t>. This led in 2001 to the Doha Declaration which in turn led to the adoption of Article 31bis of the TRIPS Agreement.</w:t>
      </w:r>
    </w:p>
    <w:p w14:paraId="6B8D76EE" w14:textId="77777777" w:rsidR="00761FBB" w:rsidRPr="003B11BD" w:rsidRDefault="00761FBB" w:rsidP="00815724">
      <w:pPr>
        <w:rPr>
          <w:noProof/>
          <w:lang w:val="en-IE"/>
        </w:rPr>
      </w:pPr>
      <w:r w:rsidRPr="003B11BD">
        <w:rPr>
          <w:noProof/>
          <w:lang w:val="en-IE"/>
        </w:rPr>
        <w:t>The Doha Declaration first recognised the “gravity of the public health problems affecting many developing and least-developed countries, especially those resulting from HIV/ AIDS, tuberculosis, malaria and other epidemics.” With that background, the Doha Declaration reaffirmed the right of WTO members to ‘use, to the full, the provisions in the TRIPS Agreement, which provide flexibility for this purpose’. These flexibilities include:</w:t>
      </w:r>
    </w:p>
    <w:p w14:paraId="2D186EE4" w14:textId="77777777" w:rsidR="00761FBB" w:rsidRPr="003B11BD" w:rsidRDefault="00761FBB" w:rsidP="004C618F">
      <w:pPr>
        <w:pStyle w:val="Bullets"/>
        <w:rPr>
          <w:noProof/>
        </w:rPr>
      </w:pPr>
      <w:r w:rsidRPr="003B11BD">
        <w:rPr>
          <w:noProof/>
        </w:rPr>
        <w:t>the right for each Member to grant compulsory licences, to freely determine the grounds for such licences, and to freely establish its own exhaustion regime;</w:t>
      </w:r>
    </w:p>
    <w:p w14:paraId="1D62DFFF" w14:textId="77777777" w:rsidR="00761FBB" w:rsidRPr="003B11BD" w:rsidRDefault="00761FBB" w:rsidP="004C618F">
      <w:pPr>
        <w:pStyle w:val="Bullets"/>
        <w:rPr>
          <w:noProof/>
        </w:rPr>
      </w:pPr>
      <w:r w:rsidRPr="003B11BD">
        <w:rPr>
          <w:noProof/>
        </w:rPr>
        <w:t xml:space="preserve">the right for each Member to determine what constitutes a national emergency or other circumstances of extreme urgency. </w:t>
      </w:r>
    </w:p>
    <w:p w14:paraId="46A35776" w14:textId="77777777" w:rsidR="002710BB" w:rsidRPr="003B11BD" w:rsidRDefault="00761FBB" w:rsidP="00815724">
      <w:pPr>
        <w:rPr>
          <w:noProof/>
          <w:lang w:val="en-IE"/>
        </w:rPr>
      </w:pPr>
      <w:r w:rsidRPr="003B11BD">
        <w:rPr>
          <w:noProof/>
          <w:lang w:val="en-IE"/>
        </w:rPr>
        <w:t xml:space="preserve">Importantly, paragraph 6 of the Doha Declaration stated that “WTO Members with insufficient or no manufacturing capacities in the pharmaceutical sector could face difficulties in making effective use of compulsory licensing under the TRIPS Agreement. We instruct the Council for TRIPS to find an expeditious solution to this problem”. </w:t>
      </w:r>
    </w:p>
    <w:p w14:paraId="3E941147" w14:textId="18DB64F0" w:rsidR="00AD110C" w:rsidRPr="003B11BD" w:rsidRDefault="00761FBB" w:rsidP="00815724">
      <w:pPr>
        <w:rPr>
          <w:noProof/>
          <w:lang w:val="en-IE"/>
        </w:rPr>
      </w:pPr>
      <w:r w:rsidRPr="003B11BD">
        <w:rPr>
          <w:noProof/>
          <w:lang w:val="en-IE"/>
        </w:rPr>
        <w:t xml:space="preserve">Based on that, the WTO Decision of 30 August 2003 was adopted. It introduced Article 31bis into the TRIPS Agreement, whose main feature </w:t>
      </w:r>
      <w:r w:rsidR="00AD110C" w:rsidRPr="003B11BD">
        <w:rPr>
          <w:noProof/>
          <w:lang w:val="en-IE"/>
        </w:rPr>
        <w:t>can be summarised as follows:</w:t>
      </w:r>
    </w:p>
    <w:p w14:paraId="5167950D" w14:textId="77777777" w:rsidR="00AD110C" w:rsidRPr="003B11BD" w:rsidRDefault="00AD110C" w:rsidP="004C618F">
      <w:pPr>
        <w:pStyle w:val="Bullets"/>
        <w:rPr>
          <w:noProof/>
        </w:rPr>
      </w:pPr>
      <w:r w:rsidRPr="003B11BD">
        <w:rPr>
          <w:noProof/>
        </w:rPr>
        <w:t xml:space="preserve">This mechanism only concerns </w:t>
      </w:r>
      <w:r w:rsidRPr="003B11BD">
        <w:rPr>
          <w:i/>
          <w:iCs/>
          <w:noProof/>
        </w:rPr>
        <w:t>pharmaceutical products</w:t>
      </w:r>
      <w:r w:rsidRPr="003B11BD">
        <w:rPr>
          <w:noProof/>
        </w:rPr>
        <w:t xml:space="preserve"> which are defined in the 2003 Decision as </w:t>
      </w:r>
      <w:r w:rsidRPr="003B11BD">
        <w:rPr>
          <w:noProof/>
          <w:shd w:val="clear" w:color="auto" w:fill="FFFFFF"/>
        </w:rPr>
        <w:t>any patented product, or product manufactured through a patented process, of the pharmaceutical sector needed to address the public health problems</w:t>
      </w:r>
      <w:r w:rsidRPr="003B11BD">
        <w:rPr>
          <w:rStyle w:val="FootnoteReference"/>
          <w:noProof/>
          <w:color w:val="000000"/>
          <w:shd w:val="clear" w:color="auto" w:fill="FFFFFF"/>
        </w:rPr>
        <w:footnoteReference w:id="176"/>
      </w:r>
      <w:r w:rsidRPr="003B11BD">
        <w:rPr>
          <w:noProof/>
          <w:shd w:val="clear" w:color="auto" w:fill="FFFFFF"/>
        </w:rPr>
        <w:t xml:space="preserve">. </w:t>
      </w:r>
    </w:p>
    <w:p w14:paraId="0DCDFFC6" w14:textId="77777777" w:rsidR="00AD110C" w:rsidRPr="003B11BD" w:rsidRDefault="00AD110C" w:rsidP="004C618F">
      <w:pPr>
        <w:pStyle w:val="Bullets"/>
        <w:rPr>
          <w:noProof/>
        </w:rPr>
      </w:pPr>
      <w:r w:rsidRPr="003B11BD">
        <w:rPr>
          <w:noProof/>
          <w:shd w:val="clear" w:color="auto" w:fill="FFFFFF"/>
        </w:rPr>
        <w:t xml:space="preserve">Export is only possible to </w:t>
      </w:r>
      <w:r w:rsidRPr="003B11BD">
        <w:rPr>
          <w:i/>
          <w:iCs/>
          <w:noProof/>
          <w:shd w:val="clear" w:color="auto" w:fill="FFFFFF"/>
        </w:rPr>
        <w:t>eligible importing Members</w:t>
      </w:r>
      <w:r w:rsidRPr="003B11BD">
        <w:rPr>
          <w:noProof/>
          <w:shd w:val="clear" w:color="auto" w:fill="FFFFFF"/>
        </w:rPr>
        <w:t>. The 2003 Decision specifies that eligible importing Members include any least-developed country Member and any other Member that has made a notification to the Council for TRIPS of its intention to use the system as an importer</w:t>
      </w:r>
      <w:r w:rsidRPr="003B11BD">
        <w:rPr>
          <w:rStyle w:val="FootnoteReference"/>
          <w:noProof/>
          <w:color w:val="000000"/>
          <w:shd w:val="clear" w:color="auto" w:fill="FFFFFF"/>
        </w:rPr>
        <w:footnoteReference w:id="177"/>
      </w:r>
      <w:r w:rsidRPr="003B11BD">
        <w:rPr>
          <w:noProof/>
          <w:shd w:val="clear" w:color="auto" w:fill="FFFFFF"/>
        </w:rPr>
        <w:t>. EU countries have opted out of using the system as importers.</w:t>
      </w:r>
    </w:p>
    <w:p w14:paraId="32D9FF8F" w14:textId="77777777" w:rsidR="00AD110C" w:rsidRPr="003B11BD" w:rsidRDefault="00AD110C" w:rsidP="004C618F">
      <w:pPr>
        <w:pStyle w:val="Bullets"/>
        <w:rPr>
          <w:noProof/>
        </w:rPr>
      </w:pPr>
      <w:r w:rsidRPr="003B11BD">
        <w:rPr>
          <w:noProof/>
        </w:rPr>
        <w:t xml:space="preserve">The </w:t>
      </w:r>
      <w:r w:rsidRPr="003B11BD">
        <w:rPr>
          <w:i/>
          <w:iCs/>
          <w:noProof/>
        </w:rPr>
        <w:t>importing country must make a notification</w:t>
      </w:r>
      <w:r w:rsidRPr="003B11BD">
        <w:rPr>
          <w:noProof/>
        </w:rPr>
        <w:t xml:space="preserve"> to the Council of TRIPS on (i) the names and expected quantities of the expected products, (ii) its insufficient or lack of manufacturing capacities</w:t>
      </w:r>
      <w:r w:rsidRPr="003B11BD">
        <w:rPr>
          <w:rStyle w:val="FootnoteReference"/>
          <w:noProof/>
        </w:rPr>
        <w:footnoteReference w:id="178"/>
      </w:r>
      <w:r w:rsidRPr="003B11BD">
        <w:rPr>
          <w:noProof/>
        </w:rPr>
        <w:t xml:space="preserve"> and (iii) its intention to grant a compulsory licence in accordance with article 31 of the TRIPS Agreement.</w:t>
      </w:r>
    </w:p>
    <w:p w14:paraId="702DE65D" w14:textId="77777777" w:rsidR="00AD110C" w:rsidRPr="003B11BD" w:rsidRDefault="00AD110C" w:rsidP="004C618F">
      <w:pPr>
        <w:pStyle w:val="Bullets"/>
        <w:rPr>
          <w:noProof/>
        </w:rPr>
      </w:pPr>
      <w:r w:rsidRPr="003B11BD">
        <w:rPr>
          <w:i/>
          <w:iCs/>
          <w:noProof/>
        </w:rPr>
        <w:t>The compulsory licence issued by the exporting country must respect the following conditions</w:t>
      </w:r>
      <w:r w:rsidRPr="003B11BD">
        <w:rPr>
          <w:noProof/>
        </w:rPr>
        <w:t xml:space="preserve">: (i) only the amount necessary to meet the needs of the eligible importing Member(s) may be manufactured under the licence and the entirety of this production shall be exported; (ii) the products produced under the licence shall be clearly identified through specific labelling or marking and (iii) before shipment begins, the licensee shall post on a website information on the quantities being supplied to each destination and the distinguishing features of the product(s). The exporting country must also notify to the Council of TRIPS the grant of the licence. </w:t>
      </w:r>
    </w:p>
    <w:p w14:paraId="2BEB80B0" w14:textId="77777777" w:rsidR="00AD110C" w:rsidRPr="003B11BD" w:rsidRDefault="00AD110C" w:rsidP="004C618F">
      <w:pPr>
        <w:pStyle w:val="Bullets"/>
        <w:rPr>
          <w:noProof/>
        </w:rPr>
      </w:pPr>
      <w:r w:rsidRPr="003B11BD">
        <w:rPr>
          <w:i/>
          <w:noProof/>
        </w:rPr>
        <w:t xml:space="preserve">Adequate remuneration </w:t>
      </w:r>
      <w:r w:rsidRPr="003B11BD">
        <w:rPr>
          <w:noProof/>
        </w:rPr>
        <w:t>must be paid in the exporting country but not in the importing country if the compulsory licence to import was granted for the same products already covered by the compulsory licence to export.</w:t>
      </w:r>
    </w:p>
    <w:p w14:paraId="04B4A001" w14:textId="77777777" w:rsidR="00AD110C" w:rsidRPr="003B11BD" w:rsidRDefault="00AD110C" w:rsidP="004C618F">
      <w:pPr>
        <w:pStyle w:val="Bullets"/>
        <w:rPr>
          <w:noProof/>
        </w:rPr>
      </w:pPr>
      <w:r w:rsidRPr="003B11BD">
        <w:rPr>
          <w:noProof/>
        </w:rPr>
        <w:t xml:space="preserve">Importing countries must take reasonable </w:t>
      </w:r>
      <w:r w:rsidRPr="003B11BD">
        <w:rPr>
          <w:i/>
          <w:noProof/>
        </w:rPr>
        <w:t>anti-diversion measures</w:t>
      </w:r>
      <w:r w:rsidRPr="003B11BD">
        <w:rPr>
          <w:noProof/>
        </w:rPr>
        <w:t xml:space="preserve"> to prevent re-exportation of products made under the compulsory licence (best efforts obligation).</w:t>
      </w:r>
    </w:p>
    <w:p w14:paraId="50609EBA" w14:textId="2ED13F9B" w:rsidR="004E14EF" w:rsidRPr="003B11BD" w:rsidRDefault="00AD110C" w:rsidP="00815724">
      <w:pPr>
        <w:rPr>
          <w:noProof/>
          <w:lang w:val="en-IE"/>
        </w:rPr>
      </w:pPr>
      <w:r w:rsidRPr="003B11BD">
        <w:rPr>
          <w:noProof/>
          <w:lang w:val="en-IE"/>
        </w:rPr>
        <w:t xml:space="preserve">The European Union implemented this new disposition in its legal order through the adoption of </w:t>
      </w:r>
      <w:r w:rsidR="6C7EFBC0" w:rsidRPr="003B11BD">
        <w:rPr>
          <w:noProof/>
          <w:lang w:val="en-IE"/>
        </w:rPr>
        <w:t>R</w:t>
      </w:r>
      <w:r w:rsidRPr="003B11BD">
        <w:rPr>
          <w:noProof/>
          <w:lang w:val="en-IE"/>
        </w:rPr>
        <w:t>egulation (EC) 816/2006</w:t>
      </w:r>
      <w:r w:rsidR="004E14EF" w:rsidRPr="003B11BD">
        <w:rPr>
          <w:noProof/>
          <w:lang w:val="en-IE"/>
        </w:rPr>
        <w:t xml:space="preserve"> which relevant features can be summarised as follows:</w:t>
      </w:r>
    </w:p>
    <w:p w14:paraId="25B636F0" w14:textId="77777777" w:rsidR="004E14EF" w:rsidRPr="003B11BD" w:rsidRDefault="004E14EF" w:rsidP="004C618F">
      <w:pPr>
        <w:pStyle w:val="Bullets"/>
        <w:rPr>
          <w:noProof/>
        </w:rPr>
      </w:pPr>
      <w:r w:rsidRPr="003B11BD">
        <w:rPr>
          <w:noProof/>
        </w:rPr>
        <w:t>The regulation covers compulsory licensing</w:t>
      </w:r>
      <w:r w:rsidRPr="003B11BD">
        <w:rPr>
          <w:rStyle w:val="FootnoteReference"/>
          <w:noProof/>
        </w:rPr>
        <w:footnoteReference w:id="179"/>
      </w:r>
      <w:r w:rsidRPr="003B11BD">
        <w:rPr>
          <w:noProof/>
        </w:rPr>
        <w:t xml:space="preserve"> for the manufacture and sale of </w:t>
      </w:r>
      <w:r w:rsidRPr="003B11BD">
        <w:rPr>
          <w:i/>
          <w:iCs/>
          <w:noProof/>
        </w:rPr>
        <w:t>pharmaceutical products</w:t>
      </w:r>
      <w:r w:rsidRPr="003B11BD">
        <w:rPr>
          <w:rStyle w:val="FootnoteReference"/>
          <w:i/>
          <w:iCs/>
          <w:noProof/>
        </w:rPr>
        <w:footnoteReference w:id="180"/>
      </w:r>
      <w:r w:rsidRPr="003B11BD">
        <w:rPr>
          <w:noProof/>
        </w:rPr>
        <w:t xml:space="preserve"> intended for export to eligible importing countries in need of such products.</w:t>
      </w:r>
      <w:r w:rsidRPr="003B11BD">
        <w:rPr>
          <w:noProof/>
          <w:color w:val="000000"/>
          <w:shd w:val="clear" w:color="auto" w:fill="FFFFFF"/>
        </w:rPr>
        <w:t xml:space="preserve"> </w:t>
      </w:r>
    </w:p>
    <w:p w14:paraId="5A666835" w14:textId="77777777" w:rsidR="004E14EF" w:rsidRPr="003B11BD" w:rsidRDefault="004E14EF" w:rsidP="004C618F">
      <w:pPr>
        <w:pStyle w:val="Bullets"/>
        <w:rPr>
          <w:noProof/>
        </w:rPr>
      </w:pPr>
      <w:r w:rsidRPr="003B11BD">
        <w:rPr>
          <w:noProof/>
          <w:shd w:val="clear" w:color="auto" w:fill="FFFFFF"/>
        </w:rPr>
        <w:t xml:space="preserve">In terms of </w:t>
      </w:r>
      <w:r w:rsidRPr="003B11BD">
        <w:rPr>
          <w:i/>
          <w:iCs/>
          <w:noProof/>
          <w:shd w:val="clear" w:color="auto" w:fill="FFFFFF"/>
        </w:rPr>
        <w:t>procedure</w:t>
      </w:r>
      <w:r w:rsidRPr="003B11BD">
        <w:rPr>
          <w:noProof/>
          <w:shd w:val="clear" w:color="auto" w:fill="FFFFFF"/>
        </w:rPr>
        <w:t>, Member States can provide a compulsory licence to any person making an application</w:t>
      </w:r>
      <w:r w:rsidRPr="003B11BD">
        <w:rPr>
          <w:rStyle w:val="FootnoteReference"/>
          <w:noProof/>
          <w:color w:val="000000"/>
          <w:shd w:val="clear" w:color="auto" w:fill="FFFFFF"/>
        </w:rPr>
        <w:footnoteReference w:id="181"/>
      </w:r>
      <w:r w:rsidRPr="003B11BD">
        <w:rPr>
          <w:noProof/>
          <w:shd w:val="clear" w:color="auto" w:fill="FFFFFF"/>
        </w:rPr>
        <w:t xml:space="preserve"> to the competent authority</w:t>
      </w:r>
      <w:r w:rsidRPr="003B11BD">
        <w:rPr>
          <w:rStyle w:val="FootnoteReference"/>
          <w:noProof/>
          <w:color w:val="000000"/>
          <w:shd w:val="clear" w:color="auto" w:fill="FFFFFF"/>
        </w:rPr>
        <w:footnoteReference w:id="182"/>
      </w:r>
      <w:r w:rsidRPr="003B11BD">
        <w:rPr>
          <w:noProof/>
          <w:shd w:val="clear" w:color="auto" w:fill="FFFFFF"/>
        </w:rPr>
        <w:t xml:space="preserve"> of the Member State(s) where the patents and supplementary protection certificates have effect and cover the manufacture and sale for exports. A person can apply for a compulsory licence to authorities in more than one country. In accordance with the TRIPS Agreement, importing country(ies) must make a notification to the WTO or, in case of a non-WTO member, to the Commission.</w:t>
      </w:r>
    </w:p>
    <w:p w14:paraId="25B89CFC" w14:textId="77777777" w:rsidR="004E14EF" w:rsidRPr="003B11BD" w:rsidRDefault="004E14EF" w:rsidP="004C618F">
      <w:pPr>
        <w:pStyle w:val="Bullets"/>
        <w:rPr>
          <w:noProof/>
        </w:rPr>
      </w:pPr>
      <w:r w:rsidRPr="003B11BD">
        <w:rPr>
          <w:noProof/>
          <w:shd w:val="clear" w:color="auto" w:fill="FFFFFF"/>
        </w:rPr>
        <w:t xml:space="preserve">The application for a compulsory licence must include </w:t>
      </w:r>
      <w:r w:rsidRPr="003B11BD">
        <w:rPr>
          <w:i/>
          <w:iCs/>
          <w:noProof/>
          <w:shd w:val="clear" w:color="auto" w:fill="FFFFFF"/>
        </w:rPr>
        <w:t>evidence of a specific request</w:t>
      </w:r>
      <w:r w:rsidRPr="003B11BD">
        <w:rPr>
          <w:noProof/>
          <w:shd w:val="clear" w:color="auto" w:fill="FFFFFF"/>
        </w:rPr>
        <w:t xml:space="preserve"> from (i) authorised representatives of the importing country(ies), (ii) a non-governmental organisation acting with the formal authorisation of the importing country(ies), or (iii) UN bodies or other international health organisations with the formal authorisation of the importing country(ies).</w:t>
      </w:r>
    </w:p>
    <w:p w14:paraId="366B4052" w14:textId="77777777" w:rsidR="004E14EF" w:rsidRPr="003B11BD" w:rsidRDefault="004E14EF" w:rsidP="004C618F">
      <w:pPr>
        <w:pStyle w:val="Bullets"/>
        <w:rPr>
          <w:noProof/>
        </w:rPr>
      </w:pPr>
      <w:r w:rsidRPr="003B11BD">
        <w:rPr>
          <w:noProof/>
        </w:rPr>
        <w:t xml:space="preserve">The compulsory licence must be </w:t>
      </w:r>
      <w:r w:rsidRPr="003B11BD">
        <w:rPr>
          <w:i/>
          <w:iCs/>
          <w:noProof/>
        </w:rPr>
        <w:t>limited to the purpose of manufacturing the product for export and distribution</w:t>
      </w:r>
      <w:r w:rsidRPr="003B11BD">
        <w:rPr>
          <w:noProof/>
        </w:rPr>
        <w:t xml:space="preserve"> in the country(ies) cited in the application. Products made or imported under the compulsory licence cannot be put on the market of another country</w:t>
      </w:r>
      <w:r w:rsidRPr="003B11BD">
        <w:rPr>
          <w:rStyle w:val="FootnoteReference"/>
          <w:noProof/>
        </w:rPr>
        <w:footnoteReference w:id="183"/>
      </w:r>
      <w:r w:rsidRPr="003B11BD">
        <w:rPr>
          <w:noProof/>
        </w:rPr>
        <w:t xml:space="preserve">. To this end, the regulation provides for specific labelling obligations as well as the setting-up of a website with relevant information on the quantities and features of products made under the compulsory licence. </w:t>
      </w:r>
    </w:p>
    <w:p w14:paraId="4B8F5C49" w14:textId="4DA816F1" w:rsidR="004E14EF" w:rsidRPr="003B11BD" w:rsidRDefault="004E14EF" w:rsidP="004C618F">
      <w:pPr>
        <w:pStyle w:val="Bullets"/>
        <w:rPr>
          <w:noProof/>
        </w:rPr>
      </w:pPr>
      <w:r w:rsidRPr="003B11BD">
        <w:rPr>
          <w:i/>
          <w:iCs/>
          <w:noProof/>
        </w:rPr>
        <w:t xml:space="preserve">Adequate remuneration </w:t>
      </w:r>
      <w:r w:rsidRPr="003B11BD">
        <w:rPr>
          <w:noProof/>
        </w:rPr>
        <w:t>must be paid by the licensee to the right-holders as determined by the competent authority.</w:t>
      </w:r>
    </w:p>
    <w:p w14:paraId="479BBB60" w14:textId="30BEFBA3" w:rsidR="004E14EF" w:rsidRPr="003B11BD" w:rsidRDefault="004E14EF" w:rsidP="00815724">
      <w:pPr>
        <w:pStyle w:val="Annexsubsections"/>
        <w:numPr>
          <w:ilvl w:val="0"/>
          <w:numId w:val="0"/>
        </w:numPr>
        <w:ind w:left="360" w:hanging="360"/>
        <w:rPr>
          <w:noProof/>
        </w:rPr>
      </w:pPr>
      <w:r w:rsidRPr="003B11BD">
        <w:rPr>
          <w:noProof/>
        </w:rPr>
        <w:t>5</w:t>
      </w:r>
      <w:r w:rsidR="00957C2F" w:rsidRPr="003B11BD">
        <w:rPr>
          <w:noProof/>
        </w:rPr>
        <w:t>F</w:t>
      </w:r>
      <w:r w:rsidR="00C905A4" w:rsidRPr="003B11BD">
        <w:rPr>
          <w:noProof/>
        </w:rPr>
        <w:t>.</w:t>
      </w:r>
      <w:r w:rsidRPr="003B11BD">
        <w:rPr>
          <w:noProof/>
        </w:rPr>
        <w:t xml:space="preserve"> The Rwanda – Canada case under Article 31bis of the TRIPS Agreement</w:t>
      </w:r>
    </w:p>
    <w:p w14:paraId="17DE29A3" w14:textId="12DA79CE" w:rsidR="004A2832" w:rsidRPr="003B11BD" w:rsidRDefault="000F48E2" w:rsidP="00815724">
      <w:pPr>
        <w:rPr>
          <w:rFonts w:eastAsia="Calibri"/>
          <w:noProof/>
          <w:lang w:val="en-IE"/>
        </w:rPr>
      </w:pPr>
      <w:r w:rsidRPr="003B11BD">
        <w:rPr>
          <w:rFonts w:eastAsia="Calibri"/>
          <w:noProof/>
          <w:lang w:val="en-IE"/>
        </w:rPr>
        <w:t>The mechanism under Article 31bis of the TRIPS Agreement was only used once, in the context of the Canada-Rwanda case</w:t>
      </w:r>
      <w:r w:rsidR="005A55D4" w:rsidRPr="003B11BD">
        <w:rPr>
          <w:rFonts w:eastAsia="Calibri"/>
          <w:noProof/>
          <w:lang w:val="en-IE"/>
        </w:rPr>
        <w:t>.</w:t>
      </w:r>
      <w:r w:rsidR="00647BBB" w:rsidRPr="003B11BD">
        <w:rPr>
          <w:noProof/>
          <w:lang w:val="en-IE"/>
        </w:rPr>
        <w:t xml:space="preserve"> </w:t>
      </w:r>
      <w:r w:rsidR="004A2832" w:rsidRPr="003B11BD">
        <w:rPr>
          <w:rFonts w:eastAsia="Calibri"/>
          <w:i/>
          <w:iCs/>
          <w:noProof/>
          <w:lang w:val="en-IE"/>
        </w:rPr>
        <w:t>Médecins Sans Frontières</w:t>
      </w:r>
      <w:r w:rsidR="004A2832" w:rsidRPr="003B11BD">
        <w:rPr>
          <w:rFonts w:eastAsia="Calibri"/>
          <w:noProof/>
          <w:lang w:val="en-IE"/>
        </w:rPr>
        <w:t xml:space="preserve"> (Doctors without Borders) had identified five urgently needed drugs for its field projects, one of them being a treatment for HIV/ AIDS</w:t>
      </w:r>
      <w:r w:rsidR="00240046" w:rsidRPr="003B11BD">
        <w:rPr>
          <w:rFonts w:eastAsia="Calibri"/>
          <w:noProof/>
          <w:lang w:val="en-IE"/>
        </w:rPr>
        <w:t>.</w:t>
      </w:r>
      <w:r w:rsidR="004A2832" w:rsidRPr="003B11BD">
        <w:rPr>
          <w:rFonts w:eastAsia="Calibri"/>
          <w:noProof/>
          <w:lang w:val="en-IE"/>
        </w:rPr>
        <w:t xml:space="preserve"> Rwanda </w:t>
      </w:r>
      <w:r w:rsidR="00240046" w:rsidRPr="003B11BD">
        <w:rPr>
          <w:rFonts w:eastAsia="Calibri"/>
          <w:noProof/>
          <w:lang w:val="en-IE"/>
        </w:rPr>
        <w:t>was the</w:t>
      </w:r>
      <w:r w:rsidR="004A2832" w:rsidRPr="003B11BD">
        <w:rPr>
          <w:rFonts w:eastAsia="Calibri"/>
          <w:noProof/>
          <w:lang w:val="en-IE"/>
        </w:rPr>
        <w:t xml:space="preserve"> importing country in need of access to HIV medicine</w:t>
      </w:r>
      <w:r w:rsidR="004A2832" w:rsidRPr="003B11BD">
        <w:rPr>
          <w:rFonts w:eastAsia="Calibri"/>
          <w:noProof/>
          <w:vertAlign w:val="superscript"/>
          <w:lang w:val="en-IE"/>
        </w:rPr>
        <w:footnoteReference w:id="184"/>
      </w:r>
      <w:r w:rsidR="004A2832" w:rsidRPr="003B11BD">
        <w:rPr>
          <w:rFonts w:eastAsia="Calibri"/>
          <w:noProof/>
          <w:lang w:val="en-IE"/>
        </w:rPr>
        <w:t>.</w:t>
      </w:r>
      <w:r w:rsidR="00240046" w:rsidRPr="003B11BD">
        <w:rPr>
          <w:rFonts w:eastAsia="Calibri"/>
          <w:noProof/>
          <w:lang w:val="en-IE"/>
        </w:rPr>
        <w:t xml:space="preserve"> </w:t>
      </w:r>
      <w:r w:rsidR="004A2832" w:rsidRPr="003B11BD">
        <w:rPr>
          <w:rFonts w:eastAsia="Calibri"/>
          <w:noProof/>
          <w:lang w:val="en-IE"/>
        </w:rPr>
        <w:t>A Canadian privately held generic manufacturer</w:t>
      </w:r>
      <w:r w:rsidR="00F66172" w:rsidRPr="003B11BD">
        <w:rPr>
          <w:rFonts w:eastAsia="Calibri"/>
          <w:noProof/>
          <w:lang w:val="en-IE"/>
        </w:rPr>
        <w:t>,</w:t>
      </w:r>
      <w:r w:rsidR="004A2832" w:rsidRPr="003B11BD">
        <w:rPr>
          <w:rFonts w:eastAsia="Calibri"/>
          <w:noProof/>
          <w:lang w:val="en-IE"/>
        </w:rPr>
        <w:t xml:space="preserve"> Apotex</w:t>
      </w:r>
      <w:r w:rsidR="00F66172" w:rsidRPr="003B11BD">
        <w:rPr>
          <w:rFonts w:eastAsia="Calibri"/>
          <w:noProof/>
          <w:lang w:val="en-IE"/>
        </w:rPr>
        <w:t>,</w:t>
      </w:r>
      <w:r w:rsidR="004A2832" w:rsidRPr="003B11BD">
        <w:rPr>
          <w:rFonts w:eastAsia="Calibri"/>
          <w:noProof/>
          <w:lang w:val="en-IE"/>
        </w:rPr>
        <w:t xml:space="preserve"> agreed to produce </w:t>
      </w:r>
      <w:r w:rsidR="00F66172" w:rsidRPr="003B11BD">
        <w:rPr>
          <w:rFonts w:eastAsia="Calibri"/>
          <w:noProof/>
          <w:lang w:val="en-IE"/>
        </w:rPr>
        <w:t>the drug</w:t>
      </w:r>
      <w:r w:rsidR="004A2832" w:rsidRPr="003B11BD">
        <w:rPr>
          <w:rFonts w:eastAsia="Calibri"/>
          <w:noProof/>
          <w:lang w:val="en-IE"/>
        </w:rPr>
        <w:t>s.</w:t>
      </w:r>
      <w:r w:rsidR="00D12A1B" w:rsidRPr="003B11BD">
        <w:rPr>
          <w:rFonts w:eastAsia="Calibri"/>
          <w:noProof/>
          <w:lang w:val="en-IE"/>
        </w:rPr>
        <w:t xml:space="preserve"> </w:t>
      </w:r>
      <w:r w:rsidR="004A2832" w:rsidRPr="003B11BD">
        <w:rPr>
          <w:rFonts w:eastAsia="Calibri"/>
          <w:noProof/>
          <w:lang w:val="en-IE"/>
        </w:rPr>
        <w:t>The chronology of the process of exporting Apo-TriAvir went as follows</w:t>
      </w:r>
      <w:r w:rsidR="004A2832" w:rsidRPr="003B11BD">
        <w:rPr>
          <w:rFonts w:eastAsia="Calibri"/>
          <w:noProof/>
          <w:vertAlign w:val="superscript"/>
          <w:lang w:val="en-IE"/>
        </w:rPr>
        <w:footnoteReference w:id="185"/>
      </w:r>
      <w:r w:rsidR="004A2832" w:rsidRPr="003B11BD">
        <w:rPr>
          <w:rFonts w:eastAsia="Calibri"/>
          <w:noProof/>
          <w:lang w:val="en-IE"/>
        </w:rPr>
        <w:t>:</w:t>
      </w:r>
    </w:p>
    <w:p w14:paraId="01B87FF0" w14:textId="7D88FA3B" w:rsidR="005B6BA3" w:rsidRPr="003B11BD" w:rsidRDefault="005B6BA3" w:rsidP="00815724">
      <w:pPr>
        <w:pStyle w:val="Caption"/>
        <w:keepNext/>
        <w:rPr>
          <w:rFonts w:eastAsia="Calibri"/>
          <w:noProof/>
          <w:lang w:val="en-IE"/>
        </w:rPr>
      </w:pPr>
      <w:r w:rsidRPr="003B11BD">
        <w:rPr>
          <w:noProof/>
          <w:lang w:val="en-IE"/>
        </w:rPr>
        <w:t xml:space="preserve">Figure </w:t>
      </w:r>
      <w:r w:rsidR="00C6592A">
        <w:rPr>
          <w:noProof/>
          <w:lang w:val="en-IE"/>
        </w:rPr>
        <w:t>13</w:t>
      </w:r>
      <w:r w:rsidRPr="003B11BD">
        <w:rPr>
          <w:noProof/>
          <w:lang w:val="en-IE"/>
        </w:rPr>
        <w:t>: Chronology of the process of exporting Apo-TriAvir</w:t>
      </w:r>
    </w:p>
    <w:p w14:paraId="236598E3" w14:textId="5D8D10A7" w:rsidR="00CF1B7B" w:rsidRPr="003B11BD" w:rsidRDefault="00CF1B7B" w:rsidP="005E35C7">
      <w:pPr>
        <w:pStyle w:val="BodyText1"/>
      </w:pPr>
      <w:r w:rsidRPr="003B11BD">
        <w:rPr>
          <w:lang w:val="en-GB" w:eastAsia="en-GB"/>
        </w:rPr>
        <w:drawing>
          <wp:inline distT="0" distB="0" distL="0" distR="0" wp14:anchorId="0B237B4C" wp14:editId="71CEE131">
            <wp:extent cx="4572000" cy="2889197"/>
            <wp:effectExtent l="0" t="0" r="0" b="26035"/>
            <wp:docPr id="4" name="Diagramme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DED6A05" w14:textId="1AE44B1F" w:rsidR="00560640" w:rsidRPr="003B11BD" w:rsidRDefault="00C905A4" w:rsidP="00560640">
      <w:pPr>
        <w:pStyle w:val="Caption"/>
        <w:rPr>
          <w:noProof/>
          <w:lang w:val="en-IE"/>
        </w:rPr>
      </w:pPr>
      <w:r w:rsidRPr="003B11BD">
        <w:rPr>
          <w:noProof/>
          <w:lang w:val="en-IE"/>
        </w:rPr>
        <w:t>Source:</w:t>
      </w:r>
      <w:r w:rsidR="00560640" w:rsidRPr="003B11BD">
        <w:rPr>
          <w:noProof/>
          <w:lang w:val="en-IE"/>
        </w:rPr>
        <w:t xml:space="preserve"> </w:t>
      </w:r>
      <w:r w:rsidRPr="003B11BD">
        <w:rPr>
          <w:noProof/>
          <w:lang w:val="en-IE"/>
        </w:rPr>
        <w:t>CEIPI(2023), p</w:t>
      </w:r>
      <w:r w:rsidR="005041E7" w:rsidRPr="003B11BD">
        <w:rPr>
          <w:noProof/>
          <w:lang w:val="en-IE"/>
        </w:rPr>
        <w:t>.</w:t>
      </w:r>
      <w:r w:rsidRPr="003B11BD">
        <w:rPr>
          <w:noProof/>
          <w:lang w:val="en-IE"/>
        </w:rPr>
        <w:t xml:space="preserve"> </w:t>
      </w:r>
      <w:r w:rsidR="000C07B9" w:rsidRPr="003B11BD">
        <w:rPr>
          <w:noProof/>
          <w:lang w:val="en-IE"/>
        </w:rPr>
        <w:t>65.</w:t>
      </w:r>
    </w:p>
    <w:p w14:paraId="63C83835" w14:textId="17BE5146" w:rsidR="00CF1B7B" w:rsidRPr="003B11BD" w:rsidRDefault="00CF1B7B" w:rsidP="00815724">
      <w:pPr>
        <w:rPr>
          <w:noProof/>
          <w:lang w:val="en-IE"/>
        </w:rPr>
      </w:pPr>
      <w:r w:rsidRPr="003B11BD">
        <w:rPr>
          <w:noProof/>
          <w:lang w:val="en-IE"/>
        </w:rPr>
        <w:t>The first shipment of the Apotex drug was sent to Rwanda in September 2008</w:t>
      </w:r>
      <w:r w:rsidRPr="003B11BD">
        <w:rPr>
          <w:noProof/>
          <w:vertAlign w:val="superscript"/>
          <w:lang w:val="en-IE"/>
        </w:rPr>
        <w:footnoteReference w:id="186"/>
      </w:r>
      <w:r w:rsidRPr="003B11BD">
        <w:rPr>
          <w:noProof/>
          <w:lang w:val="en-IE"/>
        </w:rPr>
        <w:t xml:space="preserve">. However, </w:t>
      </w:r>
      <w:r w:rsidR="003E5B76" w:rsidRPr="003B11BD">
        <w:rPr>
          <w:noProof/>
          <w:lang w:val="en-IE"/>
        </w:rPr>
        <w:t xml:space="preserve">it appears that, </w:t>
      </w:r>
      <w:r w:rsidRPr="003B11BD">
        <w:rPr>
          <w:noProof/>
          <w:lang w:val="en-IE"/>
        </w:rPr>
        <w:t>by the time the first shipment of Apo-TriAvir arrived to Rwanda, a generic product made by a Chinese manufacturer was already on the market.</w:t>
      </w:r>
    </w:p>
    <w:p w14:paraId="233F5423" w14:textId="175AB6FE" w:rsidR="00717197" w:rsidRPr="003B11BD" w:rsidRDefault="00CF1B7B" w:rsidP="00815724">
      <w:pPr>
        <w:rPr>
          <w:noProof/>
          <w:lang w:val="en-IE"/>
        </w:rPr>
      </w:pPr>
      <w:r w:rsidRPr="003B11BD">
        <w:rPr>
          <w:noProof/>
          <w:lang w:val="en-IE"/>
        </w:rPr>
        <w:t>Although the export of Apo-TriAvir is the first and only fully ex</w:t>
      </w:r>
      <w:r w:rsidR="00C905A4" w:rsidRPr="003B11BD">
        <w:rPr>
          <w:noProof/>
          <w:lang w:val="en-IE"/>
        </w:rPr>
        <w:t xml:space="preserve">ecuted case of </w:t>
      </w:r>
      <w:r w:rsidR="00A16682" w:rsidRPr="003B11BD">
        <w:rPr>
          <w:noProof/>
          <w:lang w:val="en-IE"/>
        </w:rPr>
        <w:t xml:space="preserve">compulsory licensing </w:t>
      </w:r>
      <w:r w:rsidR="00C905A4" w:rsidRPr="003B11BD">
        <w:rPr>
          <w:noProof/>
          <w:lang w:val="en-IE"/>
        </w:rPr>
        <w:t>under Art. 31</w:t>
      </w:r>
      <w:r w:rsidRPr="003B11BD">
        <w:rPr>
          <w:noProof/>
          <w:lang w:val="en-IE"/>
        </w:rPr>
        <w:t xml:space="preserve">bis, all parties involved in the procedure criticized the </w:t>
      </w:r>
      <w:r w:rsidR="00100BD3" w:rsidRPr="003B11BD">
        <w:rPr>
          <w:noProof/>
          <w:lang w:val="en-IE"/>
        </w:rPr>
        <w:t xml:space="preserve">Canadian </w:t>
      </w:r>
      <w:r w:rsidR="00A16682" w:rsidRPr="003B11BD">
        <w:rPr>
          <w:noProof/>
          <w:lang w:val="en-IE"/>
        </w:rPr>
        <w:t xml:space="preserve">compulsory licensing </w:t>
      </w:r>
      <w:r w:rsidR="00100BD3" w:rsidRPr="003B11BD">
        <w:rPr>
          <w:noProof/>
          <w:lang w:val="en-IE"/>
        </w:rPr>
        <w:t xml:space="preserve">law </w:t>
      </w:r>
      <w:r w:rsidRPr="003B11BD">
        <w:rPr>
          <w:noProof/>
          <w:lang w:val="en-IE"/>
        </w:rPr>
        <w:t>and deemed it “unworkable”</w:t>
      </w:r>
      <w:r w:rsidRPr="003B11BD">
        <w:rPr>
          <w:noProof/>
          <w:vertAlign w:val="superscript"/>
          <w:lang w:val="en-IE"/>
        </w:rPr>
        <w:footnoteReference w:id="187"/>
      </w:r>
      <w:r w:rsidRPr="003B11BD">
        <w:rPr>
          <w:noProof/>
          <w:lang w:val="en-IE"/>
        </w:rPr>
        <w:t xml:space="preserve">. In their review of the </w:t>
      </w:r>
      <w:r w:rsidR="00100BD3" w:rsidRPr="003B11BD">
        <w:rPr>
          <w:noProof/>
          <w:lang w:val="en-IE"/>
        </w:rPr>
        <w:t xml:space="preserve">Canadian </w:t>
      </w:r>
      <w:r w:rsidR="00A16682" w:rsidRPr="003B11BD">
        <w:rPr>
          <w:noProof/>
          <w:lang w:val="en-IE"/>
        </w:rPr>
        <w:t xml:space="preserve">compulsory licensing </w:t>
      </w:r>
      <w:r w:rsidR="00100BD3" w:rsidRPr="003B11BD">
        <w:rPr>
          <w:noProof/>
          <w:lang w:val="en-IE"/>
        </w:rPr>
        <w:t xml:space="preserve">law </w:t>
      </w:r>
      <w:r w:rsidRPr="003B11BD">
        <w:rPr>
          <w:noProof/>
          <w:lang w:val="en-IE"/>
        </w:rPr>
        <w:t xml:space="preserve">submitted to the Government of Canada, Médecins Sans Frontières criticized the process provided for in the </w:t>
      </w:r>
      <w:r w:rsidR="00100BD3" w:rsidRPr="003B11BD">
        <w:rPr>
          <w:noProof/>
          <w:lang w:val="en-IE"/>
        </w:rPr>
        <w:t xml:space="preserve">Canadian </w:t>
      </w:r>
      <w:r w:rsidR="00A16682" w:rsidRPr="003B11BD">
        <w:rPr>
          <w:noProof/>
          <w:lang w:val="en-IE"/>
        </w:rPr>
        <w:t xml:space="preserve">compulsory licensing </w:t>
      </w:r>
      <w:r w:rsidR="00100BD3" w:rsidRPr="003B11BD">
        <w:rPr>
          <w:noProof/>
          <w:lang w:val="en-IE"/>
        </w:rPr>
        <w:t xml:space="preserve">law </w:t>
      </w:r>
      <w:r w:rsidRPr="003B11BD">
        <w:rPr>
          <w:noProof/>
          <w:lang w:val="en-IE"/>
        </w:rPr>
        <w:t>as being onerous and unnecessarily hindered by Health Canada’s approval for eligibility under the regime</w:t>
      </w:r>
      <w:r w:rsidRPr="003B11BD">
        <w:rPr>
          <w:noProof/>
          <w:vertAlign w:val="superscript"/>
          <w:lang w:val="en-IE"/>
        </w:rPr>
        <w:footnoteReference w:id="188"/>
      </w:r>
      <w:r w:rsidRPr="003B11BD">
        <w:rPr>
          <w:noProof/>
          <w:lang w:val="en-IE"/>
        </w:rPr>
        <w:t xml:space="preserve">. A key criticized element is the timeframe in the Rwandan case expanding over four and a half years before the first shipment was ever made. Upon completion of the application, the manufacturing company in Canada declared that they would not go through the </w:t>
      </w:r>
      <w:r w:rsidR="00100BD3" w:rsidRPr="003B11BD">
        <w:rPr>
          <w:noProof/>
          <w:lang w:val="en-IE"/>
        </w:rPr>
        <w:t xml:space="preserve">Canadian </w:t>
      </w:r>
      <w:r w:rsidR="00A16682" w:rsidRPr="003B11BD">
        <w:rPr>
          <w:noProof/>
          <w:lang w:val="en-IE"/>
        </w:rPr>
        <w:t xml:space="preserve">compulsory licensing </w:t>
      </w:r>
      <w:r w:rsidR="00100BD3" w:rsidRPr="003B11BD">
        <w:rPr>
          <w:noProof/>
          <w:lang w:val="en-IE"/>
        </w:rPr>
        <w:t xml:space="preserve">law </w:t>
      </w:r>
      <w:r w:rsidRPr="003B11BD">
        <w:rPr>
          <w:noProof/>
          <w:lang w:val="en-IE"/>
        </w:rPr>
        <w:t>process again unless it were simplified</w:t>
      </w:r>
      <w:r w:rsidR="00560640" w:rsidRPr="003B11BD">
        <w:rPr>
          <w:rStyle w:val="FootnoteReference"/>
          <w:noProof/>
          <w:lang w:val="en-IE"/>
        </w:rPr>
        <w:footnoteReference w:id="189"/>
      </w:r>
      <w:r w:rsidR="00100BD3" w:rsidRPr="003B11BD">
        <w:rPr>
          <w:noProof/>
          <w:lang w:val="en-IE"/>
        </w:rPr>
        <w:t>.</w:t>
      </w:r>
      <w:r w:rsidR="00957C2F" w:rsidRPr="003B11BD">
        <w:rPr>
          <w:noProof/>
          <w:lang w:val="en-IE"/>
        </w:rPr>
        <w:t xml:space="preserve"> </w:t>
      </w:r>
      <w:r w:rsidRPr="003B11BD">
        <w:rPr>
          <w:noProof/>
          <w:lang w:val="en-IE"/>
        </w:rPr>
        <w:t>The delay could be explained by the implication of Health Canada and the Canadian Intellectual Property Office as evidenced by the process map below</w:t>
      </w:r>
      <w:r w:rsidR="00717197" w:rsidRPr="003B11BD">
        <w:rPr>
          <w:noProof/>
          <w:lang w:val="en-IE"/>
        </w:rPr>
        <w:t xml:space="preserve"> (</w:t>
      </w:r>
      <w:r w:rsidR="00BB7A87" w:rsidRPr="003B11BD">
        <w:rPr>
          <w:noProof/>
          <w:lang w:val="en-IE"/>
        </w:rPr>
        <w:fldChar w:fldCharType="begin"/>
      </w:r>
      <w:r w:rsidR="00BB7A87" w:rsidRPr="003B11BD">
        <w:rPr>
          <w:noProof/>
          <w:lang w:val="en-IE"/>
        </w:rPr>
        <w:instrText xml:space="preserve"> REF _Ref121738408 \h </w:instrText>
      </w:r>
      <w:r w:rsidR="0010202B" w:rsidRPr="003B11BD">
        <w:rPr>
          <w:noProof/>
          <w:lang w:val="en-IE"/>
        </w:rPr>
        <w:instrText xml:space="preserve"> \* MERGEFORMAT </w:instrText>
      </w:r>
      <w:r w:rsidR="00BB7A87" w:rsidRPr="003B11BD">
        <w:rPr>
          <w:noProof/>
          <w:lang w:val="en-IE"/>
        </w:rPr>
      </w:r>
      <w:r w:rsidR="00BB7A87" w:rsidRPr="003B11BD">
        <w:rPr>
          <w:noProof/>
          <w:lang w:val="en-IE"/>
        </w:rPr>
        <w:fldChar w:fldCharType="separate"/>
      </w:r>
      <w:r w:rsidR="00C6592A" w:rsidRPr="003B11BD">
        <w:rPr>
          <w:noProof/>
          <w:lang w:val="en-IE"/>
        </w:rPr>
        <w:t xml:space="preserve">Figure </w:t>
      </w:r>
      <w:r w:rsidR="00C6592A">
        <w:rPr>
          <w:noProof/>
          <w:lang w:val="en-IE"/>
        </w:rPr>
        <w:t>14</w:t>
      </w:r>
      <w:r w:rsidR="00BB7A87" w:rsidRPr="003B11BD">
        <w:rPr>
          <w:noProof/>
          <w:lang w:val="en-IE"/>
        </w:rPr>
        <w:fldChar w:fldCharType="end"/>
      </w:r>
      <w:r w:rsidR="00717197" w:rsidRPr="003B11BD">
        <w:rPr>
          <w:noProof/>
          <w:lang w:val="en-IE"/>
        </w:rPr>
        <w:t>).</w:t>
      </w:r>
    </w:p>
    <w:p w14:paraId="7DB7F559" w14:textId="686CF4C1" w:rsidR="009B3E08" w:rsidRPr="003B11BD" w:rsidRDefault="00717197" w:rsidP="00815724">
      <w:pPr>
        <w:pStyle w:val="Caption"/>
        <w:keepNext/>
        <w:rPr>
          <w:noProof/>
          <w:sz w:val="24"/>
          <w:szCs w:val="24"/>
          <w:lang w:val="en-IE"/>
        </w:rPr>
      </w:pPr>
      <w:bookmarkStart w:id="1140" w:name="_Ref121738408"/>
      <w:r w:rsidRPr="003B11BD">
        <w:rPr>
          <w:noProof/>
          <w:lang w:val="en-IE"/>
        </w:rPr>
        <w:t xml:space="preserve">Figure </w:t>
      </w:r>
      <w:r w:rsidR="00C6592A">
        <w:rPr>
          <w:noProof/>
          <w:lang w:val="en-IE"/>
        </w:rPr>
        <w:t>14</w:t>
      </w:r>
      <w:bookmarkEnd w:id="1140"/>
      <w:r w:rsidR="009B3E08" w:rsidRPr="003B11BD">
        <w:rPr>
          <w:noProof/>
          <w:lang w:val="en-IE"/>
        </w:rPr>
        <w:t>: Access to Medicine Process - Health Canada and the Canadian Intellectual Property Office</w:t>
      </w:r>
    </w:p>
    <w:p w14:paraId="2709E2E5" w14:textId="4D49B56D" w:rsidR="00CF1B7B" w:rsidRPr="003B11BD" w:rsidRDefault="00CF1B7B" w:rsidP="00717197">
      <w:pPr>
        <w:pStyle w:val="Caption"/>
        <w:rPr>
          <w:noProof/>
          <w:lang w:val="en-IE"/>
        </w:rPr>
      </w:pPr>
      <w:r w:rsidRPr="003B11BD">
        <w:rPr>
          <w:noProof/>
          <w:lang w:eastAsia="en-GB"/>
        </w:rPr>
        <w:drawing>
          <wp:inline distT="0" distB="0" distL="0" distR="0" wp14:anchorId="3E3810E5" wp14:editId="4855BFAE">
            <wp:extent cx="5140325" cy="1690487"/>
            <wp:effectExtent l="19050" t="0" r="22225" b="2413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80B23CE" w14:textId="481950A5" w:rsidR="00BB7A87" w:rsidRPr="003B11BD" w:rsidRDefault="00BB7A87" w:rsidP="00BB7A87">
      <w:pPr>
        <w:rPr>
          <w:noProof/>
          <w:lang w:val="en-IE"/>
        </w:rPr>
      </w:pPr>
      <w:r w:rsidRPr="003B11BD">
        <w:rPr>
          <w:noProof/>
          <w:color w:val="E5B8B7" w:themeColor="accent2" w:themeTint="66"/>
          <w:lang w:eastAsia="en-GB"/>
        </w:rPr>
        <mc:AlternateContent>
          <mc:Choice Requires="wps">
            <w:drawing>
              <wp:inline distT="0" distB="0" distL="0" distR="0" wp14:anchorId="2AA4BCFC" wp14:editId="324FB424">
                <wp:extent cx="4198924" cy="299720"/>
                <wp:effectExtent l="0" t="0" r="11430"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924" cy="2997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56E211E" w14:textId="16A9557D" w:rsidR="00921FA3" w:rsidRPr="00BB7A87" w:rsidRDefault="00921FA3" w:rsidP="00BB7A87">
                            <w:pPr>
                              <w:rPr>
                                <w:rFonts w:ascii="Arial Black" w:hAnsi="Arial Black"/>
                                <w:color w:val="4F81BD" w:themeColor="accent1"/>
                                <w:lang w:val="en-I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Wingdings 3" w:eastAsia="Wingdings 3" w:hAnsi="Wingdings 3" w:cs="Wingdings 3"/>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B7A87">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Access to </w:t>
                            </w:r>
                            <w:r>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BB7A87">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edicine </w:t>
                            </w:r>
                            <w:r>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Pr="00BB7A87">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rocess initiated</w:t>
                            </w:r>
                          </w:p>
                        </w:txbxContent>
                      </wps:txbx>
                      <wps:bodyPr rot="0" vert="horz" wrap="square" lIns="91440" tIns="45720" rIns="91440" bIns="45720" anchor="t" anchorCtr="0">
                        <a:noAutofit/>
                      </wps:bodyPr>
                    </wps:wsp>
                  </a:graphicData>
                </a:graphic>
              </wp:inline>
            </w:drawing>
          </mc:Choice>
          <mc:Fallback>
            <w:pict>
              <v:shapetype w14:anchorId="2AA4BCFC" id="_x0000_t202" coordsize="21600,21600" o:spt="202" path="m,l,21600r21600,l21600,xe">
                <v:stroke joinstyle="miter"/>
                <v:path gradientshapeok="t" o:connecttype="rect"/>
              </v:shapetype>
              <v:shape id="Text Box 2" o:spid="_x0000_s1026" type="#_x0000_t202" style="width:330.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" fillcolor="white [3201]" strokecolor="#4f81bd [3204]" strokeweight="2pt">
                <v:textbox>
                  <w:txbxContent>
                    <w:p w14:paraId="756E211E" w14:textId="16A9557D" w:rsidR="00921FA3" w:rsidRPr="00BB7A87" w:rsidRDefault="00921FA3" w:rsidP="00BB7A87">
                      <w:pPr>
                        <w:rPr>
                          <w:rFonts w:ascii="Arial Black" w:hAnsi="Arial Black"/>
                          <w:color w:val="4F81BD" w:themeColor="accent1"/>
                          <w:lang w:val="en-I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Wingdings 3" w:eastAsia="Wingdings 3" w:hAnsi="Wingdings 3" w:cs="Wingdings 3"/>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B7A87">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Access to </w:t>
                      </w:r>
                      <w:r>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BB7A87">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edicine </w:t>
                      </w:r>
                      <w:r>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Pr="00BB7A87">
                        <w:rPr>
                          <w:rFonts w:ascii="Arial Black" w:hAnsi="Arial Black"/>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rocess initiated</w:t>
                      </w:r>
                    </w:p>
                  </w:txbxContent>
                </v:textbox>
                <w10:anchorlock/>
              </v:shape>
            </w:pict>
          </mc:Fallback>
        </mc:AlternateContent>
      </w:r>
    </w:p>
    <w:p w14:paraId="08524212" w14:textId="4626DDE3" w:rsidR="00CF1B7B" w:rsidRPr="003B11BD" w:rsidRDefault="00CF1B7B" w:rsidP="00CF1B7B">
      <w:pPr>
        <w:rPr>
          <w:noProof/>
          <w:color w:val="E5B8B7" w:themeColor="accent2" w:themeTint="66"/>
          <w:lang w:val="en-IE"/>
        </w:rPr>
      </w:pPr>
      <w:r w:rsidRPr="003B11BD">
        <w:rPr>
          <w:noProof/>
          <w:color w:val="C0504D" w:themeColor="accent2"/>
          <w:lang w:eastAsia="en-GB"/>
        </w:rPr>
        <w:drawing>
          <wp:inline distT="0" distB="0" distL="0" distR="0" wp14:anchorId="27FD03E0" wp14:editId="3A3BFF2C">
            <wp:extent cx="5478145" cy="1544490"/>
            <wp:effectExtent l="38100" t="0" r="27305" b="1778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56BD5DC4" w14:textId="2DD094C2" w:rsidR="00CF1B7B" w:rsidRPr="003B11BD" w:rsidRDefault="00717197" w:rsidP="00717197">
      <w:pPr>
        <w:pStyle w:val="Caption"/>
        <w:rPr>
          <w:noProof/>
          <w:lang w:val="en-IE"/>
        </w:rPr>
      </w:pPr>
      <w:r w:rsidRPr="003B11BD">
        <w:rPr>
          <w:noProof/>
          <w:lang w:val="en-IE"/>
        </w:rPr>
        <w:t xml:space="preserve">Source: </w:t>
      </w:r>
      <w:r w:rsidR="00C905A4" w:rsidRPr="003B11BD">
        <w:rPr>
          <w:noProof/>
          <w:lang w:val="en-IE"/>
        </w:rPr>
        <w:t xml:space="preserve">CEIPI(2023), page </w:t>
      </w:r>
      <w:r w:rsidR="000C07B9" w:rsidRPr="003B11BD">
        <w:rPr>
          <w:noProof/>
          <w:lang w:val="en-IE"/>
        </w:rPr>
        <w:t>66</w:t>
      </w:r>
      <w:r w:rsidR="00202498" w:rsidRPr="003B11BD">
        <w:rPr>
          <w:noProof/>
          <w:lang w:val="en-IE"/>
        </w:rPr>
        <w:t>.</w:t>
      </w:r>
    </w:p>
    <w:p w14:paraId="65135D7E" w14:textId="1BE834AB" w:rsidR="004A2832" w:rsidRPr="003B11BD" w:rsidRDefault="00CF1B7B" w:rsidP="00CF1B7B">
      <w:pPr>
        <w:rPr>
          <w:noProof/>
          <w:lang w:val="en-IE"/>
        </w:rPr>
      </w:pPr>
      <w:r w:rsidRPr="003B11BD">
        <w:rPr>
          <w:noProof/>
          <w:lang w:val="en-IE"/>
        </w:rPr>
        <w:t xml:space="preserve">The </w:t>
      </w:r>
      <w:r w:rsidR="00100BD3" w:rsidRPr="003B11BD">
        <w:rPr>
          <w:noProof/>
          <w:lang w:val="en-IE"/>
        </w:rPr>
        <w:t xml:space="preserve">Canadian </w:t>
      </w:r>
      <w:r w:rsidR="00A16682" w:rsidRPr="003B11BD">
        <w:rPr>
          <w:noProof/>
          <w:lang w:val="en-IE"/>
        </w:rPr>
        <w:t xml:space="preserve">compulsory licensing </w:t>
      </w:r>
      <w:r w:rsidR="00100BD3" w:rsidRPr="003B11BD">
        <w:rPr>
          <w:noProof/>
          <w:lang w:val="en-IE"/>
        </w:rPr>
        <w:t xml:space="preserve">law </w:t>
      </w:r>
      <w:r w:rsidRPr="003B11BD">
        <w:rPr>
          <w:noProof/>
          <w:lang w:val="en-IE"/>
        </w:rPr>
        <w:t xml:space="preserve">has been amended several times since the </w:t>
      </w:r>
      <w:r w:rsidRPr="003B11BD">
        <w:rPr>
          <w:i/>
          <w:iCs/>
          <w:noProof/>
          <w:lang w:val="en-IE"/>
        </w:rPr>
        <w:t>Médecins Sans Frontières</w:t>
      </w:r>
      <w:r w:rsidRPr="003B11BD">
        <w:rPr>
          <w:noProof/>
          <w:lang w:val="en-IE"/>
        </w:rPr>
        <w:t xml:space="preserve"> initiative, but it appears it has not been used since the Rwandan case, as demonstrated by Health Canada’s</w:t>
      </w:r>
      <w:r w:rsidRPr="003B11BD">
        <w:rPr>
          <w:noProof/>
          <w:vertAlign w:val="superscript"/>
          <w:lang w:val="en-IE"/>
        </w:rPr>
        <w:footnoteReference w:id="190"/>
      </w:r>
      <w:r w:rsidRPr="003B11BD">
        <w:rPr>
          <w:noProof/>
          <w:lang w:val="en-IE"/>
        </w:rPr>
        <w:t xml:space="preserve"> most recent reports as well as the WHO, WIPO and WTO 2020 study on “Promoting Access to Medical Technologies and Innovation”</w:t>
      </w:r>
      <w:r w:rsidRPr="003B11BD">
        <w:rPr>
          <w:noProof/>
          <w:vertAlign w:val="superscript"/>
          <w:lang w:val="en-IE"/>
        </w:rPr>
        <w:footnoteReference w:id="191"/>
      </w:r>
      <w:r w:rsidRPr="003B11BD">
        <w:rPr>
          <w:noProof/>
          <w:lang w:val="en-IE"/>
        </w:rPr>
        <w:t>.</w:t>
      </w:r>
    </w:p>
    <w:p w14:paraId="246C1288" w14:textId="02E2EED4" w:rsidR="00957C2F" w:rsidRDefault="00957C2F" w:rsidP="00256829">
      <w:pPr>
        <w:spacing w:after="200" w:line="276" w:lineRule="auto"/>
        <w:jc w:val="left"/>
        <w:rPr>
          <w:noProof/>
          <w:lang w:val="en-IE"/>
        </w:rPr>
      </w:pPr>
    </w:p>
    <w:p w14:paraId="7A56D591" w14:textId="1140DBA0" w:rsidR="004003BB" w:rsidRPr="003B11BD" w:rsidRDefault="005A55D4" w:rsidP="00FC6D56">
      <w:pPr>
        <w:pStyle w:val="AnnexTitle"/>
        <w:rPr>
          <w:noProof/>
        </w:rPr>
      </w:pPr>
      <w:bookmarkStart w:id="1141" w:name="_Toc120731254"/>
      <w:bookmarkStart w:id="1142" w:name="_Toc121386416"/>
      <w:bookmarkStart w:id="1143" w:name="_Toc121489640"/>
      <w:bookmarkStart w:id="1144" w:name="_Toc121496400"/>
      <w:bookmarkStart w:id="1145" w:name="_Toc121748053"/>
      <w:bookmarkStart w:id="1146" w:name="_Toc133435406"/>
      <w:r w:rsidRPr="003B11BD">
        <w:rPr>
          <w:noProof/>
        </w:rPr>
        <w:t xml:space="preserve">Annex </w:t>
      </w:r>
      <w:r w:rsidR="009311C2" w:rsidRPr="003B11BD">
        <w:rPr>
          <w:noProof/>
        </w:rPr>
        <w:t>6:</w:t>
      </w:r>
      <w:r w:rsidR="004003BB" w:rsidRPr="003B11BD">
        <w:rPr>
          <w:noProof/>
        </w:rPr>
        <w:t xml:space="preserve"> Supplementary evidence</w:t>
      </w:r>
      <w:bookmarkEnd w:id="1141"/>
      <w:bookmarkEnd w:id="1142"/>
      <w:bookmarkEnd w:id="1143"/>
      <w:bookmarkEnd w:id="1144"/>
      <w:bookmarkEnd w:id="1145"/>
      <w:bookmarkEnd w:id="1146"/>
    </w:p>
    <w:p w14:paraId="47C35923" w14:textId="63D30B77" w:rsidR="00656999" w:rsidRPr="003B11BD" w:rsidRDefault="00656999" w:rsidP="005E35C7">
      <w:pPr>
        <w:pStyle w:val="annexsubsection"/>
      </w:pPr>
      <w:r w:rsidRPr="003B11BD">
        <w:t xml:space="preserve">Illustration of the need for several national </w:t>
      </w:r>
      <w:r w:rsidR="000B5D2D" w:rsidRPr="003B11BD">
        <w:t xml:space="preserve">compulsory licences </w:t>
      </w:r>
      <w:r w:rsidRPr="003B11BD">
        <w:t>in case of EU cross-border crisis</w:t>
      </w:r>
    </w:p>
    <w:p w14:paraId="0D7DCF33" w14:textId="69176F83" w:rsidR="009C26B7" w:rsidRPr="003B11BD" w:rsidRDefault="009C26B7" w:rsidP="009C26B7">
      <w:pPr>
        <w:rPr>
          <w:noProof/>
          <w:lang w:val="en-IE"/>
        </w:rPr>
      </w:pPr>
      <w:r w:rsidRPr="003B11BD">
        <w:rPr>
          <w:noProof/>
          <w:lang w:val="en-IE"/>
        </w:rPr>
        <w:t>Figure</w:t>
      </w:r>
      <w:r w:rsidR="00202498" w:rsidRPr="003B11BD">
        <w:rPr>
          <w:noProof/>
          <w:lang w:val="en-IE"/>
        </w:rPr>
        <w:t xml:space="preserve"> 15 and Figure 16</w:t>
      </w:r>
      <w:r w:rsidRPr="003B11BD">
        <w:rPr>
          <w:noProof/>
          <w:lang w:val="en-IE"/>
        </w:rPr>
        <w:t xml:space="preserve"> below are provided to illustrate the need for several national </w:t>
      </w:r>
      <w:r w:rsidR="000B5D2D" w:rsidRPr="003B11BD">
        <w:rPr>
          <w:noProof/>
          <w:lang w:val="en-IE"/>
        </w:rPr>
        <w:t>compulsory licences</w:t>
      </w:r>
      <w:r w:rsidRPr="003B11BD">
        <w:rPr>
          <w:noProof/>
          <w:lang w:val="en-IE"/>
        </w:rPr>
        <w:t xml:space="preserve"> </w:t>
      </w:r>
      <w:r w:rsidR="0E98E6E6" w:rsidRPr="003B11BD">
        <w:rPr>
          <w:noProof/>
          <w:lang w:val="en-IE"/>
        </w:rPr>
        <w:t>i</w:t>
      </w:r>
      <w:r w:rsidR="4BD2F65E" w:rsidRPr="003B11BD">
        <w:rPr>
          <w:noProof/>
          <w:lang w:val="en-IE"/>
        </w:rPr>
        <w:t>n</w:t>
      </w:r>
      <w:r w:rsidRPr="003B11BD">
        <w:rPr>
          <w:noProof/>
          <w:lang w:val="en-IE"/>
        </w:rPr>
        <w:t xml:space="preserve"> case of </w:t>
      </w:r>
      <w:r w:rsidR="1C0AA79D" w:rsidRPr="003B11BD">
        <w:rPr>
          <w:noProof/>
          <w:lang w:val="en-IE"/>
        </w:rPr>
        <w:t xml:space="preserve">EU </w:t>
      </w:r>
      <w:r w:rsidRPr="003B11BD">
        <w:rPr>
          <w:noProof/>
          <w:lang w:val="en-IE"/>
        </w:rPr>
        <w:t xml:space="preserve">cross-border crisis affecting </w:t>
      </w:r>
      <w:r w:rsidR="009140D6" w:rsidRPr="003B11BD">
        <w:rPr>
          <w:noProof/>
          <w:lang w:val="en-IE"/>
        </w:rPr>
        <w:t xml:space="preserve">the </w:t>
      </w:r>
      <w:r w:rsidR="00D43F3F" w:rsidRPr="003B11BD">
        <w:rPr>
          <w:noProof/>
          <w:lang w:val="en-IE"/>
        </w:rPr>
        <w:t>Single Market</w:t>
      </w:r>
      <w:r w:rsidRPr="003B11BD">
        <w:rPr>
          <w:noProof/>
          <w:lang w:val="en-IE"/>
        </w:rPr>
        <w:t>, especially with regards to the need o</w:t>
      </w:r>
      <w:r w:rsidR="000A0502" w:rsidRPr="003B11BD">
        <w:rPr>
          <w:noProof/>
          <w:lang w:val="en-IE"/>
        </w:rPr>
        <w:t>f issuing corresponding</w:t>
      </w:r>
      <w:r w:rsidRPr="003B11BD">
        <w:rPr>
          <w:noProof/>
          <w:lang w:val="en-IE"/>
        </w:rPr>
        <w:t xml:space="preserve"> licences for all partners involved in the manufacturing process</w:t>
      </w:r>
      <w:r w:rsidR="00486A8F" w:rsidRPr="003B11BD">
        <w:rPr>
          <w:noProof/>
          <w:lang w:val="en-IE"/>
        </w:rPr>
        <w:t>,</w:t>
      </w:r>
      <w:r w:rsidRPr="003B11BD">
        <w:rPr>
          <w:noProof/>
          <w:lang w:val="en-IE"/>
        </w:rPr>
        <w:t xml:space="preserve"> as well as in the final use. </w:t>
      </w:r>
      <w:r w:rsidR="00202498" w:rsidRPr="003B11BD">
        <w:rPr>
          <w:noProof/>
          <w:lang w:val="en-IE"/>
        </w:rPr>
        <w:t>In addition, national compulsory licences remain applicable to the national territory, meaning that the goods produced under a compulsory licence cannot be exported to another Member State, or only in small quantities</w:t>
      </w:r>
    </w:p>
    <w:p w14:paraId="29DD3D12" w14:textId="28B58B82" w:rsidR="007E21F6" w:rsidRPr="003B11BD" w:rsidRDefault="007E21F6" w:rsidP="007E21F6">
      <w:pPr>
        <w:pStyle w:val="Caption"/>
        <w:keepNext/>
        <w:rPr>
          <w:noProof/>
          <w:lang w:val="en-IE"/>
        </w:rPr>
      </w:pPr>
      <w:bookmarkStart w:id="1147" w:name="_Ref121737112"/>
      <w:r w:rsidRPr="003B11BD">
        <w:rPr>
          <w:noProof/>
          <w:lang w:val="en-IE"/>
        </w:rPr>
        <w:t xml:space="preserve">Figure </w:t>
      </w:r>
      <w:r w:rsidR="00C6592A">
        <w:rPr>
          <w:noProof/>
          <w:lang w:val="en-IE"/>
        </w:rPr>
        <w:t>15</w:t>
      </w:r>
      <w:bookmarkEnd w:id="1147"/>
      <w:r w:rsidRPr="003B11BD">
        <w:rPr>
          <w:noProof/>
          <w:lang w:val="en-IE"/>
        </w:rPr>
        <w:t xml:space="preserve">: National </w:t>
      </w:r>
      <w:r w:rsidR="00A16682" w:rsidRPr="003B11BD">
        <w:rPr>
          <w:noProof/>
          <w:lang w:val="en-IE"/>
        </w:rPr>
        <w:t xml:space="preserve">compulsory licensing </w:t>
      </w:r>
      <w:r w:rsidRPr="003B11BD">
        <w:rPr>
          <w:noProof/>
          <w:lang w:val="en-IE"/>
        </w:rPr>
        <w:t>systems in practice in case of a patented product with cross-border value chains – example</w:t>
      </w:r>
    </w:p>
    <w:p w14:paraId="277C9CF4" w14:textId="7F82E026" w:rsidR="007E21F6" w:rsidRPr="003B11BD" w:rsidRDefault="007E21F6" w:rsidP="007E21F6">
      <w:pPr>
        <w:spacing w:before="60" w:after="60"/>
        <w:jc w:val="center"/>
        <w:rPr>
          <w:noProof/>
          <w:lang w:val="en-IE"/>
        </w:rPr>
      </w:pPr>
      <w:r w:rsidRPr="003B11BD">
        <w:rPr>
          <w:noProof/>
          <w:lang w:eastAsia="en-GB"/>
        </w:rPr>
        <w:drawing>
          <wp:inline distT="0" distB="0" distL="0" distR="0" wp14:anchorId="335BBAAE" wp14:editId="0338D68C">
            <wp:extent cx="3112477" cy="2687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53857" t="14243" r="23735" b="16942"/>
                    <a:stretch/>
                  </pic:blipFill>
                  <pic:spPr bwMode="auto">
                    <a:xfrm>
                      <a:off x="0" y="0"/>
                      <a:ext cx="3136700" cy="2708908"/>
                    </a:xfrm>
                    <a:prstGeom prst="rect">
                      <a:avLst/>
                    </a:prstGeom>
                    <a:ln>
                      <a:noFill/>
                    </a:ln>
                    <a:extLst>
                      <a:ext uri="{53640926-AAD7-44D8-BBD7-CCE9431645EC}">
                        <a14:shadowObscured xmlns:a14="http://schemas.microsoft.com/office/drawing/2010/main"/>
                      </a:ext>
                    </a:extLst>
                  </pic:spPr>
                </pic:pic>
              </a:graphicData>
            </a:graphic>
          </wp:inline>
        </w:drawing>
      </w:r>
    </w:p>
    <w:p w14:paraId="729E0611" w14:textId="13D84519" w:rsidR="007E21F6" w:rsidRPr="003B11BD" w:rsidRDefault="000211EC" w:rsidP="007E21F6">
      <w:pPr>
        <w:pStyle w:val="Caption"/>
        <w:rPr>
          <w:noProof/>
          <w:lang w:val="en-IE"/>
        </w:rPr>
      </w:pPr>
      <w:r w:rsidRPr="003B11BD">
        <w:rPr>
          <w:noProof/>
          <w:lang w:val="en-IE"/>
        </w:rPr>
        <w:t>Source: o</w:t>
      </w:r>
      <w:r w:rsidR="007E21F6" w:rsidRPr="003B11BD">
        <w:rPr>
          <w:noProof/>
          <w:lang w:val="en-IE"/>
        </w:rPr>
        <w:t xml:space="preserve">wn </w:t>
      </w:r>
      <w:r w:rsidR="00CD0EC7" w:rsidRPr="003B11BD">
        <w:rPr>
          <w:noProof/>
          <w:lang w:val="en-IE"/>
        </w:rPr>
        <w:t>elaborations</w:t>
      </w:r>
      <w:r w:rsidR="007E21F6" w:rsidRPr="003B11BD">
        <w:rPr>
          <w:noProof/>
          <w:lang w:val="en-IE"/>
        </w:rPr>
        <w:t>.</w:t>
      </w:r>
    </w:p>
    <w:p w14:paraId="4DECFC6B" w14:textId="74F748F5" w:rsidR="00D8438B" w:rsidRPr="003B11BD" w:rsidRDefault="00D8438B" w:rsidP="00D8438B">
      <w:pPr>
        <w:pStyle w:val="Caption"/>
        <w:keepNext/>
        <w:rPr>
          <w:noProof/>
          <w:lang w:val="en-IE"/>
        </w:rPr>
      </w:pPr>
      <w:bookmarkStart w:id="1148" w:name="_Ref121737123"/>
      <w:r w:rsidRPr="003B11BD">
        <w:rPr>
          <w:noProof/>
          <w:lang w:val="en-IE"/>
        </w:rPr>
        <w:t xml:space="preserve">Figure </w:t>
      </w:r>
      <w:r w:rsidR="00C6592A">
        <w:rPr>
          <w:noProof/>
          <w:lang w:val="en-IE"/>
        </w:rPr>
        <w:t>16</w:t>
      </w:r>
      <w:bookmarkEnd w:id="1148"/>
      <w:r w:rsidRPr="003B11BD">
        <w:rPr>
          <w:noProof/>
          <w:lang w:val="en-IE"/>
        </w:rPr>
        <w:t xml:space="preserve">: EU </w:t>
      </w:r>
      <w:r w:rsidR="00A16682" w:rsidRPr="003B11BD">
        <w:rPr>
          <w:noProof/>
          <w:lang w:val="en-IE"/>
        </w:rPr>
        <w:t xml:space="preserve">compulsory licensing </w:t>
      </w:r>
      <w:r w:rsidRPr="003B11BD">
        <w:rPr>
          <w:noProof/>
          <w:lang w:val="en-IE"/>
        </w:rPr>
        <w:t>system in practice in case of Member States wi</w:t>
      </w:r>
      <w:r w:rsidR="00202498" w:rsidRPr="003B11BD">
        <w:rPr>
          <w:noProof/>
          <w:lang w:val="en-IE"/>
        </w:rPr>
        <w:t>th export limitations – example</w:t>
      </w:r>
    </w:p>
    <w:p w14:paraId="179C7528" w14:textId="712D890C" w:rsidR="00D8438B" w:rsidRPr="003B11BD" w:rsidRDefault="00D8438B" w:rsidP="00441258">
      <w:pPr>
        <w:pStyle w:val="Caption"/>
        <w:jc w:val="center"/>
        <w:rPr>
          <w:noProof/>
          <w:lang w:val="en-IE"/>
        </w:rPr>
      </w:pPr>
      <w:r w:rsidRPr="003B11BD">
        <w:rPr>
          <w:noProof/>
          <w:lang w:eastAsia="en-GB"/>
        </w:rPr>
        <w:drawing>
          <wp:inline distT="0" distB="0" distL="0" distR="0" wp14:anchorId="10D56A5F" wp14:editId="77863120">
            <wp:extent cx="3429000" cy="16211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3293" t="25944" r="23400" b="34870"/>
                    <a:stretch/>
                  </pic:blipFill>
                  <pic:spPr bwMode="auto">
                    <a:xfrm>
                      <a:off x="0" y="0"/>
                      <a:ext cx="3448233" cy="1630271"/>
                    </a:xfrm>
                    <a:prstGeom prst="rect">
                      <a:avLst/>
                    </a:prstGeom>
                    <a:ln>
                      <a:noFill/>
                    </a:ln>
                    <a:extLst>
                      <a:ext uri="{53640926-AAD7-44D8-BBD7-CCE9431645EC}">
                        <a14:shadowObscured xmlns:a14="http://schemas.microsoft.com/office/drawing/2010/main"/>
                      </a:ext>
                    </a:extLst>
                  </pic:spPr>
                </pic:pic>
              </a:graphicData>
            </a:graphic>
          </wp:inline>
        </w:drawing>
      </w:r>
    </w:p>
    <w:p w14:paraId="4CED4CE7" w14:textId="12AF41F3" w:rsidR="007E21F6" w:rsidRPr="003B11BD" w:rsidRDefault="00D8438B" w:rsidP="00D8438B">
      <w:pPr>
        <w:pStyle w:val="Caption"/>
        <w:rPr>
          <w:noProof/>
          <w:lang w:val="en-IE"/>
        </w:rPr>
      </w:pPr>
      <w:r w:rsidRPr="003B11BD">
        <w:rPr>
          <w:noProof/>
          <w:lang w:val="en-IE"/>
        </w:rPr>
        <w:t>S</w:t>
      </w:r>
      <w:r w:rsidR="000211EC" w:rsidRPr="003B11BD">
        <w:rPr>
          <w:noProof/>
          <w:lang w:val="en-IE"/>
        </w:rPr>
        <w:t>ource: o</w:t>
      </w:r>
      <w:r w:rsidRPr="003B11BD">
        <w:rPr>
          <w:noProof/>
          <w:lang w:val="en-IE"/>
        </w:rPr>
        <w:t>wn elaborations.</w:t>
      </w:r>
    </w:p>
    <w:p w14:paraId="7EC45AFC" w14:textId="7B056CED" w:rsidR="000A3ADB" w:rsidRPr="003B11BD" w:rsidRDefault="000A3ADB" w:rsidP="000A3ADB">
      <w:pPr>
        <w:pStyle w:val="Caption"/>
        <w:keepNext/>
        <w:rPr>
          <w:noProof/>
          <w:lang w:val="en-IE"/>
        </w:rPr>
      </w:pPr>
      <w:bookmarkStart w:id="1149" w:name="_Ref120790897"/>
      <w:bookmarkStart w:id="1150" w:name="_Ref121735053"/>
      <w:r w:rsidRPr="003B11BD">
        <w:rPr>
          <w:noProof/>
          <w:lang w:val="en-IE"/>
        </w:rPr>
        <w:t xml:space="preserve">Figure </w:t>
      </w:r>
      <w:bookmarkEnd w:id="1149"/>
      <w:r w:rsidR="00C6592A">
        <w:rPr>
          <w:noProof/>
          <w:lang w:val="en-IE"/>
        </w:rPr>
        <w:t>17</w:t>
      </w:r>
      <w:bookmarkEnd w:id="1150"/>
      <w:r w:rsidRPr="003B11BD">
        <w:rPr>
          <w:noProof/>
          <w:lang w:val="en-IE"/>
        </w:rPr>
        <w:t>: Export of goods to other Member States, 2021, [EUR billion]</w:t>
      </w:r>
    </w:p>
    <w:p w14:paraId="4DE361E5" w14:textId="3E2DED53" w:rsidR="000A3ADB" w:rsidRPr="003B11BD" w:rsidRDefault="000A3ADB" w:rsidP="000A3ADB">
      <w:pPr>
        <w:pStyle w:val="Caption"/>
        <w:jc w:val="center"/>
        <w:rPr>
          <w:noProof/>
          <w:lang w:val="en-IE"/>
        </w:rPr>
      </w:pPr>
      <w:r w:rsidRPr="003B11BD">
        <w:rPr>
          <w:noProof/>
          <w:lang w:eastAsia="en-GB"/>
        </w:rPr>
        <w:drawing>
          <wp:inline distT="0" distB="0" distL="0" distR="0" wp14:anchorId="5EBCE357" wp14:editId="0F6A5667">
            <wp:extent cx="3398292" cy="2041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56021" cy="2076216"/>
                    </a:xfrm>
                    <a:prstGeom prst="rect">
                      <a:avLst/>
                    </a:prstGeom>
                    <a:noFill/>
                  </pic:spPr>
                </pic:pic>
              </a:graphicData>
            </a:graphic>
          </wp:inline>
        </w:drawing>
      </w:r>
    </w:p>
    <w:p w14:paraId="272F5AD8" w14:textId="723B3CB5" w:rsidR="000A3ADB" w:rsidRPr="00616500" w:rsidRDefault="000A3ADB" w:rsidP="000A3ADB">
      <w:pPr>
        <w:pStyle w:val="Caption"/>
        <w:rPr>
          <w:noProof/>
          <w:lang w:val="fr-BE"/>
        </w:rPr>
      </w:pPr>
      <w:r w:rsidRPr="00616500">
        <w:rPr>
          <w:noProof/>
          <w:lang w:val="fr-BE"/>
        </w:rPr>
        <w:t xml:space="preserve">Source: Eurostat - Comext DS-018995, </w:t>
      </w:r>
      <w:r w:rsidR="00E608CB" w:rsidRPr="00616500">
        <w:rPr>
          <w:noProof/>
          <w:lang w:val="fr-BE"/>
        </w:rPr>
        <w:t>https://ec.europa.eu/eurostat/statistics-explained/index.php?title=Intra-EU_trade_in_goods_-_main_features</w:t>
      </w:r>
    </w:p>
    <w:p w14:paraId="68A32F15" w14:textId="5B9038D2" w:rsidR="001A5EC3" w:rsidRPr="003B11BD" w:rsidRDefault="001A5EC3" w:rsidP="001A5EC3">
      <w:pPr>
        <w:pStyle w:val="Caption"/>
        <w:rPr>
          <w:noProof/>
          <w:lang w:val="en-IE"/>
        </w:rPr>
      </w:pPr>
      <w:r w:rsidRPr="003B11BD">
        <w:rPr>
          <w:noProof/>
          <w:lang w:val="en-IE"/>
        </w:rPr>
        <w:t xml:space="preserve">Table </w:t>
      </w:r>
      <w:r w:rsidR="00C6592A">
        <w:rPr>
          <w:noProof/>
          <w:lang w:val="en-IE"/>
        </w:rPr>
        <w:t>15</w:t>
      </w:r>
      <w:r w:rsidRPr="003B11BD">
        <w:rPr>
          <w:noProof/>
          <w:lang w:val="en-IE"/>
        </w:rPr>
        <w:t xml:space="preserve">: Are current national laws on compulsory licensing fit to tackle: </w:t>
      </w:r>
      <w:r w:rsidR="0022193E" w:rsidRPr="003B11BD">
        <w:rPr>
          <w:noProof/>
          <w:lang w:val="en-IE"/>
        </w:rPr>
        <w:t xml:space="preserve">national </w:t>
      </w:r>
      <w:r w:rsidRPr="003B11BD">
        <w:rPr>
          <w:noProof/>
          <w:lang w:val="en-IE"/>
        </w:rPr>
        <w:t>crisis?</w:t>
      </w:r>
    </w:p>
    <w:tbl>
      <w:tblPr>
        <w:tblW w:w="6749" w:type="dxa"/>
        <w:tblInd w:w="113" w:type="dxa"/>
        <w:tblLook w:val="04A0" w:firstRow="1" w:lastRow="0" w:firstColumn="1" w:lastColumn="0" w:noHBand="0" w:noVBand="1"/>
      </w:tblPr>
      <w:tblGrid>
        <w:gridCol w:w="4100"/>
        <w:gridCol w:w="640"/>
        <w:gridCol w:w="915"/>
        <w:gridCol w:w="640"/>
        <w:gridCol w:w="683"/>
      </w:tblGrid>
      <w:tr w:rsidR="001924D0" w:rsidRPr="003B11BD" w14:paraId="41DF36C4" w14:textId="77777777" w:rsidTr="001924D0">
        <w:trPr>
          <w:trHeight w:val="300"/>
        </w:trPr>
        <w:tc>
          <w:tcPr>
            <w:tcW w:w="4100" w:type="dxa"/>
            <w:tcBorders>
              <w:top w:val="single" w:sz="4" w:space="0" w:color="auto"/>
              <w:left w:val="single" w:sz="4" w:space="0" w:color="auto"/>
              <w:bottom w:val="single" w:sz="4" w:space="0" w:color="auto"/>
              <w:right w:val="nil"/>
            </w:tcBorders>
            <w:shd w:val="clear" w:color="auto" w:fill="auto"/>
            <w:noWrap/>
            <w:vAlign w:val="bottom"/>
            <w:hideMark/>
          </w:tcPr>
          <w:p w14:paraId="760A98D0" w14:textId="77777777" w:rsidR="001924D0" w:rsidRPr="003B11BD" w:rsidRDefault="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I am giving my contribution as</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54FB0" w14:textId="77777777" w:rsidR="001924D0" w:rsidRPr="003B11BD" w:rsidRDefault="001924D0"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No</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6E1ECA9B" w14:textId="77777777" w:rsidR="001924D0" w:rsidRPr="003B11BD" w:rsidRDefault="001924D0"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No opinion</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2E4F9AF0" w14:textId="77777777" w:rsidR="001924D0" w:rsidRPr="003B11BD" w:rsidRDefault="001924D0"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Yes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EF7C221" w14:textId="77777777" w:rsidR="001924D0" w:rsidRPr="003B11BD" w:rsidRDefault="001924D0"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Total</w:t>
            </w:r>
          </w:p>
        </w:tc>
      </w:tr>
      <w:tr w:rsidR="001924D0" w:rsidRPr="003B11BD" w14:paraId="173BFAA6"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2B44E1AF"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Academic/research institution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C92C04F"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w:t>
            </w:r>
          </w:p>
        </w:tc>
        <w:tc>
          <w:tcPr>
            <w:tcW w:w="729" w:type="dxa"/>
            <w:tcBorders>
              <w:top w:val="nil"/>
              <w:left w:val="nil"/>
              <w:bottom w:val="single" w:sz="4" w:space="0" w:color="auto"/>
              <w:right w:val="single" w:sz="4" w:space="0" w:color="auto"/>
            </w:tcBorders>
            <w:shd w:val="clear" w:color="auto" w:fill="auto"/>
            <w:noWrap/>
            <w:vAlign w:val="bottom"/>
            <w:hideMark/>
          </w:tcPr>
          <w:p w14:paraId="74E83FFB"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0CEB839C"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4224C23A"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w:t>
            </w:r>
          </w:p>
        </w:tc>
      </w:tr>
      <w:tr w:rsidR="001924D0" w:rsidRPr="003B11BD" w14:paraId="0F9EFDD8"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730B6208"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Business association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6BCC1CC"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6263705F"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1BDACE5F"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19</w:t>
            </w:r>
          </w:p>
        </w:tc>
        <w:tc>
          <w:tcPr>
            <w:tcW w:w="640" w:type="dxa"/>
            <w:tcBorders>
              <w:top w:val="nil"/>
              <w:left w:val="nil"/>
              <w:bottom w:val="single" w:sz="4" w:space="0" w:color="auto"/>
              <w:right w:val="single" w:sz="4" w:space="0" w:color="auto"/>
            </w:tcBorders>
            <w:shd w:val="clear" w:color="auto" w:fill="auto"/>
            <w:noWrap/>
            <w:vAlign w:val="bottom"/>
            <w:hideMark/>
          </w:tcPr>
          <w:p w14:paraId="342BCE88"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21</w:t>
            </w:r>
          </w:p>
        </w:tc>
      </w:tr>
      <w:tr w:rsidR="001924D0" w:rsidRPr="003B11BD" w14:paraId="141B7F66"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617CF10D"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Company/business organisation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13878A9"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3E79A551"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5BC7D78F"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15</w:t>
            </w:r>
          </w:p>
        </w:tc>
        <w:tc>
          <w:tcPr>
            <w:tcW w:w="640" w:type="dxa"/>
            <w:tcBorders>
              <w:top w:val="nil"/>
              <w:left w:val="nil"/>
              <w:bottom w:val="single" w:sz="4" w:space="0" w:color="auto"/>
              <w:right w:val="single" w:sz="4" w:space="0" w:color="auto"/>
            </w:tcBorders>
            <w:shd w:val="clear" w:color="auto" w:fill="auto"/>
            <w:noWrap/>
            <w:vAlign w:val="bottom"/>
            <w:hideMark/>
          </w:tcPr>
          <w:p w14:paraId="1CA57F90"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17</w:t>
            </w:r>
          </w:p>
        </w:tc>
      </w:tr>
      <w:tr w:rsidR="001924D0" w:rsidRPr="003B11BD" w14:paraId="01C76A58"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7DF3157D"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Consumer organisation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18C4768"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2D9C494F"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5FB51E29"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4252E928"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r>
      <w:tr w:rsidR="001924D0" w:rsidRPr="003B11BD" w14:paraId="08BA676F"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5A475808"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EU citizen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E090F3C"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w:t>
            </w:r>
          </w:p>
        </w:tc>
        <w:tc>
          <w:tcPr>
            <w:tcW w:w="729" w:type="dxa"/>
            <w:tcBorders>
              <w:top w:val="nil"/>
              <w:left w:val="nil"/>
              <w:bottom w:val="single" w:sz="4" w:space="0" w:color="auto"/>
              <w:right w:val="single" w:sz="4" w:space="0" w:color="auto"/>
            </w:tcBorders>
            <w:shd w:val="clear" w:color="auto" w:fill="auto"/>
            <w:noWrap/>
            <w:vAlign w:val="bottom"/>
            <w:hideMark/>
          </w:tcPr>
          <w:p w14:paraId="3C9A69F5"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0ADFAAE8"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w:t>
            </w:r>
          </w:p>
        </w:tc>
        <w:tc>
          <w:tcPr>
            <w:tcW w:w="640" w:type="dxa"/>
            <w:tcBorders>
              <w:top w:val="nil"/>
              <w:left w:val="nil"/>
              <w:bottom w:val="single" w:sz="4" w:space="0" w:color="auto"/>
              <w:right w:val="single" w:sz="4" w:space="0" w:color="auto"/>
            </w:tcBorders>
            <w:shd w:val="clear" w:color="auto" w:fill="auto"/>
            <w:noWrap/>
            <w:vAlign w:val="bottom"/>
            <w:hideMark/>
          </w:tcPr>
          <w:p w14:paraId="41AC4406"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11</w:t>
            </w:r>
          </w:p>
        </w:tc>
      </w:tr>
      <w:tr w:rsidR="001924D0" w:rsidRPr="003B11BD" w14:paraId="0493A2FE"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721ECB36"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Non-governmental organisation (NGO)</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266D82C"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w:t>
            </w:r>
          </w:p>
        </w:tc>
        <w:tc>
          <w:tcPr>
            <w:tcW w:w="729" w:type="dxa"/>
            <w:tcBorders>
              <w:top w:val="nil"/>
              <w:left w:val="nil"/>
              <w:bottom w:val="single" w:sz="4" w:space="0" w:color="auto"/>
              <w:right w:val="single" w:sz="4" w:space="0" w:color="auto"/>
            </w:tcBorders>
            <w:shd w:val="clear" w:color="auto" w:fill="auto"/>
            <w:noWrap/>
            <w:vAlign w:val="bottom"/>
            <w:hideMark/>
          </w:tcPr>
          <w:p w14:paraId="5E7FC5B5"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66D093A8"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6ABD8B3D"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w:t>
            </w:r>
          </w:p>
        </w:tc>
      </w:tr>
      <w:tr w:rsidR="001924D0" w:rsidRPr="003B11BD" w14:paraId="15293599"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2EE0991B"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Other</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95E6870"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729" w:type="dxa"/>
            <w:tcBorders>
              <w:top w:val="nil"/>
              <w:left w:val="nil"/>
              <w:bottom w:val="single" w:sz="4" w:space="0" w:color="auto"/>
              <w:right w:val="single" w:sz="4" w:space="0" w:color="auto"/>
            </w:tcBorders>
            <w:shd w:val="clear" w:color="auto" w:fill="auto"/>
            <w:noWrap/>
            <w:vAlign w:val="bottom"/>
            <w:hideMark/>
          </w:tcPr>
          <w:p w14:paraId="35D98367"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640" w:type="dxa"/>
            <w:tcBorders>
              <w:top w:val="nil"/>
              <w:left w:val="nil"/>
              <w:bottom w:val="single" w:sz="4" w:space="0" w:color="auto"/>
              <w:right w:val="single" w:sz="4" w:space="0" w:color="auto"/>
            </w:tcBorders>
            <w:shd w:val="clear" w:color="auto" w:fill="auto"/>
            <w:noWrap/>
            <w:vAlign w:val="bottom"/>
            <w:hideMark/>
          </w:tcPr>
          <w:p w14:paraId="7492E3DA"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640" w:type="dxa"/>
            <w:tcBorders>
              <w:top w:val="nil"/>
              <w:left w:val="nil"/>
              <w:bottom w:val="single" w:sz="4" w:space="0" w:color="auto"/>
              <w:right w:val="single" w:sz="4" w:space="0" w:color="auto"/>
            </w:tcBorders>
            <w:shd w:val="clear" w:color="auto" w:fill="auto"/>
            <w:noWrap/>
            <w:vAlign w:val="bottom"/>
            <w:hideMark/>
          </w:tcPr>
          <w:p w14:paraId="423C0F71"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w:t>
            </w:r>
          </w:p>
        </w:tc>
      </w:tr>
      <w:tr w:rsidR="001924D0" w:rsidRPr="003B11BD" w14:paraId="282AF469"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68F9F65C"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Public authority</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6D2813"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6EA73605"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1FD044D8"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640" w:type="dxa"/>
            <w:tcBorders>
              <w:top w:val="nil"/>
              <w:left w:val="nil"/>
              <w:bottom w:val="single" w:sz="4" w:space="0" w:color="auto"/>
              <w:right w:val="single" w:sz="4" w:space="0" w:color="auto"/>
            </w:tcBorders>
            <w:shd w:val="clear" w:color="auto" w:fill="auto"/>
            <w:noWrap/>
            <w:vAlign w:val="bottom"/>
            <w:hideMark/>
          </w:tcPr>
          <w:p w14:paraId="13EDE305"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w:t>
            </w:r>
          </w:p>
        </w:tc>
      </w:tr>
      <w:tr w:rsidR="001924D0" w:rsidRPr="003B11BD" w14:paraId="498FAF51" w14:textId="77777777" w:rsidTr="001924D0">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12EF1F76"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Total</w:t>
            </w:r>
          </w:p>
        </w:tc>
        <w:tc>
          <w:tcPr>
            <w:tcW w:w="640" w:type="dxa"/>
            <w:tcBorders>
              <w:top w:val="nil"/>
              <w:left w:val="nil"/>
              <w:bottom w:val="single" w:sz="4" w:space="0" w:color="auto"/>
              <w:right w:val="single" w:sz="4" w:space="0" w:color="auto"/>
            </w:tcBorders>
            <w:shd w:val="clear" w:color="auto" w:fill="auto"/>
            <w:noWrap/>
            <w:vAlign w:val="bottom"/>
            <w:hideMark/>
          </w:tcPr>
          <w:p w14:paraId="7A96B7FF"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21</w:t>
            </w:r>
          </w:p>
        </w:tc>
        <w:tc>
          <w:tcPr>
            <w:tcW w:w="729" w:type="dxa"/>
            <w:tcBorders>
              <w:top w:val="nil"/>
              <w:left w:val="nil"/>
              <w:bottom w:val="single" w:sz="4" w:space="0" w:color="auto"/>
              <w:right w:val="single" w:sz="4" w:space="0" w:color="auto"/>
            </w:tcBorders>
            <w:shd w:val="clear" w:color="auto" w:fill="auto"/>
            <w:noWrap/>
            <w:vAlign w:val="bottom"/>
            <w:hideMark/>
          </w:tcPr>
          <w:p w14:paraId="031DB271"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w:t>
            </w:r>
          </w:p>
        </w:tc>
        <w:tc>
          <w:tcPr>
            <w:tcW w:w="640" w:type="dxa"/>
            <w:tcBorders>
              <w:top w:val="nil"/>
              <w:left w:val="nil"/>
              <w:bottom w:val="single" w:sz="4" w:space="0" w:color="auto"/>
              <w:right w:val="single" w:sz="4" w:space="0" w:color="auto"/>
            </w:tcBorders>
            <w:shd w:val="clear" w:color="auto" w:fill="auto"/>
            <w:noWrap/>
            <w:vAlign w:val="bottom"/>
            <w:hideMark/>
          </w:tcPr>
          <w:p w14:paraId="255355D2"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43</w:t>
            </w:r>
          </w:p>
        </w:tc>
        <w:tc>
          <w:tcPr>
            <w:tcW w:w="640" w:type="dxa"/>
            <w:tcBorders>
              <w:top w:val="nil"/>
              <w:left w:val="nil"/>
              <w:bottom w:val="single" w:sz="4" w:space="0" w:color="auto"/>
              <w:right w:val="single" w:sz="4" w:space="0" w:color="auto"/>
            </w:tcBorders>
            <w:shd w:val="clear" w:color="auto" w:fill="auto"/>
            <w:noWrap/>
            <w:vAlign w:val="bottom"/>
            <w:hideMark/>
          </w:tcPr>
          <w:p w14:paraId="091018AF"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71</w:t>
            </w:r>
          </w:p>
        </w:tc>
      </w:tr>
    </w:tbl>
    <w:p w14:paraId="4200A4FE" w14:textId="4F9C14D5" w:rsidR="001A5EC3" w:rsidRPr="003B11BD" w:rsidRDefault="001A5EC3" w:rsidP="001A5EC3">
      <w:pPr>
        <w:pStyle w:val="Caption"/>
        <w:rPr>
          <w:noProof/>
          <w:lang w:val="en-IE"/>
        </w:rPr>
      </w:pPr>
      <w:r w:rsidRPr="003B11BD">
        <w:rPr>
          <w:noProof/>
          <w:lang w:val="en-IE"/>
        </w:rPr>
        <w:t>Source: Open public consultation, Question 3</w:t>
      </w:r>
    </w:p>
    <w:p w14:paraId="1B25C567" w14:textId="333C2D8D" w:rsidR="0022193E" w:rsidRPr="003B11BD" w:rsidRDefault="0022193E" w:rsidP="0022193E">
      <w:pPr>
        <w:pStyle w:val="Caption"/>
        <w:rPr>
          <w:noProof/>
          <w:lang w:val="en-IE"/>
        </w:rPr>
      </w:pPr>
      <w:r w:rsidRPr="003B11BD">
        <w:rPr>
          <w:noProof/>
          <w:lang w:val="en-IE"/>
        </w:rPr>
        <w:t xml:space="preserve">Table </w:t>
      </w:r>
      <w:r w:rsidR="00C6592A">
        <w:rPr>
          <w:noProof/>
          <w:lang w:val="en-IE"/>
        </w:rPr>
        <w:t>16</w:t>
      </w:r>
      <w:r w:rsidRPr="003B11BD">
        <w:rPr>
          <w:noProof/>
          <w:lang w:val="en-IE"/>
        </w:rPr>
        <w:t>: Are current national laws on compulsory licensing fit to tackle: EU crisis?</w:t>
      </w:r>
    </w:p>
    <w:tbl>
      <w:tblPr>
        <w:tblW w:w="6749" w:type="dxa"/>
        <w:tblInd w:w="113" w:type="dxa"/>
        <w:tblLook w:val="04A0" w:firstRow="1" w:lastRow="0" w:firstColumn="1" w:lastColumn="0" w:noHBand="0" w:noVBand="1"/>
      </w:tblPr>
      <w:tblGrid>
        <w:gridCol w:w="4100"/>
        <w:gridCol w:w="640"/>
        <w:gridCol w:w="915"/>
        <w:gridCol w:w="640"/>
        <w:gridCol w:w="683"/>
      </w:tblGrid>
      <w:tr w:rsidR="0022193E" w:rsidRPr="003B11BD" w14:paraId="743470B6" w14:textId="77777777" w:rsidTr="001924D0">
        <w:trPr>
          <w:trHeight w:val="30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2D35E" w14:textId="77777777" w:rsidR="0022193E" w:rsidRPr="003B11BD" w:rsidRDefault="0022193E"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I am giving my contribution as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5443738C" w14:textId="77777777" w:rsidR="0022193E" w:rsidRPr="003B11BD" w:rsidRDefault="0022193E"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No</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3AB496C1" w14:textId="77777777" w:rsidR="0022193E" w:rsidRPr="003B11BD" w:rsidRDefault="0022193E"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No opinion</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D083C3C" w14:textId="77777777" w:rsidR="0022193E" w:rsidRPr="003B11BD" w:rsidRDefault="0022193E"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Yes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7FFBA6A1" w14:textId="77777777" w:rsidR="0022193E" w:rsidRPr="003B11BD" w:rsidRDefault="0022193E"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Total</w:t>
            </w:r>
          </w:p>
        </w:tc>
      </w:tr>
      <w:tr w:rsidR="0022193E" w:rsidRPr="003B11BD" w14:paraId="1C011CAB"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1AD4EAA2" w14:textId="77777777" w:rsidR="0022193E" w:rsidRPr="003B11BD" w:rsidRDefault="0022193E"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Academic/research institution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53A0DB5"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w:t>
            </w:r>
          </w:p>
        </w:tc>
        <w:tc>
          <w:tcPr>
            <w:tcW w:w="729" w:type="dxa"/>
            <w:tcBorders>
              <w:top w:val="nil"/>
              <w:left w:val="nil"/>
              <w:bottom w:val="single" w:sz="4" w:space="0" w:color="auto"/>
              <w:right w:val="single" w:sz="4" w:space="0" w:color="auto"/>
            </w:tcBorders>
            <w:shd w:val="clear" w:color="auto" w:fill="auto"/>
            <w:noWrap/>
            <w:vAlign w:val="bottom"/>
            <w:hideMark/>
          </w:tcPr>
          <w:p w14:paraId="4F2CD62F"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0621A59D"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53DB3806"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w:t>
            </w:r>
          </w:p>
        </w:tc>
      </w:tr>
      <w:tr w:rsidR="0022193E" w:rsidRPr="003B11BD" w14:paraId="145E4A84"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71B58178" w14:textId="77777777" w:rsidR="0022193E" w:rsidRPr="003B11BD" w:rsidRDefault="0022193E"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Business association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B34BF05"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729" w:type="dxa"/>
            <w:tcBorders>
              <w:top w:val="nil"/>
              <w:left w:val="nil"/>
              <w:bottom w:val="single" w:sz="4" w:space="0" w:color="auto"/>
              <w:right w:val="single" w:sz="4" w:space="0" w:color="auto"/>
            </w:tcBorders>
            <w:shd w:val="clear" w:color="auto" w:fill="auto"/>
            <w:noWrap/>
            <w:vAlign w:val="bottom"/>
            <w:hideMark/>
          </w:tcPr>
          <w:p w14:paraId="11910859"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03F9F688"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18</w:t>
            </w:r>
          </w:p>
        </w:tc>
        <w:tc>
          <w:tcPr>
            <w:tcW w:w="640" w:type="dxa"/>
            <w:tcBorders>
              <w:top w:val="nil"/>
              <w:left w:val="nil"/>
              <w:bottom w:val="single" w:sz="4" w:space="0" w:color="auto"/>
              <w:right w:val="single" w:sz="4" w:space="0" w:color="auto"/>
            </w:tcBorders>
            <w:shd w:val="clear" w:color="auto" w:fill="auto"/>
            <w:noWrap/>
            <w:vAlign w:val="bottom"/>
            <w:hideMark/>
          </w:tcPr>
          <w:p w14:paraId="27737BBA"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21</w:t>
            </w:r>
          </w:p>
        </w:tc>
      </w:tr>
      <w:tr w:rsidR="0022193E" w:rsidRPr="003B11BD" w14:paraId="0C549561"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005D696C" w14:textId="77777777" w:rsidR="0022193E" w:rsidRPr="003B11BD" w:rsidRDefault="0022193E"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Company/business organisation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AA201F1"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729" w:type="dxa"/>
            <w:tcBorders>
              <w:top w:val="nil"/>
              <w:left w:val="nil"/>
              <w:bottom w:val="single" w:sz="4" w:space="0" w:color="auto"/>
              <w:right w:val="single" w:sz="4" w:space="0" w:color="auto"/>
            </w:tcBorders>
            <w:shd w:val="clear" w:color="auto" w:fill="auto"/>
            <w:noWrap/>
            <w:vAlign w:val="bottom"/>
            <w:hideMark/>
          </w:tcPr>
          <w:p w14:paraId="54314CBF"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025A2D90"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14</w:t>
            </w:r>
          </w:p>
        </w:tc>
        <w:tc>
          <w:tcPr>
            <w:tcW w:w="640" w:type="dxa"/>
            <w:tcBorders>
              <w:top w:val="nil"/>
              <w:left w:val="nil"/>
              <w:bottom w:val="single" w:sz="4" w:space="0" w:color="auto"/>
              <w:right w:val="single" w:sz="4" w:space="0" w:color="auto"/>
            </w:tcBorders>
            <w:shd w:val="clear" w:color="auto" w:fill="auto"/>
            <w:noWrap/>
            <w:vAlign w:val="bottom"/>
            <w:hideMark/>
          </w:tcPr>
          <w:p w14:paraId="5892A1C3"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17</w:t>
            </w:r>
          </w:p>
        </w:tc>
      </w:tr>
      <w:tr w:rsidR="0022193E" w:rsidRPr="003B11BD" w14:paraId="3F0977FF"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23F3650F" w14:textId="77777777" w:rsidR="0022193E" w:rsidRPr="003B11BD" w:rsidRDefault="0022193E"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Consumer organisation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B78BA7A"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7196C5D7"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4030BC0C"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28AAE46A"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r>
      <w:tr w:rsidR="0022193E" w:rsidRPr="003B11BD" w14:paraId="41F53E7B"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694D4208" w14:textId="77777777" w:rsidR="0022193E" w:rsidRPr="003B11BD" w:rsidRDefault="0022193E"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EU citizen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3EB2949"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w:t>
            </w:r>
          </w:p>
        </w:tc>
        <w:tc>
          <w:tcPr>
            <w:tcW w:w="729" w:type="dxa"/>
            <w:tcBorders>
              <w:top w:val="nil"/>
              <w:left w:val="nil"/>
              <w:bottom w:val="single" w:sz="4" w:space="0" w:color="auto"/>
              <w:right w:val="single" w:sz="4" w:space="0" w:color="auto"/>
            </w:tcBorders>
            <w:shd w:val="clear" w:color="auto" w:fill="auto"/>
            <w:noWrap/>
            <w:vAlign w:val="bottom"/>
            <w:hideMark/>
          </w:tcPr>
          <w:p w14:paraId="7F9BC370"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15A58B70"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w:t>
            </w:r>
          </w:p>
        </w:tc>
        <w:tc>
          <w:tcPr>
            <w:tcW w:w="640" w:type="dxa"/>
            <w:tcBorders>
              <w:top w:val="nil"/>
              <w:left w:val="nil"/>
              <w:bottom w:val="single" w:sz="4" w:space="0" w:color="auto"/>
              <w:right w:val="single" w:sz="4" w:space="0" w:color="auto"/>
            </w:tcBorders>
            <w:shd w:val="clear" w:color="auto" w:fill="auto"/>
            <w:noWrap/>
            <w:vAlign w:val="bottom"/>
            <w:hideMark/>
          </w:tcPr>
          <w:p w14:paraId="0AE302F6"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11</w:t>
            </w:r>
          </w:p>
        </w:tc>
      </w:tr>
      <w:tr w:rsidR="0022193E" w:rsidRPr="003B11BD" w14:paraId="1774BDAC"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786AC77A" w14:textId="77777777" w:rsidR="0022193E" w:rsidRPr="003B11BD" w:rsidRDefault="0022193E"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Non-governmental organisation (NGO)</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3738882"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w:t>
            </w:r>
          </w:p>
        </w:tc>
        <w:tc>
          <w:tcPr>
            <w:tcW w:w="729" w:type="dxa"/>
            <w:tcBorders>
              <w:top w:val="nil"/>
              <w:left w:val="nil"/>
              <w:bottom w:val="single" w:sz="4" w:space="0" w:color="auto"/>
              <w:right w:val="single" w:sz="4" w:space="0" w:color="auto"/>
            </w:tcBorders>
            <w:shd w:val="clear" w:color="auto" w:fill="auto"/>
            <w:noWrap/>
            <w:vAlign w:val="bottom"/>
            <w:hideMark/>
          </w:tcPr>
          <w:p w14:paraId="7248C05C"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6C088128"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1D4FBF90"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w:t>
            </w:r>
          </w:p>
        </w:tc>
      </w:tr>
      <w:tr w:rsidR="0022193E" w:rsidRPr="003B11BD" w14:paraId="1FA74D2D"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749D3876" w14:textId="77777777" w:rsidR="0022193E" w:rsidRPr="003B11BD" w:rsidRDefault="0022193E"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Other</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E8C03EC"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6C7F54B7"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640" w:type="dxa"/>
            <w:tcBorders>
              <w:top w:val="nil"/>
              <w:left w:val="nil"/>
              <w:bottom w:val="single" w:sz="4" w:space="0" w:color="auto"/>
              <w:right w:val="single" w:sz="4" w:space="0" w:color="auto"/>
            </w:tcBorders>
            <w:shd w:val="clear" w:color="auto" w:fill="auto"/>
            <w:noWrap/>
            <w:vAlign w:val="bottom"/>
            <w:hideMark/>
          </w:tcPr>
          <w:p w14:paraId="6BE1E478"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640" w:type="dxa"/>
            <w:tcBorders>
              <w:top w:val="nil"/>
              <w:left w:val="nil"/>
              <w:bottom w:val="single" w:sz="4" w:space="0" w:color="auto"/>
              <w:right w:val="single" w:sz="4" w:space="0" w:color="auto"/>
            </w:tcBorders>
            <w:shd w:val="clear" w:color="auto" w:fill="auto"/>
            <w:noWrap/>
            <w:vAlign w:val="bottom"/>
            <w:hideMark/>
          </w:tcPr>
          <w:p w14:paraId="5406B053"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w:t>
            </w:r>
          </w:p>
        </w:tc>
      </w:tr>
      <w:tr w:rsidR="0022193E" w:rsidRPr="003B11BD" w14:paraId="434889DE"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704875D6" w14:textId="77777777" w:rsidR="0022193E" w:rsidRPr="003B11BD" w:rsidRDefault="0022193E"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Public authority</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6DD7F51"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729" w:type="dxa"/>
            <w:tcBorders>
              <w:top w:val="nil"/>
              <w:left w:val="nil"/>
              <w:bottom w:val="single" w:sz="4" w:space="0" w:color="auto"/>
              <w:right w:val="single" w:sz="4" w:space="0" w:color="auto"/>
            </w:tcBorders>
            <w:shd w:val="clear" w:color="auto" w:fill="auto"/>
            <w:noWrap/>
            <w:vAlign w:val="bottom"/>
            <w:hideMark/>
          </w:tcPr>
          <w:p w14:paraId="1A6A018C"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6FCA1765"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36F07F18"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w:t>
            </w:r>
          </w:p>
        </w:tc>
      </w:tr>
      <w:tr w:rsidR="0022193E" w:rsidRPr="003B11BD" w14:paraId="5E13BB1D" w14:textId="77777777" w:rsidTr="001924D0">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50DDF4CC" w14:textId="77777777" w:rsidR="0022193E" w:rsidRPr="003B11BD" w:rsidRDefault="0022193E"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Total</w:t>
            </w:r>
          </w:p>
        </w:tc>
        <w:tc>
          <w:tcPr>
            <w:tcW w:w="640" w:type="dxa"/>
            <w:tcBorders>
              <w:top w:val="nil"/>
              <w:left w:val="nil"/>
              <w:bottom w:val="single" w:sz="4" w:space="0" w:color="auto"/>
              <w:right w:val="single" w:sz="4" w:space="0" w:color="auto"/>
            </w:tcBorders>
            <w:shd w:val="clear" w:color="auto" w:fill="auto"/>
            <w:noWrap/>
            <w:vAlign w:val="bottom"/>
            <w:hideMark/>
          </w:tcPr>
          <w:p w14:paraId="6E050635"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25</w:t>
            </w:r>
          </w:p>
        </w:tc>
        <w:tc>
          <w:tcPr>
            <w:tcW w:w="729" w:type="dxa"/>
            <w:tcBorders>
              <w:top w:val="nil"/>
              <w:left w:val="nil"/>
              <w:bottom w:val="single" w:sz="4" w:space="0" w:color="auto"/>
              <w:right w:val="single" w:sz="4" w:space="0" w:color="auto"/>
            </w:tcBorders>
            <w:shd w:val="clear" w:color="auto" w:fill="auto"/>
            <w:noWrap/>
            <w:vAlign w:val="bottom"/>
            <w:hideMark/>
          </w:tcPr>
          <w:p w14:paraId="51CBFFC3"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w:t>
            </w:r>
          </w:p>
        </w:tc>
        <w:tc>
          <w:tcPr>
            <w:tcW w:w="640" w:type="dxa"/>
            <w:tcBorders>
              <w:top w:val="nil"/>
              <w:left w:val="nil"/>
              <w:bottom w:val="single" w:sz="4" w:space="0" w:color="auto"/>
              <w:right w:val="single" w:sz="4" w:space="0" w:color="auto"/>
            </w:tcBorders>
            <w:shd w:val="clear" w:color="auto" w:fill="auto"/>
            <w:noWrap/>
            <w:vAlign w:val="bottom"/>
            <w:hideMark/>
          </w:tcPr>
          <w:p w14:paraId="1A1FB3E2"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38</w:t>
            </w:r>
          </w:p>
        </w:tc>
        <w:tc>
          <w:tcPr>
            <w:tcW w:w="640" w:type="dxa"/>
            <w:tcBorders>
              <w:top w:val="nil"/>
              <w:left w:val="nil"/>
              <w:bottom w:val="single" w:sz="4" w:space="0" w:color="auto"/>
              <w:right w:val="single" w:sz="4" w:space="0" w:color="auto"/>
            </w:tcBorders>
            <w:shd w:val="clear" w:color="auto" w:fill="auto"/>
            <w:noWrap/>
            <w:vAlign w:val="bottom"/>
            <w:hideMark/>
          </w:tcPr>
          <w:p w14:paraId="4D44A8FC" w14:textId="77777777" w:rsidR="0022193E" w:rsidRPr="003B11BD" w:rsidRDefault="0022193E"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70</w:t>
            </w:r>
          </w:p>
        </w:tc>
      </w:tr>
    </w:tbl>
    <w:p w14:paraId="35FE3322" w14:textId="77777777" w:rsidR="0022193E" w:rsidRPr="003B11BD" w:rsidRDefault="0022193E" w:rsidP="0022193E">
      <w:pPr>
        <w:pStyle w:val="Caption"/>
        <w:rPr>
          <w:noProof/>
          <w:lang w:val="en-IE"/>
        </w:rPr>
      </w:pPr>
      <w:r w:rsidRPr="003B11BD">
        <w:rPr>
          <w:noProof/>
          <w:lang w:val="en-IE"/>
        </w:rPr>
        <w:t>Source: Open public consultation, Question 3</w:t>
      </w:r>
    </w:p>
    <w:p w14:paraId="655E9135" w14:textId="397E39E0" w:rsidR="0022193E" w:rsidRPr="003B11BD" w:rsidRDefault="0022193E" w:rsidP="0022193E">
      <w:pPr>
        <w:pStyle w:val="Caption"/>
        <w:rPr>
          <w:noProof/>
          <w:lang w:val="en-IE"/>
        </w:rPr>
      </w:pPr>
      <w:r w:rsidRPr="003B11BD">
        <w:rPr>
          <w:noProof/>
          <w:lang w:val="en-IE"/>
        </w:rPr>
        <w:t xml:space="preserve">Table </w:t>
      </w:r>
      <w:r w:rsidR="00C6592A">
        <w:rPr>
          <w:noProof/>
          <w:lang w:val="en-IE"/>
        </w:rPr>
        <w:t>17</w:t>
      </w:r>
      <w:r w:rsidRPr="003B11BD">
        <w:rPr>
          <w:noProof/>
          <w:lang w:val="en-IE"/>
        </w:rPr>
        <w:t>: Are current national laws on compulsory licensing fit to tackle: global crisis?</w:t>
      </w:r>
    </w:p>
    <w:tbl>
      <w:tblPr>
        <w:tblW w:w="6749" w:type="dxa"/>
        <w:tblInd w:w="113" w:type="dxa"/>
        <w:tblLook w:val="04A0" w:firstRow="1" w:lastRow="0" w:firstColumn="1" w:lastColumn="0" w:noHBand="0" w:noVBand="1"/>
      </w:tblPr>
      <w:tblGrid>
        <w:gridCol w:w="4100"/>
        <w:gridCol w:w="640"/>
        <w:gridCol w:w="915"/>
        <w:gridCol w:w="640"/>
        <w:gridCol w:w="683"/>
      </w:tblGrid>
      <w:tr w:rsidR="001924D0" w:rsidRPr="003B11BD" w14:paraId="148C3B66" w14:textId="77777777" w:rsidTr="001924D0">
        <w:trPr>
          <w:trHeight w:val="30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68AB4" w14:textId="77777777" w:rsidR="001924D0" w:rsidRPr="003B11BD" w:rsidRDefault="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I am giving my contribution as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5803DA54" w14:textId="77777777" w:rsidR="001924D0" w:rsidRPr="003B11BD" w:rsidRDefault="001924D0"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No</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26DBB889" w14:textId="77777777" w:rsidR="001924D0" w:rsidRPr="003B11BD" w:rsidRDefault="001924D0"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No opinion</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56432873" w14:textId="77777777" w:rsidR="001924D0" w:rsidRPr="003B11BD" w:rsidRDefault="001924D0"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Yes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973A4F5" w14:textId="77777777" w:rsidR="001924D0" w:rsidRPr="003B11BD" w:rsidRDefault="001924D0" w:rsidP="001924D0">
            <w:pPr>
              <w:spacing w:after="0"/>
              <w:jc w:val="left"/>
              <w:rPr>
                <w:rFonts w:ascii="Calibri" w:eastAsia="Times New Roman" w:hAnsi="Calibri" w:cs="Calibri"/>
                <w:b/>
                <w:bCs/>
                <w:noProof/>
                <w:color w:val="000000"/>
                <w:sz w:val="22"/>
                <w:szCs w:val="22"/>
                <w:lang w:val="en-IE" w:eastAsia="en-GB"/>
              </w:rPr>
            </w:pPr>
            <w:r w:rsidRPr="003B11BD">
              <w:rPr>
                <w:rFonts w:ascii="Calibri" w:eastAsia="Times New Roman" w:hAnsi="Calibri" w:cs="Calibri"/>
                <w:b/>
                <w:bCs/>
                <w:noProof/>
                <w:color w:val="000000"/>
                <w:sz w:val="22"/>
                <w:szCs w:val="22"/>
                <w:lang w:val="en-IE" w:eastAsia="en-GB"/>
              </w:rPr>
              <w:t>Total</w:t>
            </w:r>
          </w:p>
        </w:tc>
      </w:tr>
      <w:tr w:rsidR="001924D0" w:rsidRPr="003B11BD" w14:paraId="07100FD6"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62CF7D36"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Academic/research institution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D03738F"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w:t>
            </w:r>
          </w:p>
        </w:tc>
        <w:tc>
          <w:tcPr>
            <w:tcW w:w="729" w:type="dxa"/>
            <w:tcBorders>
              <w:top w:val="nil"/>
              <w:left w:val="nil"/>
              <w:bottom w:val="single" w:sz="4" w:space="0" w:color="auto"/>
              <w:right w:val="single" w:sz="4" w:space="0" w:color="auto"/>
            </w:tcBorders>
            <w:shd w:val="clear" w:color="auto" w:fill="auto"/>
            <w:noWrap/>
            <w:vAlign w:val="bottom"/>
            <w:hideMark/>
          </w:tcPr>
          <w:p w14:paraId="187500DB"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5BAE851C"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51355BD0"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w:t>
            </w:r>
          </w:p>
        </w:tc>
      </w:tr>
      <w:tr w:rsidR="001924D0" w:rsidRPr="003B11BD" w14:paraId="4689ECE2"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0E3C2CFB"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Business association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596616A"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729" w:type="dxa"/>
            <w:tcBorders>
              <w:top w:val="nil"/>
              <w:left w:val="nil"/>
              <w:bottom w:val="single" w:sz="4" w:space="0" w:color="auto"/>
              <w:right w:val="single" w:sz="4" w:space="0" w:color="auto"/>
            </w:tcBorders>
            <w:shd w:val="clear" w:color="auto" w:fill="auto"/>
            <w:noWrap/>
            <w:vAlign w:val="bottom"/>
            <w:hideMark/>
          </w:tcPr>
          <w:p w14:paraId="6523FD3E"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30B71648"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18</w:t>
            </w:r>
          </w:p>
        </w:tc>
        <w:tc>
          <w:tcPr>
            <w:tcW w:w="640" w:type="dxa"/>
            <w:tcBorders>
              <w:top w:val="nil"/>
              <w:left w:val="nil"/>
              <w:bottom w:val="single" w:sz="4" w:space="0" w:color="auto"/>
              <w:right w:val="single" w:sz="4" w:space="0" w:color="auto"/>
            </w:tcBorders>
            <w:shd w:val="clear" w:color="auto" w:fill="auto"/>
            <w:noWrap/>
            <w:vAlign w:val="bottom"/>
            <w:hideMark/>
          </w:tcPr>
          <w:p w14:paraId="7ADE8B10"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21</w:t>
            </w:r>
          </w:p>
        </w:tc>
      </w:tr>
      <w:tr w:rsidR="001924D0" w:rsidRPr="003B11BD" w14:paraId="3FF475EE"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34516E8C"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Company/business organisation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30ABF89"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3E62B9F8"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6C8538B5"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15</w:t>
            </w:r>
          </w:p>
        </w:tc>
        <w:tc>
          <w:tcPr>
            <w:tcW w:w="640" w:type="dxa"/>
            <w:tcBorders>
              <w:top w:val="nil"/>
              <w:left w:val="nil"/>
              <w:bottom w:val="single" w:sz="4" w:space="0" w:color="auto"/>
              <w:right w:val="single" w:sz="4" w:space="0" w:color="auto"/>
            </w:tcBorders>
            <w:shd w:val="clear" w:color="auto" w:fill="auto"/>
            <w:noWrap/>
            <w:vAlign w:val="bottom"/>
            <w:hideMark/>
          </w:tcPr>
          <w:p w14:paraId="4DDD5AE2"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17</w:t>
            </w:r>
          </w:p>
        </w:tc>
      </w:tr>
      <w:tr w:rsidR="001924D0" w:rsidRPr="003B11BD" w14:paraId="03F2497F"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205CFF88"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Consumer organisation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AC3D69B"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360CB5C0"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20A55E7E"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0326D627"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r>
      <w:tr w:rsidR="001924D0" w:rsidRPr="003B11BD" w14:paraId="71F13FE6"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00FA50E1"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EU citizen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DFD73A4"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w:t>
            </w:r>
          </w:p>
        </w:tc>
        <w:tc>
          <w:tcPr>
            <w:tcW w:w="729" w:type="dxa"/>
            <w:tcBorders>
              <w:top w:val="nil"/>
              <w:left w:val="nil"/>
              <w:bottom w:val="single" w:sz="4" w:space="0" w:color="auto"/>
              <w:right w:val="single" w:sz="4" w:space="0" w:color="auto"/>
            </w:tcBorders>
            <w:shd w:val="clear" w:color="auto" w:fill="auto"/>
            <w:noWrap/>
            <w:vAlign w:val="bottom"/>
            <w:hideMark/>
          </w:tcPr>
          <w:p w14:paraId="1F4A0FBC"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774A5D5F"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640" w:type="dxa"/>
            <w:tcBorders>
              <w:top w:val="nil"/>
              <w:left w:val="nil"/>
              <w:bottom w:val="single" w:sz="4" w:space="0" w:color="auto"/>
              <w:right w:val="single" w:sz="4" w:space="0" w:color="auto"/>
            </w:tcBorders>
            <w:shd w:val="clear" w:color="auto" w:fill="auto"/>
            <w:noWrap/>
            <w:vAlign w:val="bottom"/>
            <w:hideMark/>
          </w:tcPr>
          <w:p w14:paraId="7AED054C"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10</w:t>
            </w:r>
          </w:p>
        </w:tc>
      </w:tr>
      <w:tr w:rsidR="001924D0" w:rsidRPr="003B11BD" w14:paraId="6E6061B1"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4F2D4E2B"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Non-governmental organisation (NGO)</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81CABF4"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w:t>
            </w:r>
          </w:p>
        </w:tc>
        <w:tc>
          <w:tcPr>
            <w:tcW w:w="729" w:type="dxa"/>
            <w:tcBorders>
              <w:top w:val="nil"/>
              <w:left w:val="nil"/>
              <w:bottom w:val="single" w:sz="4" w:space="0" w:color="auto"/>
              <w:right w:val="single" w:sz="4" w:space="0" w:color="auto"/>
            </w:tcBorders>
            <w:shd w:val="clear" w:color="auto" w:fill="auto"/>
            <w:noWrap/>
            <w:vAlign w:val="bottom"/>
            <w:hideMark/>
          </w:tcPr>
          <w:p w14:paraId="1EFD6B70"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7B0F5936"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0</w:t>
            </w:r>
          </w:p>
        </w:tc>
        <w:tc>
          <w:tcPr>
            <w:tcW w:w="640" w:type="dxa"/>
            <w:tcBorders>
              <w:top w:val="nil"/>
              <w:left w:val="nil"/>
              <w:bottom w:val="single" w:sz="4" w:space="0" w:color="auto"/>
              <w:right w:val="single" w:sz="4" w:space="0" w:color="auto"/>
            </w:tcBorders>
            <w:shd w:val="clear" w:color="auto" w:fill="auto"/>
            <w:noWrap/>
            <w:vAlign w:val="bottom"/>
            <w:hideMark/>
          </w:tcPr>
          <w:p w14:paraId="16DE6F4C"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w:t>
            </w:r>
          </w:p>
        </w:tc>
      </w:tr>
      <w:tr w:rsidR="001924D0" w:rsidRPr="003B11BD" w14:paraId="53B1FD14"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0290AE27"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Other</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75C28C"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57B52710"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w:t>
            </w:r>
          </w:p>
        </w:tc>
        <w:tc>
          <w:tcPr>
            <w:tcW w:w="640" w:type="dxa"/>
            <w:tcBorders>
              <w:top w:val="nil"/>
              <w:left w:val="nil"/>
              <w:bottom w:val="single" w:sz="4" w:space="0" w:color="auto"/>
              <w:right w:val="single" w:sz="4" w:space="0" w:color="auto"/>
            </w:tcBorders>
            <w:shd w:val="clear" w:color="auto" w:fill="auto"/>
            <w:noWrap/>
            <w:vAlign w:val="bottom"/>
            <w:hideMark/>
          </w:tcPr>
          <w:p w14:paraId="5BA8761B"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68C7CA8A"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w:t>
            </w:r>
          </w:p>
        </w:tc>
      </w:tr>
      <w:tr w:rsidR="001924D0" w:rsidRPr="003B11BD" w14:paraId="7A5598F2"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6E46C626"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Public authority</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C2C9080"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729" w:type="dxa"/>
            <w:tcBorders>
              <w:top w:val="nil"/>
              <w:left w:val="nil"/>
              <w:bottom w:val="single" w:sz="4" w:space="0" w:color="auto"/>
              <w:right w:val="single" w:sz="4" w:space="0" w:color="auto"/>
            </w:tcBorders>
            <w:shd w:val="clear" w:color="auto" w:fill="auto"/>
            <w:noWrap/>
            <w:vAlign w:val="bottom"/>
            <w:hideMark/>
          </w:tcPr>
          <w:p w14:paraId="44B0392B"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w:t>
            </w:r>
          </w:p>
        </w:tc>
        <w:tc>
          <w:tcPr>
            <w:tcW w:w="640" w:type="dxa"/>
            <w:tcBorders>
              <w:top w:val="nil"/>
              <w:left w:val="nil"/>
              <w:bottom w:val="single" w:sz="4" w:space="0" w:color="auto"/>
              <w:right w:val="single" w:sz="4" w:space="0" w:color="auto"/>
            </w:tcBorders>
            <w:shd w:val="clear" w:color="auto" w:fill="auto"/>
            <w:noWrap/>
            <w:vAlign w:val="bottom"/>
            <w:hideMark/>
          </w:tcPr>
          <w:p w14:paraId="378E0914"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w:t>
            </w:r>
          </w:p>
        </w:tc>
        <w:tc>
          <w:tcPr>
            <w:tcW w:w="640" w:type="dxa"/>
            <w:tcBorders>
              <w:top w:val="nil"/>
              <w:left w:val="nil"/>
              <w:bottom w:val="single" w:sz="4" w:space="0" w:color="auto"/>
              <w:right w:val="single" w:sz="4" w:space="0" w:color="auto"/>
            </w:tcBorders>
            <w:shd w:val="clear" w:color="auto" w:fill="auto"/>
            <w:noWrap/>
            <w:vAlign w:val="bottom"/>
            <w:hideMark/>
          </w:tcPr>
          <w:p w14:paraId="5EFF11AA"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w:t>
            </w:r>
          </w:p>
        </w:tc>
      </w:tr>
      <w:tr w:rsidR="001924D0" w:rsidRPr="003B11BD" w14:paraId="76AB84AF" w14:textId="77777777" w:rsidTr="001924D0">
        <w:trPr>
          <w:trHeight w:val="300"/>
        </w:trPr>
        <w:tc>
          <w:tcPr>
            <w:tcW w:w="4100" w:type="dxa"/>
            <w:tcBorders>
              <w:top w:val="nil"/>
              <w:left w:val="single" w:sz="4" w:space="0" w:color="auto"/>
              <w:bottom w:val="single" w:sz="4" w:space="0" w:color="auto"/>
              <w:right w:val="nil"/>
            </w:tcBorders>
            <w:shd w:val="clear" w:color="auto" w:fill="auto"/>
            <w:noWrap/>
            <w:vAlign w:val="bottom"/>
            <w:hideMark/>
          </w:tcPr>
          <w:p w14:paraId="40D97539" w14:textId="77777777" w:rsidR="001924D0" w:rsidRPr="003B11BD" w:rsidRDefault="001924D0" w:rsidP="001924D0">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Total</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172E88A"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22</w:t>
            </w:r>
          </w:p>
        </w:tc>
        <w:tc>
          <w:tcPr>
            <w:tcW w:w="729" w:type="dxa"/>
            <w:tcBorders>
              <w:top w:val="nil"/>
              <w:left w:val="nil"/>
              <w:bottom w:val="single" w:sz="4" w:space="0" w:color="auto"/>
              <w:right w:val="single" w:sz="4" w:space="0" w:color="auto"/>
            </w:tcBorders>
            <w:shd w:val="clear" w:color="auto" w:fill="auto"/>
            <w:noWrap/>
            <w:vAlign w:val="bottom"/>
            <w:hideMark/>
          </w:tcPr>
          <w:p w14:paraId="604FF85B"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9</w:t>
            </w:r>
          </w:p>
        </w:tc>
        <w:tc>
          <w:tcPr>
            <w:tcW w:w="640" w:type="dxa"/>
            <w:tcBorders>
              <w:top w:val="nil"/>
              <w:left w:val="nil"/>
              <w:bottom w:val="single" w:sz="4" w:space="0" w:color="auto"/>
              <w:right w:val="single" w:sz="4" w:space="0" w:color="auto"/>
            </w:tcBorders>
            <w:shd w:val="clear" w:color="auto" w:fill="auto"/>
            <w:noWrap/>
            <w:vAlign w:val="bottom"/>
            <w:hideMark/>
          </w:tcPr>
          <w:p w14:paraId="76F7AF92"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37</w:t>
            </w:r>
          </w:p>
        </w:tc>
        <w:tc>
          <w:tcPr>
            <w:tcW w:w="640" w:type="dxa"/>
            <w:tcBorders>
              <w:top w:val="nil"/>
              <w:left w:val="nil"/>
              <w:bottom w:val="single" w:sz="4" w:space="0" w:color="auto"/>
              <w:right w:val="single" w:sz="4" w:space="0" w:color="auto"/>
            </w:tcBorders>
            <w:shd w:val="clear" w:color="auto" w:fill="auto"/>
            <w:noWrap/>
            <w:vAlign w:val="bottom"/>
            <w:hideMark/>
          </w:tcPr>
          <w:p w14:paraId="17175F30" w14:textId="77777777" w:rsidR="001924D0" w:rsidRPr="003B11BD" w:rsidRDefault="001924D0" w:rsidP="001924D0">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68</w:t>
            </w:r>
          </w:p>
        </w:tc>
      </w:tr>
    </w:tbl>
    <w:p w14:paraId="756DE8A1" w14:textId="77777777" w:rsidR="0022193E" w:rsidRPr="003B11BD" w:rsidRDefault="0022193E" w:rsidP="0022193E">
      <w:pPr>
        <w:pStyle w:val="Caption"/>
        <w:rPr>
          <w:noProof/>
          <w:lang w:val="en-IE"/>
        </w:rPr>
      </w:pPr>
      <w:r w:rsidRPr="003B11BD">
        <w:rPr>
          <w:noProof/>
          <w:lang w:val="en-IE"/>
        </w:rPr>
        <w:t>Source: Open public consultation, Question 3</w:t>
      </w:r>
    </w:p>
    <w:p w14:paraId="25AB8A4B" w14:textId="3B59C043" w:rsidR="005A6736" w:rsidRPr="003B11BD" w:rsidRDefault="005A6736" w:rsidP="005A6736">
      <w:pPr>
        <w:pStyle w:val="Caption"/>
        <w:rPr>
          <w:noProof/>
          <w:lang w:val="en-IE"/>
        </w:rPr>
      </w:pPr>
      <w:bookmarkStart w:id="1151" w:name="_Ref122283494"/>
      <w:r w:rsidRPr="003B11BD">
        <w:rPr>
          <w:noProof/>
          <w:lang w:val="en-IE"/>
        </w:rPr>
        <w:t xml:space="preserve">Table </w:t>
      </w:r>
      <w:r w:rsidR="00C6592A">
        <w:rPr>
          <w:noProof/>
          <w:lang w:val="en-IE"/>
        </w:rPr>
        <w:t>18</w:t>
      </w:r>
      <w:bookmarkEnd w:id="1151"/>
      <w:r w:rsidRPr="003B11BD">
        <w:rPr>
          <w:noProof/>
          <w:lang w:val="en-IE"/>
        </w:rPr>
        <w:t>: Number of Member States where EP patents were active, by COVID-related IPC</w:t>
      </w:r>
      <w:r w:rsidR="00E74439" w:rsidRPr="003B11BD">
        <w:rPr>
          <w:noProof/>
          <w:lang w:val="en-IE"/>
        </w:rPr>
        <w:t xml:space="preserve"> as defined in PatentScope </w:t>
      </w:r>
      <w:r w:rsidR="00C905A4" w:rsidRPr="003B11BD">
        <w:rPr>
          <w:noProof/>
          <w:lang w:val="en-IE"/>
        </w:rPr>
        <w:t xml:space="preserve">COVID Index </w:t>
      </w:r>
      <w:r w:rsidR="00E74439" w:rsidRPr="003B11BD">
        <w:rPr>
          <w:noProof/>
          <w:lang w:val="en-IE"/>
        </w:rPr>
        <w:t>(WIPO)</w:t>
      </w:r>
      <w:r w:rsidRPr="003B11BD">
        <w:rPr>
          <w:noProof/>
          <w:lang w:val="en-IE"/>
        </w:rPr>
        <w:t xml:space="preserve"> </w:t>
      </w:r>
    </w:p>
    <w:tbl>
      <w:tblPr>
        <w:tblW w:w="8404" w:type="dxa"/>
        <w:tblInd w:w="113" w:type="dxa"/>
        <w:tblLook w:val="04A0" w:firstRow="1" w:lastRow="0" w:firstColumn="1" w:lastColumn="0" w:noHBand="0" w:noVBand="1"/>
      </w:tblPr>
      <w:tblGrid>
        <w:gridCol w:w="5524"/>
        <w:gridCol w:w="960"/>
        <w:gridCol w:w="960"/>
        <w:gridCol w:w="960"/>
      </w:tblGrid>
      <w:tr w:rsidR="007F7707" w:rsidRPr="003B11BD" w14:paraId="68EDCDBD" w14:textId="77777777" w:rsidTr="00C905A4">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B7F3B" w14:textId="32B80118"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IPC Descr</w:t>
            </w:r>
            <w:r w:rsidR="005A6736" w:rsidRPr="003B11BD">
              <w:rPr>
                <w:rFonts w:ascii="Calibri" w:eastAsia="Times New Roman" w:hAnsi="Calibri" w:cs="Calibri"/>
                <w:noProof/>
                <w:color w:val="000000"/>
                <w:sz w:val="22"/>
                <w:szCs w:val="22"/>
                <w:lang w:val="en-IE" w:eastAsia="en-GB"/>
              </w:rPr>
              <w:t>iption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7CD8FF" w14:textId="747A370C"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Average all patents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9D6AF4" w14:textId="02BEE279"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Average EP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31CF4F2" w14:textId="377D1E2D"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Total patent families</w:t>
            </w:r>
          </w:p>
        </w:tc>
      </w:tr>
      <w:tr w:rsidR="007F7707" w:rsidRPr="003B11BD" w14:paraId="0DD9ED54"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5FAC619"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A41D - OUTERWEAR; PROTECTIVE GARMENTS; ACCESSORIES</w:t>
            </w:r>
          </w:p>
        </w:tc>
        <w:tc>
          <w:tcPr>
            <w:tcW w:w="960" w:type="dxa"/>
            <w:tcBorders>
              <w:top w:val="nil"/>
              <w:left w:val="nil"/>
              <w:bottom w:val="single" w:sz="4" w:space="0" w:color="auto"/>
              <w:right w:val="single" w:sz="4" w:space="0" w:color="auto"/>
            </w:tcBorders>
            <w:shd w:val="clear" w:color="auto" w:fill="auto"/>
            <w:noWrap/>
            <w:vAlign w:val="bottom"/>
            <w:hideMark/>
          </w:tcPr>
          <w:p w14:paraId="008E58EB"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2.35</w:t>
            </w:r>
          </w:p>
        </w:tc>
        <w:tc>
          <w:tcPr>
            <w:tcW w:w="960" w:type="dxa"/>
            <w:tcBorders>
              <w:top w:val="nil"/>
              <w:left w:val="nil"/>
              <w:bottom w:val="single" w:sz="4" w:space="0" w:color="auto"/>
              <w:right w:val="single" w:sz="4" w:space="0" w:color="auto"/>
            </w:tcBorders>
            <w:shd w:val="clear" w:color="auto" w:fill="auto"/>
            <w:noWrap/>
            <w:vAlign w:val="bottom"/>
            <w:hideMark/>
          </w:tcPr>
          <w:p w14:paraId="6FF5ECCF"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3.61</w:t>
            </w:r>
          </w:p>
        </w:tc>
        <w:tc>
          <w:tcPr>
            <w:tcW w:w="960" w:type="dxa"/>
            <w:tcBorders>
              <w:top w:val="nil"/>
              <w:left w:val="nil"/>
              <w:bottom w:val="single" w:sz="4" w:space="0" w:color="auto"/>
              <w:right w:val="single" w:sz="4" w:space="0" w:color="auto"/>
            </w:tcBorders>
            <w:shd w:val="clear" w:color="auto" w:fill="auto"/>
            <w:noWrap/>
            <w:vAlign w:val="bottom"/>
            <w:hideMark/>
          </w:tcPr>
          <w:p w14:paraId="488ABF4E"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1738</w:t>
            </w:r>
          </w:p>
        </w:tc>
      </w:tr>
      <w:tr w:rsidR="007F7707" w:rsidRPr="003B11BD" w14:paraId="5AF28384"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C7268C2"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A61B - DIAGNOSIS; SURGERY; IDENTIFICATION</w:t>
            </w:r>
          </w:p>
        </w:tc>
        <w:tc>
          <w:tcPr>
            <w:tcW w:w="960" w:type="dxa"/>
            <w:tcBorders>
              <w:top w:val="nil"/>
              <w:left w:val="nil"/>
              <w:bottom w:val="single" w:sz="4" w:space="0" w:color="auto"/>
              <w:right w:val="single" w:sz="4" w:space="0" w:color="auto"/>
            </w:tcBorders>
            <w:shd w:val="clear" w:color="auto" w:fill="auto"/>
            <w:noWrap/>
            <w:vAlign w:val="bottom"/>
            <w:hideMark/>
          </w:tcPr>
          <w:p w14:paraId="4C29D1FD"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2.49</w:t>
            </w:r>
          </w:p>
        </w:tc>
        <w:tc>
          <w:tcPr>
            <w:tcW w:w="960" w:type="dxa"/>
            <w:tcBorders>
              <w:top w:val="nil"/>
              <w:left w:val="nil"/>
              <w:bottom w:val="single" w:sz="4" w:space="0" w:color="auto"/>
              <w:right w:val="single" w:sz="4" w:space="0" w:color="auto"/>
            </w:tcBorders>
            <w:shd w:val="clear" w:color="auto" w:fill="auto"/>
            <w:noWrap/>
            <w:vAlign w:val="bottom"/>
            <w:hideMark/>
          </w:tcPr>
          <w:p w14:paraId="7B69A5F5"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3.01</w:t>
            </w:r>
          </w:p>
        </w:tc>
        <w:tc>
          <w:tcPr>
            <w:tcW w:w="960" w:type="dxa"/>
            <w:tcBorders>
              <w:top w:val="nil"/>
              <w:left w:val="nil"/>
              <w:bottom w:val="single" w:sz="4" w:space="0" w:color="auto"/>
              <w:right w:val="single" w:sz="4" w:space="0" w:color="auto"/>
            </w:tcBorders>
            <w:shd w:val="clear" w:color="auto" w:fill="auto"/>
            <w:noWrap/>
            <w:vAlign w:val="bottom"/>
            <w:hideMark/>
          </w:tcPr>
          <w:p w14:paraId="1F109A0C"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61955</w:t>
            </w:r>
          </w:p>
        </w:tc>
      </w:tr>
      <w:tr w:rsidR="007F7707" w:rsidRPr="003B11BD" w14:paraId="0F22450C"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4AC51E5"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A61F - FILTERS IMPLANTABLE INTO BLOOD VESSELS; PROSTHESES; [...] BANDAGES [...]; FIRST-AID KITS</w:t>
            </w:r>
          </w:p>
        </w:tc>
        <w:tc>
          <w:tcPr>
            <w:tcW w:w="960" w:type="dxa"/>
            <w:tcBorders>
              <w:top w:val="nil"/>
              <w:left w:val="nil"/>
              <w:bottom w:val="single" w:sz="4" w:space="0" w:color="auto"/>
              <w:right w:val="single" w:sz="4" w:space="0" w:color="auto"/>
            </w:tcBorders>
            <w:shd w:val="clear" w:color="auto" w:fill="auto"/>
            <w:noWrap/>
            <w:vAlign w:val="bottom"/>
            <w:hideMark/>
          </w:tcPr>
          <w:p w14:paraId="01CE8A19"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3.62</w:t>
            </w:r>
          </w:p>
        </w:tc>
        <w:tc>
          <w:tcPr>
            <w:tcW w:w="960" w:type="dxa"/>
            <w:tcBorders>
              <w:top w:val="nil"/>
              <w:left w:val="nil"/>
              <w:bottom w:val="single" w:sz="4" w:space="0" w:color="auto"/>
              <w:right w:val="single" w:sz="4" w:space="0" w:color="auto"/>
            </w:tcBorders>
            <w:shd w:val="clear" w:color="auto" w:fill="auto"/>
            <w:noWrap/>
            <w:vAlign w:val="bottom"/>
            <w:hideMark/>
          </w:tcPr>
          <w:p w14:paraId="6B9494A1"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4.03</w:t>
            </w:r>
          </w:p>
        </w:tc>
        <w:tc>
          <w:tcPr>
            <w:tcW w:w="960" w:type="dxa"/>
            <w:tcBorders>
              <w:top w:val="nil"/>
              <w:left w:val="nil"/>
              <w:bottom w:val="single" w:sz="4" w:space="0" w:color="auto"/>
              <w:right w:val="single" w:sz="4" w:space="0" w:color="auto"/>
            </w:tcBorders>
            <w:shd w:val="clear" w:color="auto" w:fill="auto"/>
            <w:noWrap/>
            <w:vAlign w:val="bottom"/>
            <w:hideMark/>
          </w:tcPr>
          <w:p w14:paraId="3E16E37F"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8987</w:t>
            </w:r>
          </w:p>
        </w:tc>
      </w:tr>
      <w:tr w:rsidR="007F7707" w:rsidRPr="003B11BD" w14:paraId="532A6756"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0BFA2E5"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A61G - TRANSPORT, PERSONAL CONVEYANCES, OR ACCOMMODATION SPECIALLY ADAPTED FOR PATIENTS OR DISABLED PERSONS</w:t>
            </w:r>
          </w:p>
        </w:tc>
        <w:tc>
          <w:tcPr>
            <w:tcW w:w="960" w:type="dxa"/>
            <w:tcBorders>
              <w:top w:val="nil"/>
              <w:left w:val="nil"/>
              <w:bottom w:val="single" w:sz="4" w:space="0" w:color="auto"/>
              <w:right w:val="single" w:sz="4" w:space="0" w:color="auto"/>
            </w:tcBorders>
            <w:shd w:val="clear" w:color="auto" w:fill="auto"/>
            <w:noWrap/>
            <w:vAlign w:val="bottom"/>
            <w:hideMark/>
          </w:tcPr>
          <w:p w14:paraId="42D8F43F"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2.76</w:t>
            </w:r>
          </w:p>
        </w:tc>
        <w:tc>
          <w:tcPr>
            <w:tcW w:w="960" w:type="dxa"/>
            <w:tcBorders>
              <w:top w:val="nil"/>
              <w:left w:val="nil"/>
              <w:bottom w:val="single" w:sz="4" w:space="0" w:color="auto"/>
              <w:right w:val="single" w:sz="4" w:space="0" w:color="auto"/>
            </w:tcBorders>
            <w:shd w:val="clear" w:color="auto" w:fill="auto"/>
            <w:noWrap/>
            <w:vAlign w:val="bottom"/>
            <w:hideMark/>
          </w:tcPr>
          <w:p w14:paraId="181EF28D"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3.52</w:t>
            </w:r>
          </w:p>
        </w:tc>
        <w:tc>
          <w:tcPr>
            <w:tcW w:w="960" w:type="dxa"/>
            <w:tcBorders>
              <w:top w:val="nil"/>
              <w:left w:val="nil"/>
              <w:bottom w:val="single" w:sz="4" w:space="0" w:color="auto"/>
              <w:right w:val="single" w:sz="4" w:space="0" w:color="auto"/>
            </w:tcBorders>
            <w:shd w:val="clear" w:color="auto" w:fill="auto"/>
            <w:noWrap/>
            <w:vAlign w:val="bottom"/>
            <w:hideMark/>
          </w:tcPr>
          <w:p w14:paraId="764BC0A5"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1970</w:t>
            </w:r>
          </w:p>
        </w:tc>
      </w:tr>
      <w:tr w:rsidR="007F7707" w:rsidRPr="003B11BD" w14:paraId="7B449BBD"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CCB2F94"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A61H - PHYSICAL THERAPY APPARATUS;[...] ARTIFICIAL RESPIRATION;</w:t>
            </w:r>
          </w:p>
        </w:tc>
        <w:tc>
          <w:tcPr>
            <w:tcW w:w="960" w:type="dxa"/>
            <w:tcBorders>
              <w:top w:val="nil"/>
              <w:left w:val="nil"/>
              <w:bottom w:val="single" w:sz="4" w:space="0" w:color="auto"/>
              <w:right w:val="single" w:sz="4" w:space="0" w:color="auto"/>
            </w:tcBorders>
            <w:shd w:val="clear" w:color="auto" w:fill="auto"/>
            <w:noWrap/>
            <w:vAlign w:val="bottom"/>
            <w:hideMark/>
          </w:tcPr>
          <w:p w14:paraId="39ECF25E"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2.86</w:t>
            </w:r>
          </w:p>
        </w:tc>
        <w:tc>
          <w:tcPr>
            <w:tcW w:w="960" w:type="dxa"/>
            <w:tcBorders>
              <w:top w:val="nil"/>
              <w:left w:val="nil"/>
              <w:bottom w:val="single" w:sz="4" w:space="0" w:color="auto"/>
              <w:right w:val="single" w:sz="4" w:space="0" w:color="auto"/>
            </w:tcBorders>
            <w:shd w:val="clear" w:color="auto" w:fill="auto"/>
            <w:noWrap/>
            <w:vAlign w:val="bottom"/>
            <w:hideMark/>
          </w:tcPr>
          <w:p w14:paraId="521AE36D"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3.40</w:t>
            </w:r>
          </w:p>
        </w:tc>
        <w:tc>
          <w:tcPr>
            <w:tcW w:w="960" w:type="dxa"/>
            <w:tcBorders>
              <w:top w:val="nil"/>
              <w:left w:val="nil"/>
              <w:bottom w:val="single" w:sz="4" w:space="0" w:color="auto"/>
              <w:right w:val="single" w:sz="4" w:space="0" w:color="auto"/>
            </w:tcBorders>
            <w:shd w:val="clear" w:color="auto" w:fill="auto"/>
            <w:noWrap/>
            <w:vAlign w:val="bottom"/>
            <w:hideMark/>
          </w:tcPr>
          <w:p w14:paraId="6C93C049"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1834</w:t>
            </w:r>
          </w:p>
        </w:tc>
      </w:tr>
      <w:tr w:rsidR="007F7707" w:rsidRPr="003B11BD" w14:paraId="5E8D660A"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2179F2B"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A61K - PREPARATIONS FOR MEDICAL, DENTAL, OR TOILET PURPOSES</w:t>
            </w:r>
          </w:p>
        </w:tc>
        <w:tc>
          <w:tcPr>
            <w:tcW w:w="960" w:type="dxa"/>
            <w:tcBorders>
              <w:top w:val="nil"/>
              <w:left w:val="nil"/>
              <w:bottom w:val="single" w:sz="4" w:space="0" w:color="auto"/>
              <w:right w:val="single" w:sz="4" w:space="0" w:color="auto"/>
            </w:tcBorders>
            <w:shd w:val="clear" w:color="auto" w:fill="auto"/>
            <w:noWrap/>
            <w:vAlign w:val="bottom"/>
            <w:hideMark/>
          </w:tcPr>
          <w:p w14:paraId="2F41F1B0"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6.53</w:t>
            </w:r>
          </w:p>
        </w:tc>
        <w:tc>
          <w:tcPr>
            <w:tcW w:w="960" w:type="dxa"/>
            <w:tcBorders>
              <w:top w:val="nil"/>
              <w:left w:val="nil"/>
              <w:bottom w:val="single" w:sz="4" w:space="0" w:color="auto"/>
              <w:right w:val="single" w:sz="4" w:space="0" w:color="auto"/>
            </w:tcBorders>
            <w:shd w:val="clear" w:color="auto" w:fill="auto"/>
            <w:noWrap/>
            <w:vAlign w:val="bottom"/>
            <w:hideMark/>
          </w:tcPr>
          <w:p w14:paraId="0FE1C834"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7.27</w:t>
            </w:r>
          </w:p>
        </w:tc>
        <w:tc>
          <w:tcPr>
            <w:tcW w:w="960" w:type="dxa"/>
            <w:tcBorders>
              <w:top w:val="nil"/>
              <w:left w:val="nil"/>
              <w:bottom w:val="single" w:sz="4" w:space="0" w:color="auto"/>
              <w:right w:val="single" w:sz="4" w:space="0" w:color="auto"/>
            </w:tcBorders>
            <w:shd w:val="clear" w:color="auto" w:fill="auto"/>
            <w:noWrap/>
            <w:vAlign w:val="bottom"/>
            <w:hideMark/>
          </w:tcPr>
          <w:p w14:paraId="63CA2F81"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99648</w:t>
            </w:r>
          </w:p>
        </w:tc>
      </w:tr>
      <w:tr w:rsidR="007F7707" w:rsidRPr="003B11BD" w14:paraId="05038E0E"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1908956"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A61L - METHODS OR APPARATUS FOR STERILISING MATERIALS OR OBJECTS [...]; DISINFECTION, STERILISATION [...]</w:t>
            </w:r>
          </w:p>
        </w:tc>
        <w:tc>
          <w:tcPr>
            <w:tcW w:w="960" w:type="dxa"/>
            <w:tcBorders>
              <w:top w:val="nil"/>
              <w:left w:val="nil"/>
              <w:bottom w:val="single" w:sz="4" w:space="0" w:color="auto"/>
              <w:right w:val="single" w:sz="4" w:space="0" w:color="auto"/>
            </w:tcBorders>
            <w:shd w:val="clear" w:color="auto" w:fill="auto"/>
            <w:noWrap/>
            <w:vAlign w:val="bottom"/>
            <w:hideMark/>
          </w:tcPr>
          <w:p w14:paraId="50F1A42C"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3.70</w:t>
            </w:r>
          </w:p>
        </w:tc>
        <w:tc>
          <w:tcPr>
            <w:tcW w:w="960" w:type="dxa"/>
            <w:tcBorders>
              <w:top w:val="nil"/>
              <w:left w:val="nil"/>
              <w:bottom w:val="single" w:sz="4" w:space="0" w:color="auto"/>
              <w:right w:val="single" w:sz="4" w:space="0" w:color="auto"/>
            </w:tcBorders>
            <w:shd w:val="clear" w:color="auto" w:fill="auto"/>
            <w:noWrap/>
            <w:vAlign w:val="bottom"/>
            <w:hideMark/>
          </w:tcPr>
          <w:p w14:paraId="6134169B"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4.47</w:t>
            </w:r>
          </w:p>
        </w:tc>
        <w:tc>
          <w:tcPr>
            <w:tcW w:w="960" w:type="dxa"/>
            <w:tcBorders>
              <w:top w:val="nil"/>
              <w:left w:val="nil"/>
              <w:bottom w:val="single" w:sz="4" w:space="0" w:color="auto"/>
              <w:right w:val="single" w:sz="4" w:space="0" w:color="auto"/>
            </w:tcBorders>
            <w:shd w:val="clear" w:color="auto" w:fill="auto"/>
            <w:noWrap/>
            <w:vAlign w:val="bottom"/>
            <w:hideMark/>
          </w:tcPr>
          <w:p w14:paraId="2654245B"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14964</w:t>
            </w:r>
          </w:p>
        </w:tc>
      </w:tr>
      <w:tr w:rsidR="007F7707" w:rsidRPr="003B11BD" w14:paraId="317E7D88"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46D5E23"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A61M - DEVICES FOR INTRODUCING MEDIA INTO, OR ONTO, THE BODY</w:t>
            </w:r>
          </w:p>
        </w:tc>
        <w:tc>
          <w:tcPr>
            <w:tcW w:w="960" w:type="dxa"/>
            <w:tcBorders>
              <w:top w:val="nil"/>
              <w:left w:val="nil"/>
              <w:bottom w:val="single" w:sz="4" w:space="0" w:color="auto"/>
              <w:right w:val="single" w:sz="4" w:space="0" w:color="auto"/>
            </w:tcBorders>
            <w:shd w:val="clear" w:color="auto" w:fill="auto"/>
            <w:noWrap/>
            <w:vAlign w:val="bottom"/>
            <w:hideMark/>
          </w:tcPr>
          <w:p w14:paraId="22C1679E"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3.52</w:t>
            </w:r>
          </w:p>
        </w:tc>
        <w:tc>
          <w:tcPr>
            <w:tcW w:w="960" w:type="dxa"/>
            <w:tcBorders>
              <w:top w:val="nil"/>
              <w:left w:val="nil"/>
              <w:bottom w:val="single" w:sz="4" w:space="0" w:color="auto"/>
              <w:right w:val="single" w:sz="4" w:space="0" w:color="auto"/>
            </w:tcBorders>
            <w:shd w:val="clear" w:color="auto" w:fill="auto"/>
            <w:noWrap/>
            <w:vAlign w:val="bottom"/>
            <w:hideMark/>
          </w:tcPr>
          <w:p w14:paraId="70B0D876"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3.88</w:t>
            </w:r>
          </w:p>
        </w:tc>
        <w:tc>
          <w:tcPr>
            <w:tcW w:w="960" w:type="dxa"/>
            <w:tcBorders>
              <w:top w:val="nil"/>
              <w:left w:val="nil"/>
              <w:bottom w:val="single" w:sz="4" w:space="0" w:color="auto"/>
              <w:right w:val="single" w:sz="4" w:space="0" w:color="auto"/>
            </w:tcBorders>
            <w:shd w:val="clear" w:color="auto" w:fill="auto"/>
            <w:noWrap/>
            <w:vAlign w:val="bottom"/>
            <w:hideMark/>
          </w:tcPr>
          <w:p w14:paraId="4B6D0C52"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22375</w:t>
            </w:r>
          </w:p>
        </w:tc>
      </w:tr>
      <w:tr w:rsidR="007F7707" w:rsidRPr="003B11BD" w14:paraId="4A7107AD"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CA298C8"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A62B - DEVICES, APPARATUS OR METHODS FOR LIFE-SAVING</w:t>
            </w:r>
          </w:p>
        </w:tc>
        <w:tc>
          <w:tcPr>
            <w:tcW w:w="960" w:type="dxa"/>
            <w:tcBorders>
              <w:top w:val="nil"/>
              <w:left w:val="nil"/>
              <w:bottom w:val="single" w:sz="4" w:space="0" w:color="auto"/>
              <w:right w:val="single" w:sz="4" w:space="0" w:color="auto"/>
            </w:tcBorders>
            <w:shd w:val="clear" w:color="auto" w:fill="auto"/>
            <w:noWrap/>
            <w:vAlign w:val="bottom"/>
            <w:hideMark/>
          </w:tcPr>
          <w:p w14:paraId="64CC0A58"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2.31</w:t>
            </w:r>
          </w:p>
        </w:tc>
        <w:tc>
          <w:tcPr>
            <w:tcW w:w="960" w:type="dxa"/>
            <w:tcBorders>
              <w:top w:val="nil"/>
              <w:left w:val="nil"/>
              <w:bottom w:val="single" w:sz="4" w:space="0" w:color="auto"/>
              <w:right w:val="single" w:sz="4" w:space="0" w:color="auto"/>
            </w:tcBorders>
            <w:shd w:val="clear" w:color="auto" w:fill="auto"/>
            <w:noWrap/>
            <w:vAlign w:val="bottom"/>
            <w:hideMark/>
          </w:tcPr>
          <w:p w14:paraId="02B5BC12"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2.96</w:t>
            </w:r>
          </w:p>
        </w:tc>
        <w:tc>
          <w:tcPr>
            <w:tcW w:w="960" w:type="dxa"/>
            <w:tcBorders>
              <w:top w:val="nil"/>
              <w:left w:val="nil"/>
              <w:bottom w:val="single" w:sz="4" w:space="0" w:color="auto"/>
              <w:right w:val="single" w:sz="4" w:space="0" w:color="auto"/>
            </w:tcBorders>
            <w:shd w:val="clear" w:color="auto" w:fill="auto"/>
            <w:noWrap/>
            <w:vAlign w:val="bottom"/>
            <w:hideMark/>
          </w:tcPr>
          <w:p w14:paraId="10FCB9CF"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2663</w:t>
            </w:r>
          </w:p>
        </w:tc>
      </w:tr>
      <w:tr w:rsidR="007F7707" w:rsidRPr="003B11BD" w14:paraId="32CE6AE0"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D4061A5"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A62D - [...] COMPOSITION OF CHEMICAL MATERIALS FOR USE IN BREATHING APPARATUS</w:t>
            </w:r>
          </w:p>
        </w:tc>
        <w:tc>
          <w:tcPr>
            <w:tcW w:w="960" w:type="dxa"/>
            <w:tcBorders>
              <w:top w:val="nil"/>
              <w:left w:val="nil"/>
              <w:bottom w:val="single" w:sz="4" w:space="0" w:color="auto"/>
              <w:right w:val="single" w:sz="4" w:space="0" w:color="auto"/>
            </w:tcBorders>
            <w:shd w:val="clear" w:color="auto" w:fill="auto"/>
            <w:noWrap/>
            <w:vAlign w:val="bottom"/>
            <w:hideMark/>
          </w:tcPr>
          <w:p w14:paraId="59EEE310"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3.46</w:t>
            </w:r>
          </w:p>
        </w:tc>
        <w:tc>
          <w:tcPr>
            <w:tcW w:w="960" w:type="dxa"/>
            <w:tcBorders>
              <w:top w:val="nil"/>
              <w:left w:val="nil"/>
              <w:bottom w:val="single" w:sz="4" w:space="0" w:color="auto"/>
              <w:right w:val="single" w:sz="4" w:space="0" w:color="auto"/>
            </w:tcBorders>
            <w:shd w:val="clear" w:color="auto" w:fill="auto"/>
            <w:noWrap/>
            <w:vAlign w:val="bottom"/>
            <w:hideMark/>
          </w:tcPr>
          <w:p w14:paraId="3C89BAD9"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4.09</w:t>
            </w:r>
          </w:p>
        </w:tc>
        <w:tc>
          <w:tcPr>
            <w:tcW w:w="960" w:type="dxa"/>
            <w:tcBorders>
              <w:top w:val="nil"/>
              <w:left w:val="nil"/>
              <w:bottom w:val="single" w:sz="4" w:space="0" w:color="auto"/>
              <w:right w:val="single" w:sz="4" w:space="0" w:color="auto"/>
            </w:tcBorders>
            <w:shd w:val="clear" w:color="auto" w:fill="auto"/>
            <w:noWrap/>
            <w:vAlign w:val="bottom"/>
            <w:hideMark/>
          </w:tcPr>
          <w:p w14:paraId="0AD1EF1A"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202</w:t>
            </w:r>
          </w:p>
        </w:tc>
      </w:tr>
      <w:tr w:rsidR="007F7707" w:rsidRPr="003B11BD" w14:paraId="4E8785E0"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3E6D038"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B25J - MANIPULATORS; CHAMBERS PROVIDED WITH MANIPULATION DEVICES</w:t>
            </w:r>
          </w:p>
        </w:tc>
        <w:tc>
          <w:tcPr>
            <w:tcW w:w="960" w:type="dxa"/>
            <w:tcBorders>
              <w:top w:val="nil"/>
              <w:left w:val="nil"/>
              <w:bottom w:val="single" w:sz="4" w:space="0" w:color="auto"/>
              <w:right w:val="single" w:sz="4" w:space="0" w:color="auto"/>
            </w:tcBorders>
            <w:shd w:val="clear" w:color="auto" w:fill="auto"/>
            <w:noWrap/>
            <w:vAlign w:val="bottom"/>
            <w:hideMark/>
          </w:tcPr>
          <w:p w14:paraId="38CEBAB4"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1.90</w:t>
            </w:r>
          </w:p>
        </w:tc>
        <w:tc>
          <w:tcPr>
            <w:tcW w:w="960" w:type="dxa"/>
            <w:tcBorders>
              <w:top w:val="nil"/>
              <w:left w:val="nil"/>
              <w:bottom w:val="single" w:sz="4" w:space="0" w:color="auto"/>
              <w:right w:val="single" w:sz="4" w:space="0" w:color="auto"/>
            </w:tcBorders>
            <w:shd w:val="clear" w:color="auto" w:fill="auto"/>
            <w:noWrap/>
            <w:vAlign w:val="bottom"/>
            <w:hideMark/>
          </w:tcPr>
          <w:p w14:paraId="6DDD545E"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2.62</w:t>
            </w:r>
          </w:p>
        </w:tc>
        <w:tc>
          <w:tcPr>
            <w:tcW w:w="960" w:type="dxa"/>
            <w:tcBorders>
              <w:top w:val="nil"/>
              <w:left w:val="nil"/>
              <w:bottom w:val="single" w:sz="4" w:space="0" w:color="auto"/>
              <w:right w:val="single" w:sz="4" w:space="0" w:color="auto"/>
            </w:tcBorders>
            <w:shd w:val="clear" w:color="auto" w:fill="auto"/>
            <w:noWrap/>
            <w:vAlign w:val="bottom"/>
            <w:hideMark/>
          </w:tcPr>
          <w:p w14:paraId="5EFA9734"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9734</w:t>
            </w:r>
          </w:p>
        </w:tc>
      </w:tr>
      <w:tr w:rsidR="007F7707" w:rsidRPr="003B11BD" w14:paraId="0F75F775"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027B000"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C07D - HETEROCYCLIC COMPOUNDS</w:t>
            </w:r>
          </w:p>
        </w:tc>
        <w:tc>
          <w:tcPr>
            <w:tcW w:w="960" w:type="dxa"/>
            <w:tcBorders>
              <w:top w:val="nil"/>
              <w:left w:val="nil"/>
              <w:bottom w:val="single" w:sz="4" w:space="0" w:color="auto"/>
              <w:right w:val="single" w:sz="4" w:space="0" w:color="auto"/>
            </w:tcBorders>
            <w:shd w:val="clear" w:color="auto" w:fill="auto"/>
            <w:noWrap/>
            <w:vAlign w:val="bottom"/>
            <w:hideMark/>
          </w:tcPr>
          <w:p w14:paraId="4D97D0BB"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7.74</w:t>
            </w:r>
          </w:p>
        </w:tc>
        <w:tc>
          <w:tcPr>
            <w:tcW w:w="960" w:type="dxa"/>
            <w:tcBorders>
              <w:top w:val="nil"/>
              <w:left w:val="nil"/>
              <w:bottom w:val="single" w:sz="4" w:space="0" w:color="auto"/>
              <w:right w:val="single" w:sz="4" w:space="0" w:color="auto"/>
            </w:tcBorders>
            <w:shd w:val="clear" w:color="auto" w:fill="auto"/>
            <w:noWrap/>
            <w:vAlign w:val="bottom"/>
            <w:hideMark/>
          </w:tcPr>
          <w:p w14:paraId="542F82E1"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8.18</w:t>
            </w:r>
          </w:p>
        </w:tc>
        <w:tc>
          <w:tcPr>
            <w:tcW w:w="960" w:type="dxa"/>
            <w:tcBorders>
              <w:top w:val="nil"/>
              <w:left w:val="nil"/>
              <w:bottom w:val="single" w:sz="4" w:space="0" w:color="auto"/>
              <w:right w:val="single" w:sz="4" w:space="0" w:color="auto"/>
            </w:tcBorders>
            <w:shd w:val="clear" w:color="auto" w:fill="auto"/>
            <w:noWrap/>
            <w:vAlign w:val="bottom"/>
            <w:hideMark/>
          </w:tcPr>
          <w:p w14:paraId="3DBCCFA0"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24052</w:t>
            </w:r>
          </w:p>
        </w:tc>
      </w:tr>
      <w:tr w:rsidR="007F7707" w:rsidRPr="003B11BD" w14:paraId="42F291FC"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BA2FE2C"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C07H - SUGARS; DERIVATIVES THEREOF; NUCLEOSIDES; NUCLEOTIDES; NUCLEIC ACIDS</w:t>
            </w:r>
          </w:p>
        </w:tc>
        <w:tc>
          <w:tcPr>
            <w:tcW w:w="960" w:type="dxa"/>
            <w:tcBorders>
              <w:top w:val="nil"/>
              <w:left w:val="nil"/>
              <w:bottom w:val="single" w:sz="4" w:space="0" w:color="auto"/>
              <w:right w:val="single" w:sz="4" w:space="0" w:color="auto"/>
            </w:tcBorders>
            <w:shd w:val="clear" w:color="auto" w:fill="auto"/>
            <w:noWrap/>
            <w:vAlign w:val="bottom"/>
            <w:hideMark/>
          </w:tcPr>
          <w:p w14:paraId="76FDC070"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6.45</w:t>
            </w:r>
          </w:p>
        </w:tc>
        <w:tc>
          <w:tcPr>
            <w:tcW w:w="960" w:type="dxa"/>
            <w:tcBorders>
              <w:top w:val="nil"/>
              <w:left w:val="nil"/>
              <w:bottom w:val="single" w:sz="4" w:space="0" w:color="auto"/>
              <w:right w:val="single" w:sz="4" w:space="0" w:color="auto"/>
            </w:tcBorders>
            <w:shd w:val="clear" w:color="auto" w:fill="auto"/>
            <w:noWrap/>
            <w:vAlign w:val="bottom"/>
            <w:hideMark/>
          </w:tcPr>
          <w:p w14:paraId="7FCC7C73"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6.74</w:t>
            </w:r>
          </w:p>
        </w:tc>
        <w:tc>
          <w:tcPr>
            <w:tcW w:w="960" w:type="dxa"/>
            <w:tcBorders>
              <w:top w:val="nil"/>
              <w:left w:val="nil"/>
              <w:bottom w:val="single" w:sz="4" w:space="0" w:color="auto"/>
              <w:right w:val="single" w:sz="4" w:space="0" w:color="auto"/>
            </w:tcBorders>
            <w:shd w:val="clear" w:color="auto" w:fill="auto"/>
            <w:noWrap/>
            <w:vAlign w:val="bottom"/>
            <w:hideMark/>
          </w:tcPr>
          <w:p w14:paraId="62CF3A0B"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9689</w:t>
            </w:r>
          </w:p>
        </w:tc>
      </w:tr>
      <w:tr w:rsidR="007F7707" w:rsidRPr="003B11BD" w14:paraId="6F8D0FD3"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ED75027" w14:textId="4F2D9C79"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 xml:space="preserve">C07K </w:t>
            </w:r>
            <w:r w:rsidR="000211EC" w:rsidRPr="003B11BD">
              <w:rPr>
                <w:rFonts w:ascii="Calibri" w:eastAsia="Times New Roman" w:hAnsi="Calibri" w:cs="Calibri"/>
                <w:noProof/>
                <w:color w:val="000000"/>
                <w:sz w:val="22"/>
                <w:szCs w:val="22"/>
                <w:lang w:val="en-IE" w:eastAsia="en-GB"/>
              </w:rPr>
              <w:t>–</w:t>
            </w:r>
            <w:r w:rsidRPr="003B11BD">
              <w:rPr>
                <w:rFonts w:ascii="Calibri" w:eastAsia="Times New Roman" w:hAnsi="Calibri" w:cs="Calibri"/>
                <w:noProof/>
                <w:color w:val="000000"/>
                <w:sz w:val="22"/>
                <w:szCs w:val="22"/>
                <w:lang w:val="en-IE" w:eastAsia="en-GB"/>
              </w:rPr>
              <w:t xml:space="preserve"> PEPTIDES</w:t>
            </w:r>
          </w:p>
        </w:tc>
        <w:tc>
          <w:tcPr>
            <w:tcW w:w="960" w:type="dxa"/>
            <w:tcBorders>
              <w:top w:val="nil"/>
              <w:left w:val="nil"/>
              <w:bottom w:val="single" w:sz="4" w:space="0" w:color="auto"/>
              <w:right w:val="single" w:sz="4" w:space="0" w:color="auto"/>
            </w:tcBorders>
            <w:shd w:val="clear" w:color="auto" w:fill="auto"/>
            <w:noWrap/>
            <w:vAlign w:val="bottom"/>
            <w:hideMark/>
          </w:tcPr>
          <w:p w14:paraId="552ADFAD"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7.20</w:t>
            </w:r>
          </w:p>
        </w:tc>
        <w:tc>
          <w:tcPr>
            <w:tcW w:w="960" w:type="dxa"/>
            <w:tcBorders>
              <w:top w:val="nil"/>
              <w:left w:val="nil"/>
              <w:bottom w:val="single" w:sz="4" w:space="0" w:color="auto"/>
              <w:right w:val="single" w:sz="4" w:space="0" w:color="auto"/>
            </w:tcBorders>
            <w:shd w:val="clear" w:color="auto" w:fill="auto"/>
            <w:noWrap/>
            <w:vAlign w:val="bottom"/>
            <w:hideMark/>
          </w:tcPr>
          <w:p w14:paraId="68D3E542"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7.54</w:t>
            </w:r>
          </w:p>
        </w:tc>
        <w:tc>
          <w:tcPr>
            <w:tcW w:w="960" w:type="dxa"/>
            <w:tcBorders>
              <w:top w:val="nil"/>
              <w:left w:val="nil"/>
              <w:bottom w:val="single" w:sz="4" w:space="0" w:color="auto"/>
              <w:right w:val="single" w:sz="4" w:space="0" w:color="auto"/>
            </w:tcBorders>
            <w:shd w:val="clear" w:color="auto" w:fill="auto"/>
            <w:noWrap/>
            <w:vAlign w:val="bottom"/>
            <w:hideMark/>
          </w:tcPr>
          <w:p w14:paraId="240F0705"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33736</w:t>
            </w:r>
          </w:p>
        </w:tc>
      </w:tr>
      <w:tr w:rsidR="007F7707" w:rsidRPr="003B11BD" w14:paraId="3D15A803"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11A4F6A9"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C12M - APPARATUS FOR ENZYMOLOGY OR MICROBIOLOGY</w:t>
            </w:r>
          </w:p>
        </w:tc>
        <w:tc>
          <w:tcPr>
            <w:tcW w:w="960" w:type="dxa"/>
            <w:tcBorders>
              <w:top w:val="nil"/>
              <w:left w:val="nil"/>
              <w:bottom w:val="single" w:sz="4" w:space="0" w:color="auto"/>
              <w:right w:val="single" w:sz="4" w:space="0" w:color="auto"/>
            </w:tcBorders>
            <w:shd w:val="clear" w:color="auto" w:fill="auto"/>
            <w:noWrap/>
            <w:vAlign w:val="bottom"/>
            <w:hideMark/>
          </w:tcPr>
          <w:p w14:paraId="00975F2E"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3.87</w:t>
            </w:r>
          </w:p>
        </w:tc>
        <w:tc>
          <w:tcPr>
            <w:tcW w:w="960" w:type="dxa"/>
            <w:tcBorders>
              <w:top w:val="nil"/>
              <w:left w:val="nil"/>
              <w:bottom w:val="single" w:sz="4" w:space="0" w:color="auto"/>
              <w:right w:val="single" w:sz="4" w:space="0" w:color="auto"/>
            </w:tcBorders>
            <w:shd w:val="clear" w:color="auto" w:fill="auto"/>
            <w:noWrap/>
            <w:vAlign w:val="bottom"/>
            <w:hideMark/>
          </w:tcPr>
          <w:p w14:paraId="4A2B1A83"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4.23</w:t>
            </w:r>
          </w:p>
        </w:tc>
        <w:tc>
          <w:tcPr>
            <w:tcW w:w="960" w:type="dxa"/>
            <w:tcBorders>
              <w:top w:val="nil"/>
              <w:left w:val="nil"/>
              <w:bottom w:val="single" w:sz="4" w:space="0" w:color="auto"/>
              <w:right w:val="single" w:sz="4" w:space="0" w:color="auto"/>
            </w:tcBorders>
            <w:shd w:val="clear" w:color="auto" w:fill="auto"/>
            <w:noWrap/>
            <w:vAlign w:val="bottom"/>
            <w:hideMark/>
          </w:tcPr>
          <w:p w14:paraId="72A4F346"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8780</w:t>
            </w:r>
          </w:p>
        </w:tc>
      </w:tr>
      <w:tr w:rsidR="007F7707" w:rsidRPr="003B11BD" w14:paraId="30817063"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2DB3E01"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C12N - MICROORGANISMS OR ENZYMES; COMPOSITIONS THEREOF; [...]</w:t>
            </w:r>
          </w:p>
        </w:tc>
        <w:tc>
          <w:tcPr>
            <w:tcW w:w="960" w:type="dxa"/>
            <w:tcBorders>
              <w:top w:val="nil"/>
              <w:left w:val="nil"/>
              <w:bottom w:val="single" w:sz="4" w:space="0" w:color="auto"/>
              <w:right w:val="single" w:sz="4" w:space="0" w:color="auto"/>
            </w:tcBorders>
            <w:shd w:val="clear" w:color="auto" w:fill="auto"/>
            <w:noWrap/>
            <w:vAlign w:val="bottom"/>
            <w:hideMark/>
          </w:tcPr>
          <w:p w14:paraId="2FE667B5"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6.16</w:t>
            </w:r>
          </w:p>
        </w:tc>
        <w:tc>
          <w:tcPr>
            <w:tcW w:w="960" w:type="dxa"/>
            <w:tcBorders>
              <w:top w:val="nil"/>
              <w:left w:val="nil"/>
              <w:bottom w:val="single" w:sz="4" w:space="0" w:color="auto"/>
              <w:right w:val="single" w:sz="4" w:space="0" w:color="auto"/>
            </w:tcBorders>
            <w:shd w:val="clear" w:color="auto" w:fill="auto"/>
            <w:noWrap/>
            <w:vAlign w:val="bottom"/>
            <w:hideMark/>
          </w:tcPr>
          <w:p w14:paraId="35255F34"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6.54</w:t>
            </w:r>
          </w:p>
        </w:tc>
        <w:tc>
          <w:tcPr>
            <w:tcW w:w="960" w:type="dxa"/>
            <w:tcBorders>
              <w:top w:val="nil"/>
              <w:left w:val="nil"/>
              <w:bottom w:val="single" w:sz="4" w:space="0" w:color="auto"/>
              <w:right w:val="single" w:sz="4" w:space="0" w:color="auto"/>
            </w:tcBorders>
            <w:shd w:val="clear" w:color="auto" w:fill="auto"/>
            <w:noWrap/>
            <w:vAlign w:val="bottom"/>
            <w:hideMark/>
          </w:tcPr>
          <w:p w14:paraId="75C20D34"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46613</w:t>
            </w:r>
          </w:p>
        </w:tc>
      </w:tr>
      <w:tr w:rsidR="007F7707" w:rsidRPr="003B11BD" w14:paraId="3E12F69C"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0C16067" w14:textId="1394D027" w:rsidR="007F7707" w:rsidRPr="003B11BD" w:rsidRDefault="007F7707" w:rsidP="00AE2F28">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C12P - FERMENTATION OR ENZYME-USING PROCESSES TO SYNTHESISE A DESIRED CHEMICAL COMPOUND[...]</w:t>
            </w:r>
          </w:p>
        </w:tc>
        <w:tc>
          <w:tcPr>
            <w:tcW w:w="960" w:type="dxa"/>
            <w:tcBorders>
              <w:top w:val="nil"/>
              <w:left w:val="nil"/>
              <w:bottom w:val="single" w:sz="4" w:space="0" w:color="auto"/>
              <w:right w:val="single" w:sz="4" w:space="0" w:color="auto"/>
            </w:tcBorders>
            <w:shd w:val="clear" w:color="auto" w:fill="auto"/>
            <w:noWrap/>
            <w:vAlign w:val="bottom"/>
            <w:hideMark/>
          </w:tcPr>
          <w:p w14:paraId="459C3279"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6.77</w:t>
            </w:r>
          </w:p>
        </w:tc>
        <w:tc>
          <w:tcPr>
            <w:tcW w:w="960" w:type="dxa"/>
            <w:tcBorders>
              <w:top w:val="nil"/>
              <w:left w:val="nil"/>
              <w:bottom w:val="single" w:sz="4" w:space="0" w:color="auto"/>
              <w:right w:val="single" w:sz="4" w:space="0" w:color="auto"/>
            </w:tcBorders>
            <w:shd w:val="clear" w:color="auto" w:fill="auto"/>
            <w:noWrap/>
            <w:vAlign w:val="bottom"/>
            <w:hideMark/>
          </w:tcPr>
          <w:p w14:paraId="14492AE5"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7.06</w:t>
            </w:r>
          </w:p>
        </w:tc>
        <w:tc>
          <w:tcPr>
            <w:tcW w:w="960" w:type="dxa"/>
            <w:tcBorders>
              <w:top w:val="nil"/>
              <w:left w:val="nil"/>
              <w:bottom w:val="single" w:sz="4" w:space="0" w:color="auto"/>
              <w:right w:val="single" w:sz="4" w:space="0" w:color="auto"/>
            </w:tcBorders>
            <w:shd w:val="clear" w:color="auto" w:fill="auto"/>
            <w:noWrap/>
            <w:vAlign w:val="bottom"/>
            <w:hideMark/>
          </w:tcPr>
          <w:p w14:paraId="55FF4BFC"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14042</w:t>
            </w:r>
          </w:p>
        </w:tc>
      </w:tr>
      <w:tr w:rsidR="007F7707" w:rsidRPr="003B11BD" w14:paraId="070A93CE"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88BA65F"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 xml:space="preserve">C12Q - MEASURING OR TESTING PROCESSES INVOLVING ENZYMES, NUCLEIC ACIDS OR MICROORGANISMS </w:t>
            </w:r>
          </w:p>
        </w:tc>
        <w:tc>
          <w:tcPr>
            <w:tcW w:w="960" w:type="dxa"/>
            <w:tcBorders>
              <w:top w:val="nil"/>
              <w:left w:val="nil"/>
              <w:bottom w:val="single" w:sz="4" w:space="0" w:color="auto"/>
              <w:right w:val="single" w:sz="4" w:space="0" w:color="auto"/>
            </w:tcBorders>
            <w:shd w:val="clear" w:color="auto" w:fill="auto"/>
            <w:noWrap/>
            <w:vAlign w:val="bottom"/>
            <w:hideMark/>
          </w:tcPr>
          <w:p w14:paraId="207A7357"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4.63</w:t>
            </w:r>
          </w:p>
        </w:tc>
        <w:tc>
          <w:tcPr>
            <w:tcW w:w="960" w:type="dxa"/>
            <w:tcBorders>
              <w:top w:val="nil"/>
              <w:left w:val="nil"/>
              <w:bottom w:val="single" w:sz="4" w:space="0" w:color="auto"/>
              <w:right w:val="single" w:sz="4" w:space="0" w:color="auto"/>
            </w:tcBorders>
            <w:shd w:val="clear" w:color="auto" w:fill="auto"/>
            <w:noWrap/>
            <w:vAlign w:val="bottom"/>
            <w:hideMark/>
          </w:tcPr>
          <w:p w14:paraId="14A78894"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5.07</w:t>
            </w:r>
          </w:p>
        </w:tc>
        <w:tc>
          <w:tcPr>
            <w:tcW w:w="960" w:type="dxa"/>
            <w:tcBorders>
              <w:top w:val="nil"/>
              <w:left w:val="nil"/>
              <w:bottom w:val="single" w:sz="4" w:space="0" w:color="auto"/>
              <w:right w:val="single" w:sz="4" w:space="0" w:color="auto"/>
            </w:tcBorders>
            <w:shd w:val="clear" w:color="auto" w:fill="auto"/>
            <w:noWrap/>
            <w:vAlign w:val="bottom"/>
            <w:hideMark/>
          </w:tcPr>
          <w:p w14:paraId="7A2F638A"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26094</w:t>
            </w:r>
          </w:p>
        </w:tc>
      </w:tr>
      <w:tr w:rsidR="007F7707" w:rsidRPr="003B11BD" w14:paraId="4340BCC2"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3BD50440"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G01N - INVESTIGATING OR ANALYSING MATERIALS BY DETERMINING THEIR CHEMICAL OR PHYSICAL PROPERTIES</w:t>
            </w:r>
          </w:p>
        </w:tc>
        <w:tc>
          <w:tcPr>
            <w:tcW w:w="960" w:type="dxa"/>
            <w:tcBorders>
              <w:top w:val="nil"/>
              <w:left w:val="nil"/>
              <w:bottom w:val="single" w:sz="4" w:space="0" w:color="auto"/>
              <w:right w:val="single" w:sz="4" w:space="0" w:color="auto"/>
            </w:tcBorders>
            <w:shd w:val="clear" w:color="auto" w:fill="auto"/>
            <w:noWrap/>
            <w:vAlign w:val="bottom"/>
            <w:hideMark/>
          </w:tcPr>
          <w:p w14:paraId="7610F0DA"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4.33</w:t>
            </w:r>
          </w:p>
        </w:tc>
        <w:tc>
          <w:tcPr>
            <w:tcW w:w="960" w:type="dxa"/>
            <w:tcBorders>
              <w:top w:val="nil"/>
              <w:left w:val="nil"/>
              <w:bottom w:val="single" w:sz="4" w:space="0" w:color="auto"/>
              <w:right w:val="single" w:sz="4" w:space="0" w:color="auto"/>
            </w:tcBorders>
            <w:shd w:val="clear" w:color="auto" w:fill="auto"/>
            <w:noWrap/>
            <w:vAlign w:val="bottom"/>
            <w:hideMark/>
          </w:tcPr>
          <w:p w14:paraId="02F4C0BA"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4.78</w:t>
            </w:r>
          </w:p>
        </w:tc>
        <w:tc>
          <w:tcPr>
            <w:tcW w:w="960" w:type="dxa"/>
            <w:tcBorders>
              <w:top w:val="nil"/>
              <w:left w:val="nil"/>
              <w:bottom w:val="single" w:sz="4" w:space="0" w:color="auto"/>
              <w:right w:val="single" w:sz="4" w:space="0" w:color="auto"/>
            </w:tcBorders>
            <w:shd w:val="clear" w:color="auto" w:fill="auto"/>
            <w:noWrap/>
            <w:vAlign w:val="bottom"/>
            <w:hideMark/>
          </w:tcPr>
          <w:p w14:paraId="029257D8"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33219</w:t>
            </w:r>
          </w:p>
        </w:tc>
      </w:tr>
      <w:tr w:rsidR="007F7707" w:rsidRPr="003B11BD" w14:paraId="53DCD816"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5962D4C"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G16B - BIOINFORMATICS, [...] ICT SPECIALLY ADAPTED FOR GENETIC OR PROTEIN-RELATED DATA PROCESSING [...]</w:t>
            </w:r>
          </w:p>
        </w:tc>
        <w:tc>
          <w:tcPr>
            <w:tcW w:w="960" w:type="dxa"/>
            <w:tcBorders>
              <w:top w:val="nil"/>
              <w:left w:val="nil"/>
              <w:bottom w:val="single" w:sz="4" w:space="0" w:color="auto"/>
              <w:right w:val="single" w:sz="4" w:space="0" w:color="auto"/>
            </w:tcBorders>
            <w:shd w:val="clear" w:color="auto" w:fill="auto"/>
            <w:noWrap/>
            <w:vAlign w:val="bottom"/>
            <w:hideMark/>
          </w:tcPr>
          <w:p w14:paraId="0D54921B"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4.84</w:t>
            </w:r>
          </w:p>
        </w:tc>
        <w:tc>
          <w:tcPr>
            <w:tcW w:w="960" w:type="dxa"/>
            <w:tcBorders>
              <w:top w:val="nil"/>
              <w:left w:val="nil"/>
              <w:bottom w:val="single" w:sz="4" w:space="0" w:color="auto"/>
              <w:right w:val="single" w:sz="4" w:space="0" w:color="auto"/>
            </w:tcBorders>
            <w:shd w:val="clear" w:color="auto" w:fill="auto"/>
            <w:noWrap/>
            <w:vAlign w:val="bottom"/>
            <w:hideMark/>
          </w:tcPr>
          <w:p w14:paraId="0075D2F4"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5.15</w:t>
            </w:r>
          </w:p>
        </w:tc>
        <w:tc>
          <w:tcPr>
            <w:tcW w:w="960" w:type="dxa"/>
            <w:tcBorders>
              <w:top w:val="nil"/>
              <w:left w:val="nil"/>
              <w:bottom w:val="single" w:sz="4" w:space="0" w:color="auto"/>
              <w:right w:val="single" w:sz="4" w:space="0" w:color="auto"/>
            </w:tcBorders>
            <w:shd w:val="clear" w:color="auto" w:fill="auto"/>
            <w:noWrap/>
            <w:vAlign w:val="bottom"/>
            <w:hideMark/>
          </w:tcPr>
          <w:p w14:paraId="432A9682"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2072</w:t>
            </w:r>
          </w:p>
        </w:tc>
      </w:tr>
      <w:tr w:rsidR="007F7707" w:rsidRPr="003B11BD" w14:paraId="5B3E11EE"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A5AA7A5"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G16C - COMPUTATIONAL CHEMISTRY; CHEMOINFORMATICS; COMPUTATIONAL MATERIALS SCIENCE</w:t>
            </w:r>
          </w:p>
        </w:tc>
        <w:tc>
          <w:tcPr>
            <w:tcW w:w="960" w:type="dxa"/>
            <w:tcBorders>
              <w:top w:val="nil"/>
              <w:left w:val="nil"/>
              <w:bottom w:val="single" w:sz="4" w:space="0" w:color="auto"/>
              <w:right w:val="single" w:sz="4" w:space="0" w:color="auto"/>
            </w:tcBorders>
            <w:shd w:val="clear" w:color="auto" w:fill="auto"/>
            <w:noWrap/>
            <w:vAlign w:val="bottom"/>
            <w:hideMark/>
          </w:tcPr>
          <w:p w14:paraId="62DE551B"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4.79</w:t>
            </w:r>
          </w:p>
        </w:tc>
        <w:tc>
          <w:tcPr>
            <w:tcW w:w="960" w:type="dxa"/>
            <w:tcBorders>
              <w:top w:val="nil"/>
              <w:left w:val="nil"/>
              <w:bottom w:val="single" w:sz="4" w:space="0" w:color="auto"/>
              <w:right w:val="single" w:sz="4" w:space="0" w:color="auto"/>
            </w:tcBorders>
            <w:shd w:val="clear" w:color="auto" w:fill="auto"/>
            <w:noWrap/>
            <w:vAlign w:val="bottom"/>
            <w:hideMark/>
          </w:tcPr>
          <w:p w14:paraId="0673E9CB"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5.02</w:t>
            </w:r>
          </w:p>
        </w:tc>
        <w:tc>
          <w:tcPr>
            <w:tcW w:w="960" w:type="dxa"/>
            <w:tcBorders>
              <w:top w:val="nil"/>
              <w:left w:val="nil"/>
              <w:bottom w:val="single" w:sz="4" w:space="0" w:color="auto"/>
              <w:right w:val="single" w:sz="4" w:space="0" w:color="auto"/>
            </w:tcBorders>
            <w:shd w:val="clear" w:color="auto" w:fill="auto"/>
            <w:noWrap/>
            <w:vAlign w:val="bottom"/>
            <w:hideMark/>
          </w:tcPr>
          <w:p w14:paraId="27DCC353"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329</w:t>
            </w:r>
          </w:p>
        </w:tc>
      </w:tr>
      <w:tr w:rsidR="007F7707" w:rsidRPr="003B11BD" w14:paraId="08747FF6"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742BBF0"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 xml:space="preserve">G16H - HEALTHCARE INFORMATICS, [...] ICT SPECIALLY ADAPTED FOR THE HANDLING OR PROCESSING OF MEDICAL OR HEALTHCARE DATA </w:t>
            </w:r>
          </w:p>
        </w:tc>
        <w:tc>
          <w:tcPr>
            <w:tcW w:w="960" w:type="dxa"/>
            <w:tcBorders>
              <w:top w:val="nil"/>
              <w:left w:val="nil"/>
              <w:bottom w:val="single" w:sz="4" w:space="0" w:color="auto"/>
              <w:right w:val="single" w:sz="4" w:space="0" w:color="auto"/>
            </w:tcBorders>
            <w:shd w:val="clear" w:color="auto" w:fill="auto"/>
            <w:noWrap/>
            <w:vAlign w:val="bottom"/>
            <w:hideMark/>
          </w:tcPr>
          <w:p w14:paraId="5630D647"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2.73</w:t>
            </w:r>
          </w:p>
        </w:tc>
        <w:tc>
          <w:tcPr>
            <w:tcW w:w="960" w:type="dxa"/>
            <w:tcBorders>
              <w:top w:val="nil"/>
              <w:left w:val="nil"/>
              <w:bottom w:val="single" w:sz="4" w:space="0" w:color="auto"/>
              <w:right w:val="single" w:sz="4" w:space="0" w:color="auto"/>
            </w:tcBorders>
            <w:shd w:val="clear" w:color="auto" w:fill="auto"/>
            <w:noWrap/>
            <w:vAlign w:val="bottom"/>
            <w:hideMark/>
          </w:tcPr>
          <w:p w14:paraId="2A9957CF"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3.26</w:t>
            </w:r>
          </w:p>
        </w:tc>
        <w:tc>
          <w:tcPr>
            <w:tcW w:w="960" w:type="dxa"/>
            <w:tcBorders>
              <w:top w:val="nil"/>
              <w:left w:val="nil"/>
              <w:bottom w:val="single" w:sz="4" w:space="0" w:color="auto"/>
              <w:right w:val="single" w:sz="4" w:space="0" w:color="auto"/>
            </w:tcBorders>
            <w:shd w:val="clear" w:color="auto" w:fill="auto"/>
            <w:noWrap/>
            <w:vAlign w:val="bottom"/>
            <w:hideMark/>
          </w:tcPr>
          <w:p w14:paraId="57CA56E5"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7441</w:t>
            </w:r>
          </w:p>
        </w:tc>
      </w:tr>
      <w:tr w:rsidR="007F7707" w:rsidRPr="003B11BD" w14:paraId="123574AD" w14:textId="77777777" w:rsidTr="00C905A4">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785DC200" w14:textId="77777777" w:rsidR="007F7707" w:rsidRPr="003B11BD" w:rsidRDefault="007F7707" w:rsidP="007F7707">
            <w:pPr>
              <w:spacing w:after="0"/>
              <w:jc w:val="lef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F24F - AIR-CONDITIONING; AIR-HUMIDIFICATION; VENTILATION; USE OF AIR CURRENTS FOR SCREENING</w:t>
            </w:r>
          </w:p>
        </w:tc>
        <w:tc>
          <w:tcPr>
            <w:tcW w:w="960" w:type="dxa"/>
            <w:tcBorders>
              <w:top w:val="nil"/>
              <w:left w:val="nil"/>
              <w:bottom w:val="single" w:sz="4" w:space="0" w:color="auto"/>
              <w:right w:val="single" w:sz="4" w:space="0" w:color="auto"/>
            </w:tcBorders>
            <w:shd w:val="clear" w:color="auto" w:fill="auto"/>
            <w:noWrap/>
            <w:vAlign w:val="bottom"/>
            <w:hideMark/>
          </w:tcPr>
          <w:p w14:paraId="3FE87EB3"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2.35</w:t>
            </w:r>
          </w:p>
        </w:tc>
        <w:tc>
          <w:tcPr>
            <w:tcW w:w="960" w:type="dxa"/>
            <w:tcBorders>
              <w:top w:val="nil"/>
              <w:left w:val="nil"/>
              <w:bottom w:val="single" w:sz="4" w:space="0" w:color="auto"/>
              <w:right w:val="single" w:sz="4" w:space="0" w:color="auto"/>
            </w:tcBorders>
            <w:shd w:val="clear" w:color="auto" w:fill="auto"/>
            <w:noWrap/>
            <w:vAlign w:val="bottom"/>
            <w:hideMark/>
          </w:tcPr>
          <w:p w14:paraId="555166E0"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3.14</w:t>
            </w:r>
          </w:p>
        </w:tc>
        <w:tc>
          <w:tcPr>
            <w:tcW w:w="960" w:type="dxa"/>
            <w:tcBorders>
              <w:top w:val="nil"/>
              <w:left w:val="nil"/>
              <w:bottom w:val="single" w:sz="4" w:space="0" w:color="auto"/>
              <w:right w:val="single" w:sz="4" w:space="0" w:color="auto"/>
            </w:tcBorders>
            <w:shd w:val="clear" w:color="auto" w:fill="auto"/>
            <w:noWrap/>
            <w:vAlign w:val="bottom"/>
            <w:hideMark/>
          </w:tcPr>
          <w:p w14:paraId="2EE49504" w14:textId="77777777" w:rsidR="007F7707" w:rsidRPr="003B11BD" w:rsidRDefault="007F7707" w:rsidP="007F7707">
            <w:pPr>
              <w:spacing w:after="0"/>
              <w:jc w:val="right"/>
              <w:rPr>
                <w:rFonts w:ascii="Calibri" w:eastAsia="Times New Roman" w:hAnsi="Calibri" w:cs="Calibri"/>
                <w:noProof/>
                <w:color w:val="000000"/>
                <w:sz w:val="22"/>
                <w:szCs w:val="22"/>
                <w:lang w:val="en-IE" w:eastAsia="en-GB"/>
              </w:rPr>
            </w:pPr>
            <w:r w:rsidRPr="003B11BD">
              <w:rPr>
                <w:rFonts w:ascii="Calibri" w:eastAsia="Times New Roman" w:hAnsi="Calibri" w:cs="Calibri"/>
                <w:noProof/>
                <w:color w:val="000000"/>
                <w:sz w:val="22"/>
                <w:szCs w:val="22"/>
                <w:lang w:val="en-IE" w:eastAsia="en-GB"/>
              </w:rPr>
              <w:t>1744</w:t>
            </w:r>
          </w:p>
        </w:tc>
      </w:tr>
    </w:tbl>
    <w:p w14:paraId="2787593D" w14:textId="6E7CEFA1" w:rsidR="0071439A" w:rsidRPr="003B11BD" w:rsidRDefault="0071439A" w:rsidP="0071439A">
      <w:pPr>
        <w:pStyle w:val="Caption"/>
        <w:rPr>
          <w:noProof/>
          <w:lang w:val="en-IE"/>
        </w:rPr>
      </w:pPr>
      <w:r w:rsidRPr="003B11BD">
        <w:rPr>
          <w:noProof/>
          <w:lang w:val="en-IE"/>
        </w:rPr>
        <w:t>Source: own analysis based on PatentSight® data for selected IPC codes</w:t>
      </w:r>
      <w:r w:rsidR="00C905A4" w:rsidRPr="003B11BD">
        <w:rPr>
          <w:noProof/>
          <w:lang w:val="en-IE"/>
        </w:rPr>
        <w:t>; Note: IPC descriptions shortened.</w:t>
      </w:r>
    </w:p>
    <w:p w14:paraId="3838786D" w14:textId="75A21CCD" w:rsidR="0022193E" w:rsidRPr="003B11BD" w:rsidRDefault="004D5B3E" w:rsidP="004D5B3E">
      <w:pPr>
        <w:pStyle w:val="Caption"/>
        <w:rPr>
          <w:noProof/>
          <w:lang w:val="en-IE"/>
        </w:rPr>
      </w:pPr>
      <w:bookmarkStart w:id="1152" w:name="_Ref121650659"/>
      <w:r w:rsidRPr="003B11BD">
        <w:rPr>
          <w:noProof/>
          <w:lang w:val="en-IE"/>
        </w:rPr>
        <w:t xml:space="preserve">Figure </w:t>
      </w:r>
      <w:bookmarkEnd w:id="1152"/>
      <w:r w:rsidR="00C6592A">
        <w:rPr>
          <w:noProof/>
          <w:lang w:val="en-IE"/>
        </w:rPr>
        <w:t>18</w:t>
      </w:r>
      <w:r w:rsidRPr="003B11BD">
        <w:rPr>
          <w:noProof/>
          <w:lang w:val="en-IE"/>
        </w:rPr>
        <w:t>: Main branch groups in parts and components - share of parts and components in each branch group’s trade (%)</w:t>
      </w:r>
    </w:p>
    <w:p w14:paraId="687253D9" w14:textId="4E3FE0EE" w:rsidR="004D5B3E" w:rsidRPr="003B11BD" w:rsidRDefault="004D5B3E" w:rsidP="00C458B8">
      <w:pPr>
        <w:jc w:val="center"/>
        <w:rPr>
          <w:noProof/>
          <w:lang w:val="en-IE"/>
        </w:rPr>
      </w:pPr>
      <w:r w:rsidRPr="003B11BD">
        <w:rPr>
          <w:noProof/>
          <w:lang w:eastAsia="en-GB"/>
        </w:rPr>
        <w:drawing>
          <wp:inline distT="0" distB="0" distL="0" distR="0" wp14:anchorId="6E29B065" wp14:editId="002F4A94">
            <wp:extent cx="3364992" cy="2398980"/>
            <wp:effectExtent l="0" t="0" r="698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1614" b="1273"/>
                    <a:stretch/>
                  </pic:blipFill>
                  <pic:spPr bwMode="auto">
                    <a:xfrm>
                      <a:off x="0" y="0"/>
                      <a:ext cx="3424986" cy="2441751"/>
                    </a:xfrm>
                    <a:prstGeom prst="rect">
                      <a:avLst/>
                    </a:prstGeom>
                    <a:ln>
                      <a:noFill/>
                    </a:ln>
                    <a:extLst>
                      <a:ext uri="{53640926-AAD7-44D8-BBD7-CCE9431645EC}">
                        <a14:shadowObscured xmlns:a14="http://schemas.microsoft.com/office/drawing/2010/main"/>
                      </a:ext>
                    </a:extLst>
                  </pic:spPr>
                </pic:pic>
              </a:graphicData>
            </a:graphic>
          </wp:inline>
        </w:drawing>
      </w:r>
    </w:p>
    <w:p w14:paraId="3DF9472E" w14:textId="206BBBC3" w:rsidR="004D5B3E" w:rsidRPr="003B11BD" w:rsidRDefault="004D5B3E" w:rsidP="004D5B3E">
      <w:pPr>
        <w:pStyle w:val="Caption"/>
        <w:rPr>
          <w:noProof/>
          <w:lang w:val="en-IE"/>
        </w:rPr>
      </w:pPr>
      <w:r w:rsidRPr="003B11BD">
        <w:rPr>
          <w:noProof/>
          <w:lang w:val="en-IE"/>
        </w:rPr>
        <w:t>Source: Gaulier, G., Sztulman A., Ünal D., Are Global Value Chains Receding? The Jury Is Still Out. Key Findings from the Analysis of Deflated Worl</w:t>
      </w:r>
      <w:r w:rsidR="00F35DC0" w:rsidRPr="003B11BD">
        <w:rPr>
          <w:noProof/>
          <w:lang w:val="en-IE"/>
        </w:rPr>
        <w:t>d Trade in Parts and Components</w:t>
      </w:r>
      <w:r w:rsidRPr="003B11BD">
        <w:rPr>
          <w:noProof/>
          <w:lang w:val="en-IE"/>
        </w:rPr>
        <w:t>, CEPII Working Paper 2019-01, Paris, page 18.</w:t>
      </w:r>
    </w:p>
    <w:p w14:paraId="2E39FC6C" w14:textId="77777777" w:rsidR="00486A8F" w:rsidRPr="003B11BD" w:rsidRDefault="00486A8F" w:rsidP="00486A8F">
      <w:pPr>
        <w:rPr>
          <w:noProof/>
          <w:lang w:val="en-IE"/>
        </w:rPr>
      </w:pPr>
    </w:p>
    <w:p w14:paraId="18576AA0" w14:textId="77777777" w:rsidR="002D38AB" w:rsidRPr="003B11BD" w:rsidRDefault="002D38AB" w:rsidP="007E21F6">
      <w:pPr>
        <w:rPr>
          <w:noProof/>
          <w:lang w:val="en-IE"/>
        </w:rPr>
        <w:sectPr w:rsidR="002D38AB" w:rsidRPr="003B11BD" w:rsidSect="002D38AB">
          <w:headerReference w:type="even" r:id="rId77"/>
          <w:headerReference w:type="default" r:id="rId78"/>
          <w:footerReference w:type="even" r:id="rId79"/>
          <w:footerReference w:type="default" r:id="rId80"/>
          <w:headerReference w:type="first" r:id="rId81"/>
          <w:footerReference w:type="first" r:id="rId82"/>
          <w:pgSz w:w="11906" w:h="16838"/>
          <w:pgMar w:top="1020" w:right="1701" w:bottom="1020" w:left="1587" w:header="601" w:footer="1077" w:gutter="0"/>
          <w:cols w:space="720"/>
          <w:titlePg/>
          <w:docGrid w:linePitch="326"/>
        </w:sectPr>
      </w:pPr>
    </w:p>
    <w:p w14:paraId="6ABC9585" w14:textId="64A325BC" w:rsidR="00C91993" w:rsidRPr="003B11BD" w:rsidRDefault="00606A0F" w:rsidP="00606A0F">
      <w:pPr>
        <w:pStyle w:val="Caption"/>
        <w:rPr>
          <w:noProof/>
          <w:lang w:val="en-IE"/>
        </w:rPr>
      </w:pPr>
      <w:bookmarkStart w:id="1153" w:name="_Ref122283980"/>
      <w:r w:rsidRPr="003B11BD">
        <w:rPr>
          <w:noProof/>
          <w:lang w:val="en-IE"/>
        </w:rPr>
        <w:t xml:space="preserve">Table </w:t>
      </w:r>
      <w:r w:rsidR="00C6592A">
        <w:rPr>
          <w:noProof/>
          <w:lang w:val="en-IE"/>
        </w:rPr>
        <w:t>19</w:t>
      </w:r>
      <w:bookmarkEnd w:id="1153"/>
      <w:r w:rsidRPr="003B11BD">
        <w:rPr>
          <w:noProof/>
          <w:lang w:val="en-IE"/>
        </w:rPr>
        <w:t xml:space="preserve">: Overview of </w:t>
      </w:r>
      <w:r w:rsidRPr="003B11BD">
        <w:rPr>
          <w:noProof/>
          <w:sz w:val="20"/>
          <w:szCs w:val="20"/>
          <w:lang w:val="en-IE"/>
        </w:rPr>
        <w:t>different national grounds for a compulsory licensing</w:t>
      </w:r>
      <w:r w:rsidR="00EC067F">
        <w:rPr>
          <w:noProof/>
          <w:sz w:val="20"/>
          <w:szCs w:val="20"/>
          <w:lang w:val="en-IE"/>
        </w:rPr>
        <w:t>(CL)</w:t>
      </w:r>
      <w:r w:rsidRPr="003B11BD">
        <w:rPr>
          <w:noProof/>
          <w:sz w:val="20"/>
          <w:szCs w:val="20"/>
          <w:lang w:val="en-IE"/>
        </w:rPr>
        <w:t xml:space="preserve"> applicable in crises</w:t>
      </w:r>
    </w:p>
    <w:tbl>
      <w:tblPr>
        <w:tblStyle w:val="TableGrid"/>
        <w:tblW w:w="14317" w:type="dxa"/>
        <w:tblInd w:w="250" w:type="dxa"/>
        <w:tblLayout w:type="fixed"/>
        <w:tblLook w:val="04A0" w:firstRow="1" w:lastRow="0" w:firstColumn="1" w:lastColumn="0" w:noHBand="0" w:noVBand="1"/>
      </w:tblPr>
      <w:tblGrid>
        <w:gridCol w:w="1240"/>
        <w:gridCol w:w="2122"/>
        <w:gridCol w:w="2605"/>
        <w:gridCol w:w="1798"/>
        <w:gridCol w:w="6552"/>
      </w:tblGrid>
      <w:tr w:rsidR="00606A0F" w:rsidRPr="003B11BD" w14:paraId="5D558EE3" w14:textId="77777777" w:rsidTr="34EF0D43">
        <w:tc>
          <w:tcPr>
            <w:tcW w:w="1240" w:type="dxa"/>
          </w:tcPr>
          <w:p w14:paraId="5FC0ED46" w14:textId="77777777" w:rsidR="00C91993" w:rsidRPr="003B11BD" w:rsidRDefault="00C91993" w:rsidP="00D554D2">
            <w:pPr>
              <w:pStyle w:val="Tabletexttitle"/>
              <w:framePr w:vSpace="0" w:wrap="auto" w:vAnchor="margin" w:hAnchor="text" w:yAlign="inline"/>
              <w:ind w:left="134"/>
              <w:suppressOverlap w:val="0"/>
              <w:jc w:val="center"/>
              <w:rPr>
                <w:rFonts w:ascii="Times New Roman" w:hAnsi="Times New Roman" w:cs="Times New Roman"/>
                <w:noProof/>
                <w:color w:val="000000" w:themeColor="text1"/>
                <w:sz w:val="20"/>
                <w:szCs w:val="20"/>
                <w:lang w:val="en-IE"/>
              </w:rPr>
            </w:pPr>
            <w:r w:rsidRPr="003B11BD">
              <w:rPr>
                <w:rFonts w:ascii="Times New Roman" w:hAnsi="Times New Roman" w:cs="Times New Roman"/>
                <w:noProof/>
                <w:color w:val="000000" w:themeColor="text1"/>
                <w:sz w:val="20"/>
                <w:szCs w:val="20"/>
                <w:lang w:val="en-IE"/>
              </w:rPr>
              <w:t>Member State</w:t>
            </w:r>
          </w:p>
        </w:tc>
        <w:tc>
          <w:tcPr>
            <w:tcW w:w="2122" w:type="dxa"/>
          </w:tcPr>
          <w:p w14:paraId="075B8E18" w14:textId="639D13BC" w:rsidR="00C91993" w:rsidRPr="003B11BD" w:rsidRDefault="00C91993" w:rsidP="00EC067F">
            <w:pPr>
              <w:pStyle w:val="Tabletexttitle"/>
              <w:framePr w:vSpace="0" w:wrap="auto" w:vAnchor="margin" w:hAnchor="text" w:yAlign="inline"/>
              <w:ind w:left="134"/>
              <w:suppressOverlap w:val="0"/>
              <w:jc w:val="center"/>
              <w:rPr>
                <w:rFonts w:ascii="Times New Roman" w:hAnsi="Times New Roman" w:cs="Times New Roman"/>
                <w:noProof/>
                <w:color w:val="000000" w:themeColor="text1"/>
                <w:sz w:val="20"/>
                <w:szCs w:val="20"/>
                <w:lang w:val="en-IE"/>
              </w:rPr>
            </w:pPr>
            <w:r w:rsidRPr="003B11BD">
              <w:rPr>
                <w:rFonts w:ascii="Times New Roman" w:hAnsi="Times New Roman" w:cs="Times New Roman"/>
                <w:noProof/>
                <w:color w:val="000000" w:themeColor="text1"/>
                <w:sz w:val="20"/>
                <w:szCs w:val="20"/>
                <w:lang w:val="en-IE"/>
              </w:rPr>
              <w:t>Lega</w:t>
            </w:r>
            <w:r w:rsidR="00606A0F" w:rsidRPr="003B11BD">
              <w:rPr>
                <w:rFonts w:ascii="Times New Roman" w:hAnsi="Times New Roman" w:cs="Times New Roman"/>
                <w:noProof/>
                <w:color w:val="000000" w:themeColor="text1"/>
                <w:sz w:val="20"/>
                <w:szCs w:val="20"/>
                <w:lang w:val="en-IE"/>
              </w:rPr>
              <w:t>l p</w:t>
            </w:r>
            <w:r w:rsidRPr="003B11BD">
              <w:rPr>
                <w:rFonts w:ascii="Times New Roman" w:hAnsi="Times New Roman" w:cs="Times New Roman"/>
                <w:noProof/>
                <w:color w:val="000000" w:themeColor="text1"/>
                <w:sz w:val="20"/>
                <w:szCs w:val="20"/>
                <w:lang w:val="en-IE"/>
              </w:rPr>
              <w:t xml:space="preserve">rovision for granting </w:t>
            </w:r>
            <w:r w:rsidR="00EC067F">
              <w:rPr>
                <w:rFonts w:ascii="Times New Roman" w:hAnsi="Times New Roman" w:cs="Times New Roman"/>
                <w:noProof/>
                <w:color w:val="000000" w:themeColor="text1"/>
                <w:sz w:val="20"/>
                <w:szCs w:val="20"/>
                <w:lang w:val="en-IE"/>
              </w:rPr>
              <w:t>CL</w:t>
            </w:r>
            <w:r w:rsidR="00A16682" w:rsidRPr="003B11BD">
              <w:rPr>
                <w:rFonts w:ascii="Times New Roman" w:hAnsi="Times New Roman" w:cs="Times New Roman"/>
                <w:noProof/>
                <w:color w:val="000000" w:themeColor="text1"/>
                <w:sz w:val="20"/>
                <w:szCs w:val="20"/>
                <w:lang w:val="en-IE"/>
              </w:rPr>
              <w:t xml:space="preserve"> </w:t>
            </w:r>
            <w:r w:rsidRPr="003B11BD">
              <w:rPr>
                <w:rFonts w:ascii="Times New Roman" w:hAnsi="Times New Roman" w:cs="Times New Roman"/>
                <w:noProof/>
                <w:color w:val="000000" w:themeColor="text1"/>
                <w:sz w:val="20"/>
                <w:szCs w:val="20"/>
                <w:lang w:val="en-IE"/>
              </w:rPr>
              <w:t>for crisis management</w:t>
            </w:r>
          </w:p>
        </w:tc>
        <w:tc>
          <w:tcPr>
            <w:tcW w:w="2605" w:type="dxa"/>
          </w:tcPr>
          <w:p w14:paraId="5E66E544" w14:textId="631A8DE8" w:rsidR="00C91993" w:rsidRPr="003B11BD" w:rsidRDefault="00606A0F" w:rsidP="00D554D2">
            <w:pPr>
              <w:pStyle w:val="Tabletexttitle"/>
              <w:framePr w:vSpace="0" w:wrap="auto" w:vAnchor="margin" w:hAnchor="text" w:yAlign="inline"/>
              <w:ind w:left="134"/>
              <w:suppressOverlap w:val="0"/>
              <w:jc w:val="center"/>
              <w:rPr>
                <w:rFonts w:ascii="Times New Roman" w:hAnsi="Times New Roman" w:cs="Times New Roman"/>
                <w:noProof/>
                <w:color w:val="000000" w:themeColor="text1"/>
                <w:sz w:val="20"/>
                <w:szCs w:val="20"/>
                <w:lang w:val="en-IE"/>
              </w:rPr>
            </w:pPr>
            <w:r w:rsidRPr="003B11BD">
              <w:rPr>
                <w:rFonts w:ascii="Times New Roman" w:hAnsi="Times New Roman" w:cs="Times New Roman"/>
                <w:noProof/>
                <w:color w:val="000000" w:themeColor="text1"/>
                <w:sz w:val="20"/>
                <w:szCs w:val="20"/>
                <w:lang w:val="en-IE"/>
              </w:rPr>
              <w:t>Competent a</w:t>
            </w:r>
            <w:r w:rsidR="00C91993" w:rsidRPr="003B11BD">
              <w:rPr>
                <w:rFonts w:ascii="Times New Roman" w:hAnsi="Times New Roman" w:cs="Times New Roman"/>
                <w:noProof/>
                <w:color w:val="000000" w:themeColor="text1"/>
                <w:sz w:val="20"/>
                <w:szCs w:val="20"/>
                <w:lang w:val="en-IE"/>
              </w:rPr>
              <w:t>uthority for crisis CL</w:t>
            </w:r>
          </w:p>
        </w:tc>
        <w:tc>
          <w:tcPr>
            <w:tcW w:w="1798" w:type="dxa"/>
          </w:tcPr>
          <w:p w14:paraId="2C764489" w14:textId="77777777" w:rsidR="00C91993" w:rsidRPr="003B11BD" w:rsidRDefault="00C91993" w:rsidP="00D554D2">
            <w:pPr>
              <w:pStyle w:val="Tabletexttitle"/>
              <w:framePr w:vSpace="0" w:wrap="auto" w:vAnchor="margin" w:hAnchor="text" w:yAlign="inline"/>
              <w:ind w:left="134"/>
              <w:suppressOverlap w:val="0"/>
              <w:jc w:val="center"/>
              <w:rPr>
                <w:rFonts w:ascii="Times New Roman" w:hAnsi="Times New Roman" w:cs="Times New Roman"/>
                <w:noProof/>
                <w:color w:val="000000" w:themeColor="text1"/>
                <w:sz w:val="20"/>
                <w:szCs w:val="20"/>
                <w:lang w:val="en-IE"/>
              </w:rPr>
            </w:pPr>
            <w:r w:rsidRPr="003B11BD">
              <w:rPr>
                <w:rFonts w:ascii="Times New Roman" w:hAnsi="Times New Roman" w:cs="Times New Roman"/>
                <w:noProof/>
                <w:color w:val="000000" w:themeColor="text1"/>
                <w:sz w:val="20"/>
                <w:szCs w:val="20"/>
                <w:lang w:val="en-IE"/>
              </w:rPr>
              <w:t>Assessment</w:t>
            </w:r>
          </w:p>
        </w:tc>
        <w:tc>
          <w:tcPr>
            <w:tcW w:w="6552" w:type="dxa"/>
          </w:tcPr>
          <w:p w14:paraId="503005A6" w14:textId="77777777" w:rsidR="00C91993" w:rsidRPr="003B11BD" w:rsidRDefault="00C91993" w:rsidP="00D554D2">
            <w:pPr>
              <w:pStyle w:val="Tabletexttitle"/>
              <w:framePr w:vSpace="0" w:wrap="auto" w:vAnchor="margin" w:hAnchor="text" w:yAlign="inline"/>
              <w:ind w:left="134"/>
              <w:suppressOverlap w:val="0"/>
              <w:jc w:val="center"/>
              <w:rPr>
                <w:rFonts w:ascii="Times New Roman" w:hAnsi="Times New Roman" w:cs="Times New Roman"/>
                <w:noProof/>
                <w:color w:val="000000" w:themeColor="text1"/>
                <w:sz w:val="20"/>
                <w:szCs w:val="20"/>
                <w:lang w:val="en-IE"/>
              </w:rPr>
            </w:pPr>
            <w:r w:rsidRPr="003B11BD">
              <w:rPr>
                <w:rFonts w:ascii="Times New Roman" w:hAnsi="Times New Roman" w:cs="Times New Roman"/>
                <w:noProof/>
                <w:color w:val="000000" w:themeColor="text1"/>
                <w:sz w:val="20"/>
                <w:szCs w:val="20"/>
                <w:lang w:val="en-IE"/>
              </w:rPr>
              <w:t>Comment</w:t>
            </w:r>
          </w:p>
        </w:tc>
      </w:tr>
      <w:tr w:rsidR="00606A0F" w:rsidRPr="003B11BD" w14:paraId="1A823696" w14:textId="77777777" w:rsidTr="34EF0D43">
        <w:tc>
          <w:tcPr>
            <w:tcW w:w="1240" w:type="dxa"/>
          </w:tcPr>
          <w:p w14:paraId="365795A6"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Austria</w:t>
            </w:r>
          </w:p>
        </w:tc>
        <w:tc>
          <w:tcPr>
            <w:tcW w:w="2122" w:type="dxa"/>
          </w:tcPr>
          <w:p w14:paraId="5914CC7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Austrian Patent Act (Patentgesetz), section 36(5) </w:t>
            </w:r>
          </w:p>
        </w:tc>
        <w:tc>
          <w:tcPr>
            <w:tcW w:w="2605" w:type="dxa"/>
          </w:tcPr>
          <w:p w14:paraId="0DF48577"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Austrian Patent Office</w:t>
            </w:r>
          </w:p>
        </w:tc>
        <w:tc>
          <w:tcPr>
            <w:tcW w:w="1798" w:type="dxa"/>
          </w:tcPr>
          <w:p w14:paraId="78B0DB5A"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 crises</w:t>
            </w:r>
          </w:p>
        </w:tc>
        <w:tc>
          <w:tcPr>
            <w:tcW w:w="6552" w:type="dxa"/>
          </w:tcPr>
          <w:p w14:paraId="33DC039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“public interest”, could be also in case of a “national emergency” or “other circumstances of extreme urgency”</w:t>
            </w:r>
          </w:p>
        </w:tc>
      </w:tr>
      <w:tr w:rsidR="00606A0F" w:rsidRPr="003B11BD" w14:paraId="7C7BE67D" w14:textId="77777777" w:rsidTr="34EF0D43">
        <w:tc>
          <w:tcPr>
            <w:tcW w:w="1240" w:type="dxa"/>
          </w:tcPr>
          <w:p w14:paraId="1074C89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Belgium</w:t>
            </w:r>
          </w:p>
        </w:tc>
        <w:tc>
          <w:tcPr>
            <w:tcW w:w="2122" w:type="dxa"/>
          </w:tcPr>
          <w:p w14:paraId="6B40609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Code of Economic Law, Art. XI.38</w:t>
            </w:r>
          </w:p>
        </w:tc>
        <w:tc>
          <w:tcPr>
            <w:tcW w:w="2605" w:type="dxa"/>
          </w:tcPr>
          <w:p w14:paraId="1FC62D84"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Council of Ministers (for public health CL).</w:t>
            </w:r>
          </w:p>
          <w:p w14:paraId="1E79C090" w14:textId="741E151F"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1798" w:type="dxa"/>
          </w:tcPr>
          <w:p w14:paraId="3FDD26C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health crises</w:t>
            </w:r>
          </w:p>
        </w:tc>
        <w:tc>
          <w:tcPr>
            <w:tcW w:w="6552" w:type="dxa"/>
          </w:tcPr>
          <w:p w14:paraId="2226AC84"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“public health grounds”</w:t>
            </w:r>
          </w:p>
          <w:p w14:paraId="40B50B36"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“a) a medicine, a medical device, a medical device or product for diagnosis, a derived or combinable therapeutic product; b) the process or product necessary for the fabrication of one or more products indicated under a); and c) a diagnostic method applied outside the human or animal body”</w:t>
            </w:r>
          </w:p>
        </w:tc>
      </w:tr>
      <w:tr w:rsidR="00606A0F" w:rsidRPr="003B11BD" w14:paraId="44EE967F" w14:textId="77777777" w:rsidTr="34EF0D43">
        <w:tc>
          <w:tcPr>
            <w:tcW w:w="1240" w:type="dxa"/>
          </w:tcPr>
          <w:p w14:paraId="38463B6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Bulgaria</w:t>
            </w:r>
          </w:p>
        </w:tc>
        <w:tc>
          <w:tcPr>
            <w:tcW w:w="2122" w:type="dxa"/>
          </w:tcPr>
          <w:p w14:paraId="7960B65A"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Law of Patents and Utility Models Registration (1993), Art. 32(2)</w:t>
            </w:r>
          </w:p>
        </w:tc>
        <w:tc>
          <w:tcPr>
            <w:tcW w:w="2605" w:type="dxa"/>
          </w:tcPr>
          <w:p w14:paraId="0E408ACB"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Bulgarian Patent Office (Disputes department)</w:t>
            </w:r>
          </w:p>
        </w:tc>
        <w:tc>
          <w:tcPr>
            <w:tcW w:w="1798" w:type="dxa"/>
          </w:tcPr>
          <w:p w14:paraId="5D19370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2B610AF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 even if negotiations with the right owner have not been conducted”</w:t>
            </w:r>
          </w:p>
        </w:tc>
      </w:tr>
      <w:tr w:rsidR="00606A0F" w:rsidRPr="003B11BD" w14:paraId="6C6EACA3" w14:textId="77777777" w:rsidTr="34EF0D43">
        <w:tc>
          <w:tcPr>
            <w:tcW w:w="1240" w:type="dxa"/>
          </w:tcPr>
          <w:p w14:paraId="10106E24"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Croatia</w:t>
            </w:r>
          </w:p>
        </w:tc>
        <w:tc>
          <w:tcPr>
            <w:tcW w:w="2122" w:type="dxa"/>
          </w:tcPr>
          <w:p w14:paraId="615E130C"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Patent Act, Art. 104(5)</w:t>
            </w:r>
          </w:p>
        </w:tc>
        <w:tc>
          <w:tcPr>
            <w:tcW w:w="2605" w:type="dxa"/>
          </w:tcPr>
          <w:p w14:paraId="710DA77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Zagreb Commercial Court</w:t>
            </w:r>
          </w:p>
        </w:tc>
        <w:tc>
          <w:tcPr>
            <w:tcW w:w="1798" w:type="dxa"/>
          </w:tcPr>
          <w:p w14:paraId="33DFA1C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urgency</w:t>
            </w:r>
          </w:p>
        </w:tc>
        <w:tc>
          <w:tcPr>
            <w:tcW w:w="6552" w:type="dxa"/>
          </w:tcPr>
          <w:p w14:paraId="254F409E"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“in situations of extreme urgency on a national level, in particular for national security, public interest protection in the field of health, food supply, environmental protection and improvement, or to remedy an anti-competitive practice”</w:t>
            </w:r>
          </w:p>
        </w:tc>
      </w:tr>
      <w:tr w:rsidR="00606A0F" w:rsidRPr="003B11BD" w14:paraId="3F5DC972" w14:textId="77777777" w:rsidTr="34EF0D43">
        <w:tc>
          <w:tcPr>
            <w:tcW w:w="1240" w:type="dxa"/>
          </w:tcPr>
          <w:p w14:paraId="6CE1CEBE"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Cyprus</w:t>
            </w:r>
          </w:p>
        </w:tc>
        <w:tc>
          <w:tcPr>
            <w:tcW w:w="2122" w:type="dxa"/>
          </w:tcPr>
          <w:p w14:paraId="2DC52DA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Cypriot Patents Act, Sec. 55</w:t>
            </w:r>
          </w:p>
        </w:tc>
        <w:tc>
          <w:tcPr>
            <w:tcW w:w="2605" w:type="dxa"/>
          </w:tcPr>
          <w:p w14:paraId="00756FC2"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Council of Ministers</w:t>
            </w:r>
          </w:p>
        </w:tc>
        <w:tc>
          <w:tcPr>
            <w:tcW w:w="1798" w:type="dxa"/>
          </w:tcPr>
          <w:p w14:paraId="344D2444" w14:textId="3657DED5" w:rsidR="00C91993" w:rsidRPr="003B11BD" w:rsidRDefault="00AA71CD"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security or public s</w:t>
            </w:r>
            <w:r w:rsidR="00C91993" w:rsidRPr="003B11BD">
              <w:rPr>
                <w:rFonts w:ascii="Times New Roman" w:hAnsi="Times New Roman" w:cs="Times New Roman"/>
                <w:noProof/>
                <w:color w:val="000000" w:themeColor="text1"/>
                <w:szCs w:val="18"/>
                <w:lang w:val="en-IE"/>
              </w:rPr>
              <w:t>afety</w:t>
            </w:r>
          </w:p>
        </w:tc>
        <w:tc>
          <w:tcPr>
            <w:tcW w:w="6552" w:type="dxa"/>
          </w:tcPr>
          <w:p w14:paraId="0E7526CA"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“in situations of extreme urgency on a national level, in particular for national security, public interest protection in the field of health, food supply, environmental protection and improvement”</w:t>
            </w:r>
          </w:p>
        </w:tc>
      </w:tr>
      <w:tr w:rsidR="00606A0F" w:rsidRPr="003B11BD" w14:paraId="477684BE" w14:textId="77777777" w:rsidTr="34EF0D43">
        <w:tc>
          <w:tcPr>
            <w:tcW w:w="1240" w:type="dxa"/>
          </w:tcPr>
          <w:p w14:paraId="0C05E323" w14:textId="27A0714E"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Czech</w:t>
            </w:r>
            <w:r w:rsidR="00C3494B" w:rsidRPr="003B11BD">
              <w:rPr>
                <w:rFonts w:ascii="Times New Roman" w:hAnsi="Times New Roman" w:cs="Times New Roman"/>
                <w:noProof/>
                <w:color w:val="000000" w:themeColor="text1"/>
                <w:szCs w:val="18"/>
                <w:lang w:val="en-IE"/>
              </w:rPr>
              <w:t>ia</w:t>
            </w:r>
          </w:p>
        </w:tc>
        <w:tc>
          <w:tcPr>
            <w:tcW w:w="2122" w:type="dxa"/>
          </w:tcPr>
          <w:p w14:paraId="58E760D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Act on Inventions and Rationalisation Proposals No. 527/1990 Coll. (Czech Patent Act), Sec. 20</w:t>
            </w:r>
          </w:p>
        </w:tc>
        <w:tc>
          <w:tcPr>
            <w:tcW w:w="2605" w:type="dxa"/>
          </w:tcPr>
          <w:p w14:paraId="3F7C3CD4"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Industrial Property Office</w:t>
            </w:r>
          </w:p>
        </w:tc>
        <w:tc>
          <w:tcPr>
            <w:tcW w:w="1798" w:type="dxa"/>
          </w:tcPr>
          <w:p w14:paraId="1C36677C"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6E2CCB0C"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“in there exists a threat to an important public interest”</w:t>
            </w:r>
          </w:p>
        </w:tc>
      </w:tr>
      <w:tr w:rsidR="00606A0F" w:rsidRPr="003B11BD" w14:paraId="793B5B40" w14:textId="77777777" w:rsidTr="34EF0D43">
        <w:tc>
          <w:tcPr>
            <w:tcW w:w="1240" w:type="dxa"/>
          </w:tcPr>
          <w:p w14:paraId="28CF50C1"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Denmark</w:t>
            </w:r>
          </w:p>
        </w:tc>
        <w:tc>
          <w:tcPr>
            <w:tcW w:w="2122" w:type="dxa"/>
          </w:tcPr>
          <w:p w14:paraId="3459CCE3"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Danish Patents Act, Sec. 47</w:t>
            </w:r>
          </w:p>
        </w:tc>
        <w:tc>
          <w:tcPr>
            <w:tcW w:w="2605" w:type="dxa"/>
          </w:tcPr>
          <w:p w14:paraId="7415F2F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Maritime and Commercial High Court in cases on the merits (Section 50 of the Patents Act)</w:t>
            </w:r>
          </w:p>
        </w:tc>
        <w:tc>
          <w:tcPr>
            <w:tcW w:w="1798" w:type="dxa"/>
          </w:tcPr>
          <w:p w14:paraId="0916A0AF" w14:textId="653F8EA0"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w:t>
            </w:r>
            <w:r w:rsidR="00AA71CD" w:rsidRPr="003B11BD">
              <w:rPr>
                <w:rFonts w:ascii="Times New Roman" w:hAnsi="Times New Roman" w:cs="Times New Roman"/>
                <w:noProof/>
                <w:color w:val="000000" w:themeColor="text1"/>
                <w:szCs w:val="18"/>
                <w:lang w:val="en-IE"/>
              </w:rPr>
              <w:t xml:space="preserve"> i</w:t>
            </w:r>
            <w:r w:rsidRPr="003B11BD">
              <w:rPr>
                <w:rFonts w:ascii="Times New Roman" w:hAnsi="Times New Roman" w:cs="Times New Roman"/>
                <w:noProof/>
                <w:color w:val="000000" w:themeColor="text1"/>
                <w:szCs w:val="18"/>
                <w:lang w:val="en-IE"/>
              </w:rPr>
              <w:t>nterest</w:t>
            </w:r>
          </w:p>
        </w:tc>
        <w:tc>
          <w:tcPr>
            <w:tcW w:w="6552" w:type="dxa"/>
          </w:tcPr>
          <w:p w14:paraId="441F20D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“essential public interests render it necessary”</w:t>
            </w:r>
          </w:p>
        </w:tc>
      </w:tr>
      <w:tr w:rsidR="00606A0F" w:rsidRPr="003B11BD" w14:paraId="4BC2B67C" w14:textId="77777777" w:rsidTr="34EF0D43">
        <w:tc>
          <w:tcPr>
            <w:tcW w:w="1240" w:type="dxa"/>
          </w:tcPr>
          <w:p w14:paraId="75289837"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Estonia</w:t>
            </w:r>
          </w:p>
        </w:tc>
        <w:tc>
          <w:tcPr>
            <w:tcW w:w="2122" w:type="dxa"/>
          </w:tcPr>
          <w:p w14:paraId="31645A76"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Estonian Patents Act of 16 March 1994, Sec. 47(1)</w:t>
            </w:r>
          </w:p>
        </w:tc>
        <w:tc>
          <w:tcPr>
            <w:tcW w:w="2605" w:type="dxa"/>
          </w:tcPr>
          <w:p w14:paraId="71EF2AAB"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Harju County Court (court of first instance)</w:t>
            </w:r>
          </w:p>
        </w:tc>
        <w:tc>
          <w:tcPr>
            <w:tcW w:w="1798" w:type="dxa"/>
          </w:tcPr>
          <w:p w14:paraId="7F44DF1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defence and public interest</w:t>
            </w:r>
          </w:p>
        </w:tc>
        <w:tc>
          <w:tcPr>
            <w:tcW w:w="6552" w:type="dxa"/>
          </w:tcPr>
          <w:p w14:paraId="102FC163"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“national defence, environmental protection, public health and other significant national interests of the Republic of Estonia require the use of the invention, including the need to use the invention in connection with a natural disaster or other emergency”</w:t>
            </w:r>
          </w:p>
          <w:p w14:paraId="131ABDD2"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p>
          <w:p w14:paraId="03F0E660"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“in the event of an epidemic” and in an emergency situation” (referring to the meaning set in the Communicable Disease Prevention and Control Act and in the Emergency Situation Act)</w:t>
            </w:r>
          </w:p>
        </w:tc>
      </w:tr>
      <w:tr w:rsidR="00606A0F" w:rsidRPr="003B11BD" w14:paraId="2BBDDA6A" w14:textId="77777777" w:rsidTr="34EF0D43">
        <w:tc>
          <w:tcPr>
            <w:tcW w:w="1240" w:type="dxa"/>
          </w:tcPr>
          <w:p w14:paraId="07DF8313"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Finland</w:t>
            </w:r>
          </w:p>
        </w:tc>
        <w:tc>
          <w:tcPr>
            <w:tcW w:w="2122" w:type="dxa"/>
          </w:tcPr>
          <w:p w14:paraId="24B4231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Finnish Patents Act (550/1967), Sec. 47</w:t>
            </w:r>
          </w:p>
        </w:tc>
        <w:tc>
          <w:tcPr>
            <w:tcW w:w="2605" w:type="dxa"/>
          </w:tcPr>
          <w:p w14:paraId="2DB2926E"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Market Court</w:t>
            </w:r>
          </w:p>
        </w:tc>
        <w:tc>
          <w:tcPr>
            <w:tcW w:w="1798" w:type="dxa"/>
          </w:tcPr>
          <w:p w14:paraId="36A8497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711773AE"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“considerable public interest”</w:t>
            </w:r>
          </w:p>
        </w:tc>
      </w:tr>
      <w:tr w:rsidR="00606A0F" w:rsidRPr="003B11BD" w14:paraId="4FAE4BE1" w14:textId="77777777" w:rsidTr="34EF0D43">
        <w:tc>
          <w:tcPr>
            <w:tcW w:w="1240" w:type="dxa"/>
            <w:vMerge w:val="restart"/>
          </w:tcPr>
          <w:p w14:paraId="2D70E642"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France</w:t>
            </w:r>
          </w:p>
        </w:tc>
        <w:tc>
          <w:tcPr>
            <w:tcW w:w="2122" w:type="dxa"/>
          </w:tcPr>
          <w:p w14:paraId="5F3E2BF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French Intellectual Property Code (CPI), Art. L613-16</w:t>
            </w:r>
          </w:p>
        </w:tc>
        <w:tc>
          <w:tcPr>
            <w:tcW w:w="2605" w:type="dxa"/>
          </w:tcPr>
          <w:p w14:paraId="6F29B98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Ministry in charge of industrial property (on request of the Ministry of Public Health)</w:t>
            </w:r>
          </w:p>
        </w:tc>
        <w:tc>
          <w:tcPr>
            <w:tcW w:w="1798" w:type="dxa"/>
          </w:tcPr>
          <w:p w14:paraId="2EC09571"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heath</w:t>
            </w:r>
          </w:p>
        </w:tc>
        <w:tc>
          <w:tcPr>
            <w:tcW w:w="6552" w:type="dxa"/>
          </w:tcPr>
          <w:p w14:paraId="2D31D882"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 xml:space="preserve">“Interests of public health”: </w:t>
            </w:r>
          </w:p>
          <w:p w14:paraId="6C4BBF80"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“(a) a medicinal product, a medical device, an in vitro diagnostic medical device or an ancillary therapeutic product</w:t>
            </w:r>
          </w:p>
          <w:p w14:paraId="30FE8E42"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(b) a process for obtaining them, a product necessary for obtaining them or a process for manufacturing such a product</w:t>
            </w:r>
          </w:p>
          <w:p w14:paraId="30A43E16" w14:textId="77777777" w:rsidR="00C91993" w:rsidRPr="00A06738"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s-ES"/>
              </w:rPr>
            </w:pPr>
            <w:r w:rsidRPr="00A06738">
              <w:rPr>
                <w:rFonts w:ascii="Times New Roman" w:hAnsi="Times New Roman" w:cs="Times New Roman"/>
                <w:noProof/>
                <w:color w:val="000000" w:themeColor="text1"/>
                <w:lang w:val="es-ES"/>
              </w:rPr>
              <w:t>c) an ex vivo diagnostic method.”</w:t>
            </w:r>
          </w:p>
          <w:p w14:paraId="0AE6B4A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“The patents for these products, processes or diagnostic methods may only be subject to the ex officio license system in the interest of public health when these products, or products derived from these processes, or these methods are made available to the public in insufficient quantity or quality or at abnormally high prices, or when the patent is exploited under conditions that are contrary to the interest of public health”</w:t>
            </w:r>
          </w:p>
        </w:tc>
      </w:tr>
      <w:tr w:rsidR="00606A0F" w:rsidRPr="003B11BD" w14:paraId="60DCB7DB" w14:textId="77777777" w:rsidTr="34EF0D43">
        <w:tc>
          <w:tcPr>
            <w:tcW w:w="1240" w:type="dxa"/>
            <w:vMerge/>
          </w:tcPr>
          <w:p w14:paraId="6CA1DA51"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2122" w:type="dxa"/>
          </w:tcPr>
          <w:p w14:paraId="18413EA1"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Art. L613-18 CPI</w:t>
            </w:r>
          </w:p>
        </w:tc>
        <w:tc>
          <w:tcPr>
            <w:tcW w:w="2605" w:type="dxa"/>
          </w:tcPr>
          <w:p w14:paraId="1A0C5ADE"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Ministry in charge of industrial property</w:t>
            </w:r>
          </w:p>
        </w:tc>
        <w:tc>
          <w:tcPr>
            <w:tcW w:w="1798" w:type="dxa"/>
          </w:tcPr>
          <w:p w14:paraId="6706A8D9" w14:textId="476671E4" w:rsidR="00C91993" w:rsidRPr="003B11BD" w:rsidRDefault="00AA71CD"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e</w:t>
            </w:r>
            <w:r w:rsidR="00C91993" w:rsidRPr="003B11BD">
              <w:rPr>
                <w:rFonts w:ascii="Times New Roman" w:hAnsi="Times New Roman" w:cs="Times New Roman"/>
                <w:noProof/>
                <w:color w:val="000000" w:themeColor="text1"/>
                <w:szCs w:val="18"/>
                <w:lang w:val="en-IE"/>
              </w:rPr>
              <w:t>conomy</w:t>
            </w:r>
          </w:p>
        </w:tc>
        <w:tc>
          <w:tcPr>
            <w:tcW w:w="6552" w:type="dxa"/>
          </w:tcPr>
          <w:p w14:paraId="05888180"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“in the interest of the national economy”: “if the absence of working or the inadequacy in quality or quantity of the working undertaken is seriously prejudicial to economic development and the public interest”</w:t>
            </w:r>
          </w:p>
        </w:tc>
      </w:tr>
      <w:tr w:rsidR="00606A0F" w:rsidRPr="003B11BD" w14:paraId="3FBB7FFD" w14:textId="77777777" w:rsidTr="34EF0D43">
        <w:tc>
          <w:tcPr>
            <w:tcW w:w="1240" w:type="dxa"/>
            <w:vMerge/>
          </w:tcPr>
          <w:p w14:paraId="0E863AC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2122" w:type="dxa"/>
          </w:tcPr>
          <w:p w14:paraId="4E89C58D"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Art. L613-19 CPI</w:t>
            </w:r>
          </w:p>
        </w:tc>
        <w:tc>
          <w:tcPr>
            <w:tcW w:w="2605" w:type="dxa"/>
          </w:tcPr>
          <w:p w14:paraId="166C833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Ministry in charge of industrial property (on request of the ministry in charge of national defence)</w:t>
            </w:r>
          </w:p>
        </w:tc>
        <w:tc>
          <w:tcPr>
            <w:tcW w:w="1798" w:type="dxa"/>
          </w:tcPr>
          <w:p w14:paraId="5BF2E2BE" w14:textId="768A1325" w:rsidR="00C91993" w:rsidRPr="003B11BD" w:rsidRDefault="00AA71CD"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d</w:t>
            </w:r>
            <w:r w:rsidR="00C91993" w:rsidRPr="003B11BD">
              <w:rPr>
                <w:rFonts w:ascii="Times New Roman" w:hAnsi="Times New Roman" w:cs="Times New Roman"/>
                <w:noProof/>
                <w:color w:val="000000" w:themeColor="text1"/>
                <w:szCs w:val="18"/>
                <w:lang w:val="en-IE"/>
              </w:rPr>
              <w:t>efence</w:t>
            </w:r>
          </w:p>
        </w:tc>
        <w:tc>
          <w:tcPr>
            <w:tcW w:w="6552" w:type="dxa"/>
          </w:tcPr>
          <w:p w14:paraId="0FF18657"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“in the interest of the national defence”</w:t>
            </w:r>
          </w:p>
        </w:tc>
      </w:tr>
      <w:tr w:rsidR="00606A0F" w:rsidRPr="003B11BD" w14:paraId="3795263D" w14:textId="77777777" w:rsidTr="34EF0D43">
        <w:tc>
          <w:tcPr>
            <w:tcW w:w="1240" w:type="dxa"/>
            <w:vMerge/>
          </w:tcPr>
          <w:p w14:paraId="1729D23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2122" w:type="dxa"/>
          </w:tcPr>
          <w:p w14:paraId="3A7288DC"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Law n° 2020-290 of March 23, 2020 of emergency to face the epidemic of covid-19 introduced a new article L.3131-15 in the public health code</w:t>
            </w:r>
          </w:p>
        </w:tc>
        <w:tc>
          <w:tcPr>
            <w:tcW w:w="2605" w:type="dxa"/>
          </w:tcPr>
          <w:p w14:paraId="56F9239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Prime Minister</w:t>
            </w:r>
          </w:p>
        </w:tc>
        <w:tc>
          <w:tcPr>
            <w:tcW w:w="1798" w:type="dxa"/>
          </w:tcPr>
          <w:p w14:paraId="2ED6E5CB"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health</w:t>
            </w:r>
          </w:p>
        </w:tc>
        <w:tc>
          <w:tcPr>
            <w:tcW w:w="6552" w:type="dxa"/>
          </w:tcPr>
          <w:p w14:paraId="053A6E59"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This article allows the Prime Minister, when a state of health emergency is declared, and for the sole purpose of guaranteeing public health :</w:t>
            </w:r>
          </w:p>
          <w:p w14:paraId="1FF0E6AD"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 to order the requisition of all goods and services necessary for the fight against the health disaster as well as of any person necessary for the functioning of these services or the use of these goods;</w:t>
            </w:r>
          </w:p>
          <w:p w14:paraId="3F68EE92"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 to take any measure allowing the provision of appropriate medicines to patients for the eradication of the health disaster.</w:t>
            </w:r>
          </w:p>
        </w:tc>
      </w:tr>
      <w:tr w:rsidR="00606A0F" w:rsidRPr="003B11BD" w14:paraId="3B1346D8" w14:textId="77777777" w:rsidTr="34EF0D43">
        <w:tc>
          <w:tcPr>
            <w:tcW w:w="1240" w:type="dxa"/>
            <w:vMerge w:val="restart"/>
          </w:tcPr>
          <w:p w14:paraId="6FE8CBC6"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Germany</w:t>
            </w:r>
          </w:p>
        </w:tc>
        <w:tc>
          <w:tcPr>
            <w:tcW w:w="2122" w:type="dxa"/>
          </w:tcPr>
          <w:p w14:paraId="50DE4E0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Sec. 24(1) Patent Act (Patent Gesetz)</w:t>
            </w:r>
          </w:p>
        </w:tc>
        <w:tc>
          <w:tcPr>
            <w:tcW w:w="2605" w:type="dxa"/>
          </w:tcPr>
          <w:p w14:paraId="7B657B46"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Federal Patent Court (Bundespatentgericht)</w:t>
            </w:r>
          </w:p>
        </w:tc>
        <w:tc>
          <w:tcPr>
            <w:tcW w:w="1798" w:type="dxa"/>
          </w:tcPr>
          <w:p w14:paraId="7F3726DC"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01DABEA3"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 xml:space="preserve">“the public interest calls for the grant of a compulsory licence”. </w:t>
            </w:r>
          </w:p>
          <w:p w14:paraId="2D413ECF" w14:textId="77777777" w:rsidR="00C91993" w:rsidRPr="003B11BD" w:rsidRDefault="4347B806"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Public interest cannot be described in general. It exists if a medicine to treat serious illnesses has specific therapeutic characteristics that comparable medicines do not have, or not to the same extent or if the use of such a medicine leads to a reduction of side effects that would have been suffered when prescribing/using different medicines. However, public interest cannot exist if there is a similar treatment possible with a different medicine</w:t>
            </w:r>
            <w:r w:rsidR="00C91993" w:rsidRPr="003B11BD">
              <w:rPr>
                <w:rStyle w:val="FootnoteReference"/>
                <w:rFonts w:ascii="Times New Roman" w:hAnsi="Times New Roman" w:cs="Times New Roman"/>
                <w:noProof/>
                <w:color w:val="000000" w:themeColor="text1"/>
                <w:lang w:val="en-IE"/>
              </w:rPr>
              <w:footnoteReference w:id="192"/>
            </w:r>
            <w:r w:rsidRPr="003B11BD">
              <w:rPr>
                <w:rFonts w:ascii="Times New Roman" w:hAnsi="Times New Roman" w:cs="Times New Roman"/>
                <w:noProof/>
                <w:color w:val="000000" w:themeColor="text1"/>
                <w:lang w:val="en-IE"/>
              </w:rPr>
              <w:t>.</w:t>
            </w:r>
          </w:p>
        </w:tc>
      </w:tr>
      <w:tr w:rsidR="00606A0F" w:rsidRPr="003B11BD" w14:paraId="6DF02861" w14:textId="77777777" w:rsidTr="34EF0D43">
        <w:tc>
          <w:tcPr>
            <w:tcW w:w="1240" w:type="dxa"/>
            <w:vMerge/>
          </w:tcPr>
          <w:p w14:paraId="6D91966C"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2122" w:type="dxa"/>
          </w:tcPr>
          <w:p w14:paraId="054491CB" w14:textId="227EA0E4" w:rsidR="00C91993" w:rsidRPr="00A06738" w:rsidRDefault="3C5C37E9" w:rsidP="00D554D2">
            <w:pPr>
              <w:pStyle w:val="Tabletext"/>
              <w:framePr w:vSpace="0" w:wrap="auto" w:vAnchor="margin" w:hAnchor="text" w:yAlign="inline"/>
              <w:suppressOverlap w:val="0"/>
              <w:jc w:val="left"/>
              <w:rPr>
                <w:rFonts w:ascii="Times New Roman" w:hAnsi="Times New Roman" w:cs="Times New Roman"/>
                <w:noProof/>
                <w:color w:val="000000" w:themeColor="text1"/>
                <w:lang w:val="de-DE"/>
              </w:rPr>
            </w:pPr>
            <w:r w:rsidRPr="00A06738">
              <w:rPr>
                <w:rFonts w:ascii="Times New Roman" w:hAnsi="Times New Roman" w:cs="Times New Roman"/>
                <w:noProof/>
                <w:color w:val="000000" w:themeColor="text1"/>
                <w:lang w:val="de-DE"/>
              </w:rPr>
              <w:t>Infektionsschutzgesetz - IfS</w:t>
            </w:r>
            <w:r w:rsidR="3E80D717" w:rsidRPr="00A06738">
              <w:rPr>
                <w:rFonts w:ascii="Times New Roman" w:hAnsi="Times New Roman" w:cs="Times New Roman"/>
                <w:noProof/>
                <w:color w:val="000000" w:themeColor="text1"/>
                <w:lang w:val="de-DE"/>
              </w:rPr>
              <w:t xml:space="preserve">G and Sec. </w:t>
            </w:r>
            <w:r w:rsidR="00C91993" w:rsidRPr="00A06738">
              <w:rPr>
                <w:rFonts w:ascii="Times New Roman" w:hAnsi="Times New Roman" w:cs="Times New Roman"/>
                <w:noProof/>
                <w:color w:val="000000" w:themeColor="text1"/>
                <w:lang w:val="de-DE"/>
              </w:rPr>
              <w:t>13 German PA</w:t>
            </w:r>
          </w:p>
        </w:tc>
        <w:tc>
          <w:tcPr>
            <w:tcW w:w="2605" w:type="dxa"/>
            <w:shd w:val="clear" w:color="auto" w:fill="auto"/>
          </w:tcPr>
          <w:p w14:paraId="3299C33B" w14:textId="6EEF03B2" w:rsidR="00C91993" w:rsidRPr="003B11BD" w:rsidRDefault="3B01A4D1" w:rsidP="00D554D2">
            <w:pPr>
              <w:pStyle w:val="Tabletext"/>
              <w:framePr w:vSpace="0" w:wrap="auto" w:vAnchor="margin" w:hAnchor="text" w:yAlign="inline"/>
              <w:suppressOverlap w:val="0"/>
              <w:jc w:val="center"/>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Federal Ministry of Health</w:t>
            </w:r>
          </w:p>
        </w:tc>
        <w:tc>
          <w:tcPr>
            <w:tcW w:w="1798" w:type="dxa"/>
          </w:tcPr>
          <w:p w14:paraId="4FE387E6"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6552" w:type="dxa"/>
          </w:tcPr>
          <w:p w14:paraId="66E157B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“epidemic situation of national importance is determined by the German Bundestag”</w:t>
            </w:r>
          </w:p>
        </w:tc>
      </w:tr>
      <w:tr w:rsidR="00606A0F" w:rsidRPr="003B11BD" w14:paraId="516DFCBA" w14:textId="77777777" w:rsidTr="34EF0D43">
        <w:tc>
          <w:tcPr>
            <w:tcW w:w="1240" w:type="dxa"/>
          </w:tcPr>
          <w:p w14:paraId="314A03F4"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Greece</w:t>
            </w:r>
          </w:p>
        </w:tc>
        <w:tc>
          <w:tcPr>
            <w:tcW w:w="2122" w:type="dxa"/>
          </w:tcPr>
          <w:p w14:paraId="7F868513"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Arts. 13 Greek Patents Act</w:t>
            </w:r>
          </w:p>
        </w:tc>
        <w:tc>
          <w:tcPr>
            <w:tcW w:w="2605" w:type="dxa"/>
          </w:tcPr>
          <w:p w14:paraId="66AC172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Hellenic Property Organisation (OBI)</w:t>
            </w:r>
          </w:p>
        </w:tc>
        <w:tc>
          <w:tcPr>
            <w:tcW w:w="1798" w:type="dxa"/>
          </w:tcPr>
          <w:p w14:paraId="7300E05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health or national defence</w:t>
            </w:r>
          </w:p>
        </w:tc>
        <w:tc>
          <w:tcPr>
            <w:tcW w:w="6552" w:type="dxa"/>
          </w:tcPr>
          <w:p w14:paraId="03ABA47B"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 xml:space="preserve">“Imperative need for purposes of national health or national defence exists”. </w:t>
            </w:r>
          </w:p>
          <w:p w14:paraId="3386B22B" w14:textId="77777777" w:rsidR="00C91993" w:rsidRPr="003B11BD" w:rsidRDefault="00C91993" w:rsidP="008B1C80">
            <w:pPr>
              <w:pStyle w:val="Tabletext"/>
              <w:framePr w:vSpace="0" w:wrap="auto" w:vAnchor="margin" w:hAnchor="text" w:yAlign="inline"/>
              <w:ind w:left="829"/>
              <w:suppressOverlap w:val="0"/>
              <w:rPr>
                <w:rFonts w:ascii="Times New Roman" w:hAnsi="Times New Roman" w:cs="Times New Roman"/>
                <w:noProof/>
                <w:color w:val="000000" w:themeColor="text1"/>
                <w:szCs w:val="18"/>
                <w:lang w:val="en-IE"/>
              </w:rPr>
            </w:pPr>
          </w:p>
        </w:tc>
      </w:tr>
      <w:tr w:rsidR="00606A0F" w:rsidRPr="003B11BD" w14:paraId="6E3FBF2E" w14:textId="77777777" w:rsidTr="34EF0D43">
        <w:tc>
          <w:tcPr>
            <w:tcW w:w="1240" w:type="dxa"/>
          </w:tcPr>
          <w:p w14:paraId="0385550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Hungary</w:t>
            </w:r>
          </w:p>
        </w:tc>
        <w:tc>
          <w:tcPr>
            <w:tcW w:w="2122" w:type="dxa"/>
          </w:tcPr>
          <w:p w14:paraId="2D1A83EB"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Art. 33/B(1) Hungarian Patents Act</w:t>
            </w:r>
          </w:p>
          <w:p w14:paraId="6D439A92"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p w14:paraId="558DC8D3" w14:textId="156AA161"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2605" w:type="dxa"/>
          </w:tcPr>
          <w:p w14:paraId="3B5E352C"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Hungarian Intellectual Property Office (HIPO) is </w:t>
            </w:r>
            <w:r w:rsidRPr="003B11BD">
              <w:rPr>
                <w:rFonts w:ascii="Times New Roman" w:hAnsi="Times New Roman" w:cs="Times New Roman"/>
                <w:noProof/>
                <w:color w:val="000000" w:themeColor="text1"/>
                <w:szCs w:val="18"/>
                <w:lang w:val="en-IE"/>
              </w:rPr>
              <w:br/>
              <w:t xml:space="preserve">competent to grant compulsory licences based on </w:t>
            </w:r>
            <w:r w:rsidRPr="003B11BD">
              <w:rPr>
                <w:rFonts w:ascii="Times New Roman" w:hAnsi="Times New Roman" w:cs="Times New Roman"/>
                <w:noProof/>
                <w:color w:val="000000" w:themeColor="text1"/>
                <w:szCs w:val="18"/>
                <w:lang w:val="en-IE"/>
              </w:rPr>
              <w:br/>
              <w:t>Art. 33/A PA (for the treatment of public health problems).</w:t>
            </w:r>
          </w:p>
        </w:tc>
        <w:tc>
          <w:tcPr>
            <w:tcW w:w="1798" w:type="dxa"/>
          </w:tcPr>
          <w:p w14:paraId="282AAFC1"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health</w:t>
            </w:r>
          </w:p>
        </w:tc>
        <w:tc>
          <w:tcPr>
            <w:tcW w:w="6552" w:type="dxa"/>
          </w:tcPr>
          <w:p w14:paraId="08A53FA1"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“For the interest of public health problems”</w:t>
            </w:r>
          </w:p>
          <w:p w14:paraId="3B67B969"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 xml:space="preserve">“In the interest of meeting domestic demand stemming from a public health crisis” referred to in Subsection (2) of Section 228 of Act CLIV of 1997 on Health Care. </w:t>
            </w:r>
          </w:p>
          <w:p w14:paraId="1540B3D5"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Covering patented medicinal products, active substances or investigational medicinal products as well as medical devices or for patented procedures, equipment or devices required for the production of healthcare products.</w:t>
            </w:r>
          </w:p>
        </w:tc>
      </w:tr>
      <w:tr w:rsidR="00606A0F" w:rsidRPr="003B11BD" w14:paraId="58B21AFC" w14:textId="77777777" w:rsidTr="34EF0D43">
        <w:tc>
          <w:tcPr>
            <w:tcW w:w="1240" w:type="dxa"/>
          </w:tcPr>
          <w:p w14:paraId="1E96288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Ireland</w:t>
            </w:r>
          </w:p>
        </w:tc>
        <w:tc>
          <w:tcPr>
            <w:tcW w:w="2122" w:type="dxa"/>
          </w:tcPr>
          <w:p w14:paraId="019D43DF" w14:textId="6FD2C794" w:rsidR="00C91993" w:rsidRPr="003B11BD" w:rsidRDefault="00C91993" w:rsidP="008B1C80">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Sections 70 to 75 of the Patents Act 1992. Buscar cual</w:t>
            </w:r>
          </w:p>
        </w:tc>
        <w:tc>
          <w:tcPr>
            <w:tcW w:w="2605" w:type="dxa"/>
          </w:tcPr>
          <w:p w14:paraId="0941756B"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Controller of Patents, Trade Marks and Designs</w:t>
            </w:r>
          </w:p>
        </w:tc>
        <w:tc>
          <w:tcPr>
            <w:tcW w:w="1798" w:type="dxa"/>
          </w:tcPr>
          <w:p w14:paraId="2F422E37" w14:textId="77777777" w:rsidR="00C91993" w:rsidRPr="003B11BD" w:rsidRDefault="00C91993" w:rsidP="00D554D2">
            <w:pPr>
              <w:pStyle w:val="Tabletext"/>
              <w:framePr w:vSpace="0" w:wrap="auto" w:vAnchor="margin" w:hAnchor="text" w:yAlign="inline"/>
              <w:suppressOverlap w:val="0"/>
              <w:jc w:val="center"/>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X</w:t>
            </w:r>
          </w:p>
        </w:tc>
        <w:tc>
          <w:tcPr>
            <w:tcW w:w="6552" w:type="dxa"/>
          </w:tcPr>
          <w:p w14:paraId="18F3B6A2"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“a demand in the State for the subject matter of the patent is not being met or is not being met on reasonable terms or that the establishment or development of commercial or industrial activities in the State is unfairly prejudiced”</w:t>
            </w:r>
          </w:p>
        </w:tc>
      </w:tr>
      <w:tr w:rsidR="00606A0F" w:rsidRPr="003B11BD" w14:paraId="2AAFE253" w14:textId="77777777" w:rsidTr="34EF0D43">
        <w:tc>
          <w:tcPr>
            <w:tcW w:w="1240" w:type="dxa"/>
          </w:tcPr>
          <w:p w14:paraId="43C22B9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Italy</w:t>
            </w:r>
          </w:p>
        </w:tc>
        <w:tc>
          <w:tcPr>
            <w:tcW w:w="2122" w:type="dxa"/>
          </w:tcPr>
          <w:p w14:paraId="0B0F59E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Intellectual Property Code (Codice della proprietà industriale </w:t>
            </w:r>
            <w:r w:rsidRPr="003B11BD">
              <w:rPr>
                <w:rFonts w:ascii="Times New Roman" w:hAnsi="Times New Roman" w:cs="Times New Roman"/>
                <w:noProof/>
                <w:color w:val="000000" w:themeColor="text1"/>
                <w:szCs w:val="18"/>
                <w:lang w:val="en-IE"/>
              </w:rPr>
              <w:br/>
              <w:t>2005, hereinafter IP Code or IPC), Art. 70-bis</w:t>
            </w:r>
          </w:p>
        </w:tc>
        <w:tc>
          <w:tcPr>
            <w:tcW w:w="2605" w:type="dxa"/>
          </w:tcPr>
          <w:p w14:paraId="66F9048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Italian Minister of Health in agreement with the Italian Minister of Economic Development</w:t>
            </w:r>
          </w:p>
        </w:tc>
        <w:tc>
          <w:tcPr>
            <w:tcW w:w="1798" w:type="dxa"/>
          </w:tcPr>
          <w:p w14:paraId="7A2E9FED"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emergency</w:t>
            </w:r>
          </w:p>
        </w:tc>
        <w:tc>
          <w:tcPr>
            <w:tcW w:w="6552" w:type="dxa"/>
          </w:tcPr>
          <w:p w14:paraId="69BA49D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 xml:space="preserve">“national health emergency” for “medicines and medical devices deemed essential for dealing with the health emergency” (requires the declaration of a state of emergency) </w:t>
            </w:r>
          </w:p>
        </w:tc>
      </w:tr>
      <w:tr w:rsidR="00606A0F" w:rsidRPr="003B11BD" w14:paraId="7305EB62" w14:textId="77777777" w:rsidTr="34EF0D43">
        <w:tc>
          <w:tcPr>
            <w:tcW w:w="1240" w:type="dxa"/>
            <w:vMerge w:val="restart"/>
          </w:tcPr>
          <w:p w14:paraId="388A517C" w14:textId="77777777" w:rsidR="00C91993" w:rsidRPr="003B11BD" w:rsidRDefault="4347B806"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Latvia</w:t>
            </w:r>
            <w:r w:rsidR="00C91993" w:rsidRPr="003B11BD">
              <w:rPr>
                <w:rStyle w:val="FootnoteReference"/>
                <w:rFonts w:ascii="Times New Roman" w:hAnsi="Times New Roman" w:cs="Times New Roman"/>
                <w:noProof/>
                <w:color w:val="000000" w:themeColor="text1"/>
                <w:lang w:val="en-IE"/>
              </w:rPr>
              <w:footnoteReference w:id="193"/>
            </w:r>
          </w:p>
        </w:tc>
        <w:tc>
          <w:tcPr>
            <w:tcW w:w="2122" w:type="dxa"/>
          </w:tcPr>
          <w:p w14:paraId="2D64D8E4"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Art. 54(3) of the Patent Law of 2007, amended on 1 January 2016.</w:t>
            </w:r>
          </w:p>
        </w:tc>
        <w:tc>
          <w:tcPr>
            <w:tcW w:w="2605" w:type="dxa"/>
          </w:tcPr>
          <w:p w14:paraId="10E16A5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Administrative court of first instance</w:t>
            </w:r>
          </w:p>
        </w:tc>
        <w:tc>
          <w:tcPr>
            <w:tcW w:w="1798" w:type="dxa"/>
          </w:tcPr>
          <w:p w14:paraId="32B83D7B"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defence or economic interests</w:t>
            </w:r>
          </w:p>
        </w:tc>
        <w:tc>
          <w:tcPr>
            <w:tcW w:w="6552" w:type="dxa"/>
          </w:tcPr>
          <w:p w14:paraId="70E28142" w14:textId="79AAF56A"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“vital importance for the welfare, defence or economic interests of the people of Latvia”</w:t>
            </w:r>
          </w:p>
          <w:p w14:paraId="3C85C5E6" w14:textId="3B8FD534"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r>
      <w:tr w:rsidR="00606A0F" w:rsidRPr="003B11BD" w14:paraId="08CCF563" w14:textId="77777777" w:rsidTr="34EF0D43">
        <w:tc>
          <w:tcPr>
            <w:tcW w:w="1240" w:type="dxa"/>
            <w:vMerge/>
          </w:tcPr>
          <w:p w14:paraId="4523FED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2122" w:type="dxa"/>
          </w:tcPr>
          <w:p w14:paraId="10F4823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Art. 54(5) Patent Law</w:t>
            </w:r>
          </w:p>
        </w:tc>
        <w:tc>
          <w:tcPr>
            <w:tcW w:w="2605" w:type="dxa"/>
          </w:tcPr>
          <w:p w14:paraId="0F33E7A6"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Cabinet of Ministers</w:t>
            </w:r>
          </w:p>
        </w:tc>
        <w:tc>
          <w:tcPr>
            <w:tcW w:w="1798" w:type="dxa"/>
          </w:tcPr>
          <w:p w14:paraId="554A8E37"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emergency</w:t>
            </w:r>
          </w:p>
        </w:tc>
        <w:tc>
          <w:tcPr>
            <w:tcW w:w="6552" w:type="dxa"/>
          </w:tcPr>
          <w:p w14:paraId="283EB5B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“state of national emergency”</w:t>
            </w:r>
          </w:p>
        </w:tc>
      </w:tr>
      <w:tr w:rsidR="00606A0F" w:rsidRPr="003B11BD" w14:paraId="53262A8F" w14:textId="77777777" w:rsidTr="34EF0D43">
        <w:tc>
          <w:tcPr>
            <w:tcW w:w="1240" w:type="dxa"/>
          </w:tcPr>
          <w:p w14:paraId="39EE7F47"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Lithuania</w:t>
            </w:r>
          </w:p>
        </w:tc>
        <w:tc>
          <w:tcPr>
            <w:tcW w:w="2122" w:type="dxa"/>
          </w:tcPr>
          <w:p w14:paraId="0D9595F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Patent Law of the Republic of Lithuania of 18 January 1994, </w:t>
            </w:r>
            <w:r w:rsidRPr="003B11BD">
              <w:rPr>
                <w:rFonts w:ascii="Times New Roman" w:hAnsi="Times New Roman" w:cs="Times New Roman"/>
                <w:noProof/>
                <w:color w:val="000000" w:themeColor="text1"/>
                <w:szCs w:val="18"/>
                <w:lang w:val="en-IE"/>
              </w:rPr>
              <w:br/>
              <w:t>No. I-372 (modified on 3 February 2012).</w:t>
            </w:r>
          </w:p>
        </w:tc>
        <w:tc>
          <w:tcPr>
            <w:tcW w:w="2605" w:type="dxa"/>
          </w:tcPr>
          <w:p w14:paraId="3EA80AE3"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Government of the Republic</w:t>
            </w:r>
          </w:p>
        </w:tc>
        <w:tc>
          <w:tcPr>
            <w:tcW w:w="1798" w:type="dxa"/>
          </w:tcPr>
          <w:p w14:paraId="4FB6899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needs, national security or public health</w:t>
            </w:r>
          </w:p>
        </w:tc>
        <w:tc>
          <w:tcPr>
            <w:tcW w:w="6552" w:type="dxa"/>
          </w:tcPr>
          <w:p w14:paraId="28C971F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“public needs, national security and public health protection, development of economically important sectors, or if a competent court determines that a method of the exploitation of a patented invention by its owner or licensee is anti-competitive”</w:t>
            </w:r>
          </w:p>
        </w:tc>
      </w:tr>
      <w:tr w:rsidR="00606A0F" w:rsidRPr="003B11BD" w14:paraId="697CE49C" w14:textId="77777777" w:rsidTr="34EF0D43">
        <w:trPr>
          <w:trHeight w:val="573"/>
        </w:trPr>
        <w:tc>
          <w:tcPr>
            <w:tcW w:w="1240" w:type="dxa"/>
          </w:tcPr>
          <w:p w14:paraId="7A3B8643"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Luxemburg</w:t>
            </w:r>
          </w:p>
        </w:tc>
        <w:tc>
          <w:tcPr>
            <w:tcW w:w="2122" w:type="dxa"/>
          </w:tcPr>
          <w:p w14:paraId="589AC222"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Law of 20 July 1992 on Patents, Art. 63</w:t>
            </w:r>
          </w:p>
        </w:tc>
        <w:tc>
          <w:tcPr>
            <w:tcW w:w="2605" w:type="dxa"/>
          </w:tcPr>
          <w:p w14:paraId="44166DB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Government</w:t>
            </w:r>
          </w:p>
        </w:tc>
        <w:tc>
          <w:tcPr>
            <w:tcW w:w="1798" w:type="dxa"/>
          </w:tcPr>
          <w:p w14:paraId="2B7AE2E3"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245EF22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 They are also called ex-officio licences, which are delivered by the Government where the invention has been declared by decree of public interest.</w:t>
            </w:r>
          </w:p>
        </w:tc>
      </w:tr>
      <w:tr w:rsidR="00606A0F" w:rsidRPr="003B11BD" w14:paraId="33344468" w14:textId="77777777" w:rsidTr="34EF0D43">
        <w:tc>
          <w:tcPr>
            <w:tcW w:w="1240" w:type="dxa"/>
          </w:tcPr>
          <w:p w14:paraId="775B2D14"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Malta</w:t>
            </w:r>
          </w:p>
        </w:tc>
        <w:tc>
          <w:tcPr>
            <w:tcW w:w="2122" w:type="dxa"/>
          </w:tcPr>
          <w:p w14:paraId="7FDD547E"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Art. 39 of the Patents and Designs Act (Cap. 417 of the Laws of Malta) </w:t>
            </w:r>
          </w:p>
        </w:tc>
        <w:tc>
          <w:tcPr>
            <w:tcW w:w="2605" w:type="dxa"/>
          </w:tcPr>
          <w:p w14:paraId="68FF6C44"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Minister responsible for the protection of industrial property</w:t>
            </w:r>
          </w:p>
        </w:tc>
        <w:tc>
          <w:tcPr>
            <w:tcW w:w="1798" w:type="dxa"/>
          </w:tcPr>
          <w:p w14:paraId="29E96EB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security</w:t>
            </w:r>
          </w:p>
        </w:tc>
        <w:tc>
          <w:tcPr>
            <w:tcW w:w="6552" w:type="dxa"/>
          </w:tcPr>
          <w:p w14:paraId="7B48CED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“where the national security or public safety so requires, even without the agreement of the proprietor of the patent or the patent application”</w:t>
            </w:r>
          </w:p>
        </w:tc>
      </w:tr>
      <w:tr w:rsidR="00606A0F" w:rsidRPr="003B11BD" w14:paraId="437FD076" w14:textId="77777777" w:rsidTr="34EF0D43">
        <w:tc>
          <w:tcPr>
            <w:tcW w:w="1240" w:type="dxa"/>
            <w:vMerge w:val="restart"/>
          </w:tcPr>
          <w:p w14:paraId="77312112"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Netherlands</w:t>
            </w:r>
          </w:p>
        </w:tc>
        <w:tc>
          <w:tcPr>
            <w:tcW w:w="2122" w:type="dxa"/>
          </w:tcPr>
          <w:p w14:paraId="32CEA0D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Patents Act of 15 December 1994 (Dutch Patent Act), Art. 57(1)</w:t>
            </w:r>
          </w:p>
        </w:tc>
        <w:tc>
          <w:tcPr>
            <w:tcW w:w="2605" w:type="dxa"/>
          </w:tcPr>
          <w:p w14:paraId="3BFCD76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Minister of Economic Affairs </w:t>
            </w:r>
            <w:r w:rsidRPr="003B11BD">
              <w:rPr>
                <w:rFonts w:ascii="Times New Roman" w:hAnsi="Times New Roman" w:cs="Times New Roman"/>
                <w:noProof/>
                <w:color w:val="000000" w:themeColor="text1"/>
                <w:szCs w:val="18"/>
                <w:lang w:val="en-IE"/>
              </w:rPr>
              <w:br/>
            </w:r>
          </w:p>
        </w:tc>
        <w:tc>
          <w:tcPr>
            <w:tcW w:w="1798" w:type="dxa"/>
          </w:tcPr>
          <w:p w14:paraId="6DE17EC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7ECAC1F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r>
      <w:tr w:rsidR="00606A0F" w:rsidRPr="003B11BD" w14:paraId="599B8CAE" w14:textId="77777777" w:rsidTr="34EF0D43">
        <w:tc>
          <w:tcPr>
            <w:tcW w:w="1240" w:type="dxa"/>
            <w:vMerge/>
          </w:tcPr>
          <w:p w14:paraId="196D0D7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2122" w:type="dxa"/>
          </w:tcPr>
          <w:p w14:paraId="07AA7CD4" w14:textId="77777777" w:rsidR="00C91993" w:rsidRPr="003B11BD" w:rsidRDefault="4347B806"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Art. 59 Dutch Patent Act</w:t>
            </w:r>
            <w:r w:rsidR="00C91993" w:rsidRPr="003B11BD">
              <w:rPr>
                <w:rStyle w:val="FootnoteReference"/>
                <w:rFonts w:ascii="Times New Roman" w:hAnsi="Times New Roman" w:cs="Times New Roman"/>
                <w:noProof/>
                <w:color w:val="000000" w:themeColor="text1"/>
                <w:lang w:val="en-IE"/>
              </w:rPr>
              <w:footnoteReference w:id="194"/>
            </w:r>
          </w:p>
        </w:tc>
        <w:tc>
          <w:tcPr>
            <w:tcW w:w="2605" w:type="dxa"/>
          </w:tcPr>
          <w:p w14:paraId="32838864" w14:textId="3843997E" w:rsidR="00C91993" w:rsidRPr="003B11BD" w:rsidRDefault="00401FF5" w:rsidP="00D554D2">
            <w:pPr>
              <w:pStyle w:val="Tabletext"/>
              <w:framePr w:vSpace="0" w:wrap="auto" w:vAnchor="margin" w:hAnchor="text" w:yAlign="inline"/>
              <w:suppressOverlap w:val="0"/>
              <w:jc w:val="center"/>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w:t>
            </w:r>
          </w:p>
        </w:tc>
        <w:tc>
          <w:tcPr>
            <w:tcW w:w="1798" w:type="dxa"/>
          </w:tcPr>
          <w:p w14:paraId="7B1420B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defence</w:t>
            </w:r>
          </w:p>
        </w:tc>
        <w:tc>
          <w:tcPr>
            <w:tcW w:w="6552" w:type="dxa"/>
          </w:tcPr>
          <w:p w14:paraId="4E381C1E"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defence”</w:t>
            </w:r>
          </w:p>
        </w:tc>
      </w:tr>
      <w:tr w:rsidR="00606A0F" w:rsidRPr="003B11BD" w14:paraId="50A51F13" w14:textId="77777777" w:rsidTr="34EF0D43">
        <w:tc>
          <w:tcPr>
            <w:tcW w:w="1240" w:type="dxa"/>
            <w:vMerge w:val="restart"/>
          </w:tcPr>
          <w:p w14:paraId="3F70CAA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Poland</w:t>
            </w:r>
          </w:p>
        </w:tc>
        <w:tc>
          <w:tcPr>
            <w:tcW w:w="2122" w:type="dxa"/>
          </w:tcPr>
          <w:p w14:paraId="651A26AD"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Act of 30 June 2000 on Industrial </w:t>
            </w:r>
            <w:r w:rsidRPr="003B11BD">
              <w:rPr>
                <w:rFonts w:ascii="Times New Roman" w:hAnsi="Times New Roman" w:cs="Times New Roman"/>
                <w:noProof/>
                <w:color w:val="000000" w:themeColor="text1"/>
                <w:szCs w:val="18"/>
                <w:lang w:val="en-IE"/>
              </w:rPr>
              <w:br/>
              <w:t>Property, Art. 82(1)</w:t>
            </w:r>
          </w:p>
        </w:tc>
        <w:tc>
          <w:tcPr>
            <w:tcW w:w="2605" w:type="dxa"/>
          </w:tcPr>
          <w:p w14:paraId="374AB0C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Patent Office</w:t>
            </w:r>
          </w:p>
        </w:tc>
        <w:tc>
          <w:tcPr>
            <w:tcW w:w="1798" w:type="dxa"/>
          </w:tcPr>
          <w:p w14:paraId="476CE51D"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emergency</w:t>
            </w:r>
          </w:p>
        </w:tc>
        <w:tc>
          <w:tcPr>
            <w:tcW w:w="6552" w:type="dxa"/>
          </w:tcPr>
          <w:p w14:paraId="379E581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“to prevent or eliminate the state of national emergency, in particular in the field of defence, public order, the protection of human life and health, as well as the protection of the natural environment”</w:t>
            </w:r>
          </w:p>
        </w:tc>
      </w:tr>
      <w:tr w:rsidR="00606A0F" w:rsidRPr="003B11BD" w14:paraId="145CD4C4" w14:textId="77777777" w:rsidTr="34EF0D43">
        <w:trPr>
          <w:trHeight w:val="70"/>
        </w:trPr>
        <w:tc>
          <w:tcPr>
            <w:tcW w:w="1240" w:type="dxa"/>
            <w:vMerge/>
          </w:tcPr>
          <w:p w14:paraId="69A5FDC2"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p>
        </w:tc>
        <w:tc>
          <w:tcPr>
            <w:tcW w:w="2122" w:type="dxa"/>
          </w:tcPr>
          <w:p w14:paraId="2004DDDC" w14:textId="482E1341"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Act of 30 June 2000 on Industrial </w:t>
            </w:r>
            <w:r w:rsidRPr="003B11BD">
              <w:rPr>
                <w:rFonts w:ascii="Times New Roman" w:hAnsi="Times New Roman" w:cs="Times New Roman"/>
                <w:noProof/>
                <w:color w:val="000000" w:themeColor="text1"/>
                <w:szCs w:val="18"/>
                <w:lang w:val="en-IE"/>
              </w:rPr>
              <w:br/>
              <w:t>Property,</w:t>
            </w:r>
          </w:p>
        </w:tc>
        <w:tc>
          <w:tcPr>
            <w:tcW w:w="2605" w:type="dxa"/>
          </w:tcPr>
          <w:p w14:paraId="75C0075A" w14:textId="626DBEB2"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 xml:space="preserve">Patent Office </w:t>
            </w:r>
          </w:p>
        </w:tc>
        <w:tc>
          <w:tcPr>
            <w:tcW w:w="1798" w:type="dxa"/>
          </w:tcPr>
          <w:p w14:paraId="62E6FE01"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interests</w:t>
            </w:r>
          </w:p>
        </w:tc>
        <w:tc>
          <w:tcPr>
            <w:tcW w:w="6552" w:type="dxa"/>
          </w:tcPr>
          <w:p w14:paraId="52AB655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“to prevent or remove a threat to important state interests, in particular public safety and order”</w:t>
            </w:r>
          </w:p>
        </w:tc>
      </w:tr>
      <w:tr w:rsidR="00606A0F" w:rsidRPr="003B11BD" w14:paraId="52666593" w14:textId="77777777" w:rsidTr="34EF0D43">
        <w:tc>
          <w:tcPr>
            <w:tcW w:w="1240" w:type="dxa"/>
          </w:tcPr>
          <w:p w14:paraId="485B2238" w14:textId="77777777" w:rsidR="00C91993" w:rsidRPr="003B11BD" w:rsidRDefault="4347B806"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Portugal</w:t>
            </w:r>
            <w:r w:rsidR="00C91993" w:rsidRPr="003B11BD">
              <w:rPr>
                <w:rStyle w:val="FootnoteReference"/>
                <w:rFonts w:ascii="Times New Roman" w:hAnsi="Times New Roman" w:cs="Times New Roman"/>
                <w:noProof/>
                <w:color w:val="000000" w:themeColor="text1"/>
                <w:lang w:val="en-IE"/>
              </w:rPr>
              <w:footnoteReference w:id="195"/>
            </w:r>
          </w:p>
        </w:tc>
        <w:tc>
          <w:tcPr>
            <w:tcW w:w="2122" w:type="dxa"/>
          </w:tcPr>
          <w:p w14:paraId="6B3C8EF7"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Industrial </w:t>
            </w:r>
            <w:r w:rsidRPr="003B11BD">
              <w:rPr>
                <w:rFonts w:ascii="Times New Roman" w:hAnsi="Times New Roman" w:cs="Times New Roman"/>
                <w:noProof/>
                <w:color w:val="000000" w:themeColor="text1"/>
                <w:szCs w:val="18"/>
                <w:lang w:val="en-IE"/>
              </w:rPr>
              <w:br/>
              <w:t xml:space="preserve">Property Code in Arts. 107 to 112. </w:t>
            </w:r>
          </w:p>
        </w:tc>
        <w:tc>
          <w:tcPr>
            <w:tcW w:w="2605" w:type="dxa"/>
          </w:tcPr>
          <w:p w14:paraId="0D4584A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Government</w:t>
            </w:r>
          </w:p>
        </w:tc>
        <w:tc>
          <w:tcPr>
            <w:tcW w:w="1798" w:type="dxa"/>
          </w:tcPr>
          <w:p w14:paraId="3EFEDC4D"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52564373"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r>
      <w:tr w:rsidR="00606A0F" w:rsidRPr="003B11BD" w14:paraId="1EEC02CC" w14:textId="77777777" w:rsidTr="34EF0D43">
        <w:tc>
          <w:tcPr>
            <w:tcW w:w="1240" w:type="dxa"/>
          </w:tcPr>
          <w:p w14:paraId="3D53873A"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Romania</w:t>
            </w:r>
          </w:p>
        </w:tc>
        <w:tc>
          <w:tcPr>
            <w:tcW w:w="2122" w:type="dxa"/>
          </w:tcPr>
          <w:p w14:paraId="4877993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Arts. 43(4) of the Romanian Law No. 64/1991 on patents (Romanian Patents Act)</w:t>
            </w:r>
          </w:p>
        </w:tc>
        <w:tc>
          <w:tcPr>
            <w:tcW w:w="2605" w:type="dxa"/>
          </w:tcPr>
          <w:p w14:paraId="2F3D57A1"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Bucharest Tribunal</w:t>
            </w:r>
          </w:p>
        </w:tc>
        <w:tc>
          <w:tcPr>
            <w:tcW w:w="1798" w:type="dxa"/>
          </w:tcPr>
          <w:p w14:paraId="5F577901"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National emergency</w:t>
            </w:r>
          </w:p>
        </w:tc>
        <w:tc>
          <w:tcPr>
            <w:tcW w:w="6552" w:type="dxa"/>
          </w:tcPr>
          <w:p w14:paraId="39C9FA13"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“a) in national emergency cases;</w:t>
            </w:r>
          </w:p>
          <w:p w14:paraId="148B7529"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b) in other cases of extreme emergency;</w:t>
            </w:r>
          </w:p>
          <w:p w14:paraId="451A599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c) in cases of public use for non-commercial purposes.”</w:t>
            </w:r>
          </w:p>
        </w:tc>
      </w:tr>
      <w:tr w:rsidR="00606A0F" w:rsidRPr="003B11BD" w14:paraId="4AEC8D9F" w14:textId="77777777" w:rsidTr="34EF0D43">
        <w:tc>
          <w:tcPr>
            <w:tcW w:w="1240" w:type="dxa"/>
          </w:tcPr>
          <w:p w14:paraId="5F341922"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Slovakia</w:t>
            </w:r>
          </w:p>
        </w:tc>
        <w:tc>
          <w:tcPr>
            <w:tcW w:w="2122" w:type="dxa"/>
          </w:tcPr>
          <w:p w14:paraId="6CB5231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Slovak </w:t>
            </w:r>
            <w:r w:rsidRPr="003B11BD">
              <w:rPr>
                <w:rFonts w:ascii="Times New Roman" w:hAnsi="Times New Roman" w:cs="Times New Roman"/>
                <w:noProof/>
                <w:color w:val="000000" w:themeColor="text1"/>
                <w:szCs w:val="18"/>
                <w:lang w:val="en-IE"/>
              </w:rPr>
              <w:br/>
              <w:t>Patent Act, Sec. 27</w:t>
            </w:r>
          </w:p>
        </w:tc>
        <w:tc>
          <w:tcPr>
            <w:tcW w:w="2605" w:type="dxa"/>
          </w:tcPr>
          <w:p w14:paraId="7C0F045C"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District Court Banská Bystrica</w:t>
            </w:r>
          </w:p>
        </w:tc>
        <w:tc>
          <w:tcPr>
            <w:tcW w:w="1798" w:type="dxa"/>
          </w:tcPr>
          <w:p w14:paraId="67273ED2"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67A1F2CD"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“in case of threat to an important public interest”</w:t>
            </w:r>
          </w:p>
        </w:tc>
      </w:tr>
      <w:tr w:rsidR="00606A0F" w:rsidRPr="003B11BD" w14:paraId="07358FBE" w14:textId="77777777" w:rsidTr="34EF0D43">
        <w:tc>
          <w:tcPr>
            <w:tcW w:w="1240" w:type="dxa"/>
          </w:tcPr>
          <w:p w14:paraId="7001DCDC"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Slovenia</w:t>
            </w:r>
          </w:p>
        </w:tc>
        <w:tc>
          <w:tcPr>
            <w:tcW w:w="2122" w:type="dxa"/>
          </w:tcPr>
          <w:p w14:paraId="1282C46F"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Art. 125(1) Industrial Property Act (ZIL-1-UPB3) (amended up </w:t>
            </w:r>
            <w:r w:rsidRPr="003B11BD">
              <w:rPr>
                <w:rFonts w:ascii="Times New Roman" w:hAnsi="Times New Roman" w:cs="Times New Roman"/>
                <w:noProof/>
                <w:color w:val="000000" w:themeColor="text1"/>
                <w:szCs w:val="18"/>
                <w:lang w:val="en-IE"/>
              </w:rPr>
              <w:br/>
              <w:t xml:space="preserve">to 6 December 2013). </w:t>
            </w:r>
          </w:p>
        </w:tc>
        <w:tc>
          <w:tcPr>
            <w:tcW w:w="2605" w:type="dxa"/>
          </w:tcPr>
          <w:p w14:paraId="3DB68801"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District Court of Ljubljana</w:t>
            </w:r>
          </w:p>
        </w:tc>
        <w:tc>
          <w:tcPr>
            <w:tcW w:w="1798" w:type="dxa"/>
          </w:tcPr>
          <w:p w14:paraId="1E8C5240"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 or national security</w:t>
            </w:r>
          </w:p>
        </w:tc>
        <w:tc>
          <w:tcPr>
            <w:tcW w:w="6552" w:type="dxa"/>
          </w:tcPr>
          <w:p w14:paraId="083C2A7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“where the public interest is concerned, in particular if national security, nutrition, health or the development of other vital sectors of the national economy so requires”</w:t>
            </w:r>
          </w:p>
        </w:tc>
      </w:tr>
      <w:tr w:rsidR="00606A0F" w:rsidRPr="003B11BD" w14:paraId="4FE38513" w14:textId="77777777" w:rsidTr="34EF0D43">
        <w:tc>
          <w:tcPr>
            <w:tcW w:w="1240" w:type="dxa"/>
          </w:tcPr>
          <w:p w14:paraId="2CD8193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Spain</w:t>
            </w:r>
          </w:p>
        </w:tc>
        <w:tc>
          <w:tcPr>
            <w:tcW w:w="2122" w:type="dxa"/>
          </w:tcPr>
          <w:p w14:paraId="794BCE08"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Patents Act (Ley 24/2015), Art. 95(2) </w:t>
            </w:r>
          </w:p>
        </w:tc>
        <w:tc>
          <w:tcPr>
            <w:tcW w:w="2605" w:type="dxa"/>
          </w:tcPr>
          <w:p w14:paraId="6C2C098E"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Patent and Trademarks Office (OEPM) (by request of the Government)</w:t>
            </w:r>
          </w:p>
        </w:tc>
        <w:tc>
          <w:tcPr>
            <w:tcW w:w="1798" w:type="dxa"/>
          </w:tcPr>
          <w:p w14:paraId="70778824"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34AEBB26"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 xml:space="preserve">“public interest”, meaning: </w:t>
            </w:r>
          </w:p>
          <w:p w14:paraId="12CCA8BD"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 xml:space="preserve"> (a) the initiation, increase or generalisation of the exploitation of the invention, or the improvement of the conditions under which such exploitation takes place, are of major importance for public health or national defence.</w:t>
            </w:r>
          </w:p>
          <w:p w14:paraId="43E29763" w14:textId="77777777" w:rsidR="00C91993" w:rsidRPr="003B11BD" w:rsidRDefault="00C91993" w:rsidP="00D554D2">
            <w:pPr>
              <w:pStyle w:val="Tabletext"/>
              <w:framePr w:vSpace="0" w:wrap="auto" w:vAnchor="margin" w:hAnchor="text" w:yAlign="inline"/>
              <w:suppressOverlap w:val="0"/>
              <w:rPr>
                <w:rFonts w:ascii="Times New Roman" w:hAnsi="Times New Roman" w:cs="Times New Roman"/>
                <w:noProof/>
                <w:color w:val="000000" w:themeColor="text1"/>
                <w:lang w:val="en-IE"/>
              </w:rPr>
            </w:pPr>
            <w:r w:rsidRPr="003B11BD">
              <w:rPr>
                <w:rFonts w:ascii="Times New Roman" w:hAnsi="Times New Roman" w:cs="Times New Roman"/>
                <w:noProof/>
                <w:color w:val="000000" w:themeColor="text1"/>
                <w:lang w:val="en-IE"/>
              </w:rPr>
              <w:t>(b) The non-exploitation or the inadequacy in quality or quantity of the exploitation carried out is seriously detrimental to the economic or technological development of the country.</w:t>
            </w:r>
          </w:p>
          <w:p w14:paraId="4CE031CE"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c) The needs of national supply.</w:t>
            </w:r>
          </w:p>
        </w:tc>
      </w:tr>
      <w:tr w:rsidR="00606A0F" w:rsidRPr="003B11BD" w14:paraId="4BE2A50E" w14:textId="77777777" w:rsidTr="34EF0D43">
        <w:tc>
          <w:tcPr>
            <w:tcW w:w="1240" w:type="dxa"/>
          </w:tcPr>
          <w:p w14:paraId="6675108D" w14:textId="77777777" w:rsidR="00C91993" w:rsidRPr="003B11BD" w:rsidRDefault="4347B806"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Sweden</w:t>
            </w:r>
            <w:r w:rsidR="00C91993" w:rsidRPr="003B11BD">
              <w:rPr>
                <w:rStyle w:val="FootnoteReference"/>
                <w:rFonts w:ascii="Times New Roman" w:hAnsi="Times New Roman" w:cs="Times New Roman"/>
                <w:noProof/>
                <w:color w:val="000000" w:themeColor="text1"/>
                <w:lang w:val="en-IE"/>
              </w:rPr>
              <w:footnoteReference w:id="196"/>
            </w:r>
          </w:p>
        </w:tc>
        <w:tc>
          <w:tcPr>
            <w:tcW w:w="2122" w:type="dxa"/>
          </w:tcPr>
          <w:p w14:paraId="3408EB95"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 xml:space="preserve">Section 47 of the Swedish Patents Act No. 837 of 1967 as </w:t>
            </w:r>
            <w:r w:rsidRPr="003B11BD">
              <w:rPr>
                <w:rFonts w:ascii="Times New Roman" w:hAnsi="Times New Roman" w:cs="Times New Roman"/>
                <w:noProof/>
                <w:color w:val="000000" w:themeColor="text1"/>
                <w:szCs w:val="18"/>
                <w:lang w:val="en-IE"/>
              </w:rPr>
              <w:br/>
              <w:t xml:space="preserve">amended. </w:t>
            </w:r>
          </w:p>
        </w:tc>
        <w:tc>
          <w:tcPr>
            <w:tcW w:w="2605" w:type="dxa"/>
          </w:tcPr>
          <w:p w14:paraId="55427E5B"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Patent and Market Court</w:t>
            </w:r>
          </w:p>
        </w:tc>
        <w:tc>
          <w:tcPr>
            <w:tcW w:w="1798" w:type="dxa"/>
          </w:tcPr>
          <w:p w14:paraId="72F650FB"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szCs w:val="18"/>
                <w:lang w:val="en-IE"/>
              </w:rPr>
              <w:t>Public interest</w:t>
            </w:r>
          </w:p>
        </w:tc>
        <w:tc>
          <w:tcPr>
            <w:tcW w:w="6552" w:type="dxa"/>
          </w:tcPr>
          <w:p w14:paraId="6E8DAAE9" w14:textId="77777777" w:rsidR="00C91993" w:rsidRPr="003B11BD" w:rsidRDefault="00C91993" w:rsidP="00D554D2">
            <w:pPr>
              <w:pStyle w:val="Tabletext"/>
              <w:framePr w:vSpace="0" w:wrap="auto" w:vAnchor="margin" w:hAnchor="text" w:yAlign="inline"/>
              <w:suppressOverlap w:val="0"/>
              <w:jc w:val="left"/>
              <w:rPr>
                <w:rFonts w:ascii="Times New Roman" w:hAnsi="Times New Roman" w:cs="Times New Roman"/>
                <w:noProof/>
                <w:color w:val="000000" w:themeColor="text1"/>
                <w:szCs w:val="18"/>
                <w:lang w:val="en-IE"/>
              </w:rPr>
            </w:pPr>
            <w:r w:rsidRPr="003B11BD">
              <w:rPr>
                <w:rFonts w:ascii="Times New Roman" w:hAnsi="Times New Roman" w:cs="Times New Roman"/>
                <w:noProof/>
                <w:color w:val="000000" w:themeColor="text1"/>
                <w:lang w:val="en-IE"/>
              </w:rPr>
              <w:t>“public interest of utmost importance requiring a compulsory licence to be granted to someone who intends to exploit the invention commercially”</w:t>
            </w:r>
          </w:p>
        </w:tc>
      </w:tr>
    </w:tbl>
    <w:p w14:paraId="50E2E007" w14:textId="77777777" w:rsidR="00C91993" w:rsidRPr="003B11BD" w:rsidRDefault="00C91993" w:rsidP="00C91993">
      <w:pPr>
        <w:ind w:left="-851"/>
        <w:rPr>
          <w:noProof/>
          <w:lang w:val="en-IE"/>
        </w:rPr>
      </w:pPr>
    </w:p>
    <w:p w14:paraId="0F49F490" w14:textId="77777777" w:rsidR="000F3C7F" w:rsidRPr="003B11BD" w:rsidRDefault="000F3C7F">
      <w:pPr>
        <w:spacing w:after="200" w:line="276" w:lineRule="auto"/>
        <w:jc w:val="left"/>
        <w:rPr>
          <w:noProof/>
          <w:lang w:val="en-IE"/>
        </w:rPr>
        <w:sectPr w:rsidR="000F3C7F" w:rsidRPr="003B11BD" w:rsidSect="000F3C7F">
          <w:headerReference w:type="even" r:id="rId83"/>
          <w:headerReference w:type="default" r:id="rId84"/>
          <w:footerReference w:type="even" r:id="rId85"/>
          <w:footerReference w:type="default" r:id="rId86"/>
          <w:headerReference w:type="first" r:id="rId87"/>
          <w:footerReference w:type="first" r:id="rId88"/>
          <w:pgSz w:w="16838" w:h="11906" w:orient="landscape"/>
          <w:pgMar w:top="1587" w:right="1020" w:bottom="1701" w:left="1020" w:header="601" w:footer="1077" w:gutter="0"/>
          <w:cols w:space="720"/>
          <w:titlePg/>
          <w:docGrid w:linePitch="326"/>
        </w:sectPr>
      </w:pPr>
    </w:p>
    <w:p w14:paraId="373F30AA" w14:textId="21AAE6DD" w:rsidR="00606A0F" w:rsidRPr="003B11BD" w:rsidRDefault="00606A0F" w:rsidP="00606A0F">
      <w:pPr>
        <w:pStyle w:val="Caption"/>
        <w:rPr>
          <w:b/>
          <w:noProof/>
          <w:sz w:val="24"/>
          <w:lang w:val="en-IE"/>
        </w:rPr>
      </w:pPr>
      <w:r w:rsidRPr="003B11BD">
        <w:rPr>
          <w:noProof/>
          <w:lang w:val="en-IE"/>
        </w:rPr>
        <w:t xml:space="preserve">Table </w:t>
      </w:r>
      <w:r w:rsidR="00C6592A">
        <w:rPr>
          <w:noProof/>
          <w:lang w:val="en-IE"/>
        </w:rPr>
        <w:t>20</w:t>
      </w:r>
      <w:r w:rsidRPr="003B11BD">
        <w:rPr>
          <w:noProof/>
          <w:lang w:val="en-IE"/>
        </w:rPr>
        <w:t xml:space="preserve">: Institutions competent to grant </w:t>
      </w:r>
      <w:r w:rsidR="00270487" w:rsidRPr="003B11BD">
        <w:rPr>
          <w:noProof/>
          <w:lang w:val="en-IE"/>
        </w:rPr>
        <w:t>compulsory licen</w:t>
      </w:r>
      <w:r w:rsidR="000B5D2D" w:rsidRPr="003B11BD">
        <w:rPr>
          <w:noProof/>
          <w:lang w:val="en-IE"/>
        </w:rPr>
        <w:t>ces</w:t>
      </w:r>
      <w:r w:rsidR="00270487" w:rsidRPr="003B11BD">
        <w:rPr>
          <w:noProof/>
          <w:lang w:val="en-IE"/>
        </w:rPr>
        <w:t xml:space="preserve"> </w:t>
      </w:r>
      <w:r w:rsidRPr="003B11BD">
        <w:rPr>
          <w:noProof/>
          <w:lang w:val="en-IE"/>
        </w:rPr>
        <w:t xml:space="preserve">across Member States </w:t>
      </w:r>
    </w:p>
    <w:tbl>
      <w:tblPr>
        <w:tblStyle w:val="TableGrid"/>
        <w:tblW w:w="5116" w:type="pct"/>
        <w:tblLayout w:type="fixed"/>
        <w:tblLook w:val="04A0" w:firstRow="1" w:lastRow="0" w:firstColumn="1" w:lastColumn="0" w:noHBand="0" w:noVBand="1"/>
      </w:tblPr>
      <w:tblGrid>
        <w:gridCol w:w="1384"/>
        <w:gridCol w:w="1093"/>
        <w:gridCol w:w="1094"/>
        <w:gridCol w:w="1094"/>
        <w:gridCol w:w="1094"/>
        <w:gridCol w:w="1094"/>
        <w:gridCol w:w="1094"/>
        <w:gridCol w:w="1092"/>
      </w:tblGrid>
      <w:tr w:rsidR="0097589D" w:rsidRPr="003B11BD" w14:paraId="4456367B" w14:textId="77777777" w:rsidTr="34EF0D43">
        <w:trPr>
          <w:trHeight w:val="757"/>
        </w:trPr>
        <w:tc>
          <w:tcPr>
            <w:tcW w:w="766" w:type="pct"/>
          </w:tcPr>
          <w:p w14:paraId="21A958B3" w14:textId="77777777" w:rsidR="00855322" w:rsidRPr="003B11BD" w:rsidRDefault="00855322" w:rsidP="00F03230">
            <w:pPr>
              <w:pStyle w:val="Size10"/>
              <w:rPr>
                <w:noProof/>
              </w:rPr>
            </w:pPr>
          </w:p>
        </w:tc>
        <w:tc>
          <w:tcPr>
            <w:tcW w:w="605" w:type="pct"/>
          </w:tcPr>
          <w:p w14:paraId="78BC8206" w14:textId="39CCE3D3" w:rsidR="00855322" w:rsidRPr="003B11BD" w:rsidRDefault="00855322" w:rsidP="00F03230">
            <w:pPr>
              <w:pStyle w:val="Size10"/>
              <w:rPr>
                <w:noProof/>
              </w:rPr>
            </w:pPr>
            <w:r w:rsidRPr="003B11BD">
              <w:rPr>
                <w:noProof/>
              </w:rPr>
              <w:t>Ministry/</w:t>
            </w:r>
            <w:r w:rsidRPr="003B11BD">
              <w:rPr>
                <w:noProof/>
              </w:rPr>
              <w:br/>
            </w:r>
            <w:r w:rsidR="0097589D" w:rsidRPr="003B11BD">
              <w:rPr>
                <w:noProof/>
              </w:rPr>
              <w:t>Government</w:t>
            </w:r>
          </w:p>
        </w:tc>
        <w:tc>
          <w:tcPr>
            <w:tcW w:w="605" w:type="pct"/>
          </w:tcPr>
          <w:p w14:paraId="71658E18" w14:textId="52B2C9F6" w:rsidR="00855322" w:rsidRPr="003B11BD" w:rsidRDefault="00855322" w:rsidP="00F03230">
            <w:pPr>
              <w:pStyle w:val="Size10"/>
              <w:rPr>
                <w:noProof/>
              </w:rPr>
            </w:pPr>
            <w:r w:rsidRPr="003B11BD">
              <w:rPr>
                <w:noProof/>
              </w:rPr>
              <w:t>Patent Office/</w:t>
            </w:r>
            <w:r w:rsidR="000B44D7" w:rsidRPr="003B11BD">
              <w:rPr>
                <w:noProof/>
              </w:rPr>
              <w:t xml:space="preserve"> </w:t>
            </w:r>
            <w:r w:rsidRPr="003B11BD">
              <w:rPr>
                <w:noProof/>
              </w:rPr>
              <w:t>IPO</w:t>
            </w:r>
          </w:p>
        </w:tc>
        <w:tc>
          <w:tcPr>
            <w:tcW w:w="605" w:type="pct"/>
          </w:tcPr>
          <w:p w14:paraId="60091598" w14:textId="77777777" w:rsidR="00855322" w:rsidRPr="003B11BD" w:rsidRDefault="00855322" w:rsidP="00F03230">
            <w:pPr>
              <w:pStyle w:val="Size10"/>
              <w:rPr>
                <w:noProof/>
              </w:rPr>
            </w:pPr>
            <w:r w:rsidRPr="003B11BD">
              <w:rPr>
                <w:noProof/>
              </w:rPr>
              <w:t>Court</w:t>
            </w:r>
          </w:p>
        </w:tc>
        <w:tc>
          <w:tcPr>
            <w:tcW w:w="605" w:type="pct"/>
          </w:tcPr>
          <w:p w14:paraId="578E5131" w14:textId="77777777" w:rsidR="00855322" w:rsidRPr="003B11BD" w:rsidRDefault="00855322" w:rsidP="00F03230">
            <w:pPr>
              <w:pStyle w:val="Size10"/>
              <w:rPr>
                <w:noProof/>
              </w:rPr>
            </w:pPr>
            <w:r w:rsidRPr="003B11BD">
              <w:rPr>
                <w:noProof/>
              </w:rPr>
              <w:t>Agency</w:t>
            </w:r>
          </w:p>
        </w:tc>
        <w:tc>
          <w:tcPr>
            <w:tcW w:w="605" w:type="pct"/>
          </w:tcPr>
          <w:p w14:paraId="09CDB100" w14:textId="77777777" w:rsidR="00855322" w:rsidRPr="003B11BD" w:rsidRDefault="00855322" w:rsidP="00F03230">
            <w:pPr>
              <w:pStyle w:val="Size10"/>
              <w:rPr>
                <w:noProof/>
              </w:rPr>
            </w:pPr>
            <w:r w:rsidRPr="003B11BD">
              <w:rPr>
                <w:noProof/>
              </w:rPr>
              <w:t>Competition Authority</w:t>
            </w:r>
          </w:p>
        </w:tc>
        <w:tc>
          <w:tcPr>
            <w:tcW w:w="605" w:type="pct"/>
          </w:tcPr>
          <w:p w14:paraId="330C0B91" w14:textId="77777777" w:rsidR="00855322" w:rsidRPr="003B11BD" w:rsidRDefault="00855322" w:rsidP="00F03230">
            <w:pPr>
              <w:pStyle w:val="Size10"/>
              <w:rPr>
                <w:noProof/>
              </w:rPr>
            </w:pPr>
            <w:r w:rsidRPr="003B11BD">
              <w:rPr>
                <w:noProof/>
              </w:rPr>
              <w:t>Other</w:t>
            </w:r>
          </w:p>
        </w:tc>
        <w:tc>
          <w:tcPr>
            <w:tcW w:w="605" w:type="pct"/>
          </w:tcPr>
          <w:p w14:paraId="702486D9" w14:textId="0269046A" w:rsidR="00855322" w:rsidRPr="003B11BD" w:rsidRDefault="000B44D7" w:rsidP="00F03230">
            <w:pPr>
              <w:pStyle w:val="Size10"/>
              <w:rPr>
                <w:noProof/>
              </w:rPr>
            </w:pPr>
            <w:r w:rsidRPr="003B11BD">
              <w:rPr>
                <w:noProof/>
              </w:rPr>
              <w:t># of Auth. c</w:t>
            </w:r>
            <w:r w:rsidR="00855322" w:rsidRPr="003B11BD">
              <w:rPr>
                <w:noProof/>
              </w:rPr>
              <w:t xml:space="preserve">ompetent to </w:t>
            </w:r>
            <w:r w:rsidRPr="003B11BD">
              <w:rPr>
                <w:noProof/>
              </w:rPr>
              <w:t>g</w:t>
            </w:r>
            <w:r w:rsidR="00855322" w:rsidRPr="003B11BD">
              <w:rPr>
                <w:noProof/>
              </w:rPr>
              <w:t>rant CL</w:t>
            </w:r>
          </w:p>
        </w:tc>
      </w:tr>
      <w:tr w:rsidR="0097589D" w:rsidRPr="003B11BD" w14:paraId="3D841BAF" w14:textId="77777777" w:rsidTr="34EF0D43">
        <w:tc>
          <w:tcPr>
            <w:tcW w:w="766" w:type="pct"/>
          </w:tcPr>
          <w:p w14:paraId="3A74EC11" w14:textId="77777777" w:rsidR="00855322" w:rsidRPr="003B11BD" w:rsidRDefault="00855322" w:rsidP="00F03230">
            <w:pPr>
              <w:pStyle w:val="Size10"/>
              <w:rPr>
                <w:noProof/>
              </w:rPr>
            </w:pPr>
            <w:r w:rsidRPr="003B11BD">
              <w:rPr>
                <w:noProof/>
              </w:rPr>
              <w:t>Austria</w:t>
            </w:r>
          </w:p>
        </w:tc>
        <w:tc>
          <w:tcPr>
            <w:tcW w:w="605" w:type="pct"/>
          </w:tcPr>
          <w:p w14:paraId="32912AC8" w14:textId="77777777" w:rsidR="00855322" w:rsidRPr="003B11BD" w:rsidRDefault="00855322" w:rsidP="00F03230">
            <w:pPr>
              <w:pStyle w:val="Size10"/>
              <w:rPr>
                <w:noProof/>
              </w:rPr>
            </w:pPr>
          </w:p>
        </w:tc>
        <w:tc>
          <w:tcPr>
            <w:tcW w:w="605" w:type="pct"/>
          </w:tcPr>
          <w:p w14:paraId="062315FF" w14:textId="77777777" w:rsidR="00855322" w:rsidRPr="003B11BD" w:rsidRDefault="00855322" w:rsidP="00F03230">
            <w:pPr>
              <w:pStyle w:val="Size10"/>
              <w:rPr>
                <w:noProof/>
              </w:rPr>
            </w:pPr>
            <w:r w:rsidRPr="003B11BD">
              <w:rPr>
                <w:noProof/>
              </w:rPr>
              <w:t>X</w:t>
            </w:r>
          </w:p>
        </w:tc>
        <w:tc>
          <w:tcPr>
            <w:tcW w:w="605" w:type="pct"/>
          </w:tcPr>
          <w:p w14:paraId="0B0F9B3A" w14:textId="77777777" w:rsidR="00855322" w:rsidRPr="003B11BD" w:rsidRDefault="00855322" w:rsidP="00F03230">
            <w:pPr>
              <w:pStyle w:val="Size10"/>
              <w:rPr>
                <w:noProof/>
              </w:rPr>
            </w:pPr>
          </w:p>
        </w:tc>
        <w:tc>
          <w:tcPr>
            <w:tcW w:w="605" w:type="pct"/>
          </w:tcPr>
          <w:p w14:paraId="70C2AD66" w14:textId="77777777" w:rsidR="00855322" w:rsidRPr="003B11BD" w:rsidRDefault="00855322" w:rsidP="00F03230">
            <w:pPr>
              <w:pStyle w:val="Size10"/>
              <w:rPr>
                <w:noProof/>
              </w:rPr>
            </w:pPr>
          </w:p>
        </w:tc>
        <w:tc>
          <w:tcPr>
            <w:tcW w:w="605" w:type="pct"/>
          </w:tcPr>
          <w:p w14:paraId="77831E22" w14:textId="77777777" w:rsidR="00855322" w:rsidRPr="003B11BD" w:rsidRDefault="00855322" w:rsidP="00F03230">
            <w:pPr>
              <w:pStyle w:val="Size10"/>
              <w:rPr>
                <w:noProof/>
              </w:rPr>
            </w:pPr>
            <w:r w:rsidRPr="003B11BD">
              <w:rPr>
                <w:noProof/>
              </w:rPr>
              <w:t>X</w:t>
            </w:r>
          </w:p>
        </w:tc>
        <w:tc>
          <w:tcPr>
            <w:tcW w:w="605" w:type="pct"/>
          </w:tcPr>
          <w:p w14:paraId="7C27F6C2" w14:textId="77777777" w:rsidR="00855322" w:rsidRPr="003B11BD" w:rsidRDefault="00855322" w:rsidP="00F03230">
            <w:pPr>
              <w:pStyle w:val="Size10"/>
              <w:rPr>
                <w:noProof/>
              </w:rPr>
            </w:pPr>
          </w:p>
        </w:tc>
        <w:tc>
          <w:tcPr>
            <w:tcW w:w="605" w:type="pct"/>
          </w:tcPr>
          <w:p w14:paraId="24326CC9" w14:textId="77777777" w:rsidR="00855322" w:rsidRPr="003B11BD" w:rsidRDefault="00855322" w:rsidP="00F03230">
            <w:pPr>
              <w:pStyle w:val="Size10"/>
              <w:rPr>
                <w:noProof/>
              </w:rPr>
            </w:pPr>
            <w:r w:rsidRPr="003B11BD">
              <w:rPr>
                <w:noProof/>
              </w:rPr>
              <w:t>2</w:t>
            </w:r>
          </w:p>
        </w:tc>
      </w:tr>
      <w:tr w:rsidR="0097589D" w:rsidRPr="003B11BD" w14:paraId="2C3D72A5" w14:textId="77777777" w:rsidTr="34EF0D43">
        <w:trPr>
          <w:trHeight w:val="180"/>
        </w:trPr>
        <w:tc>
          <w:tcPr>
            <w:tcW w:w="766" w:type="pct"/>
          </w:tcPr>
          <w:p w14:paraId="1026D90D" w14:textId="77777777" w:rsidR="00855322" w:rsidRPr="003B11BD" w:rsidRDefault="00855322" w:rsidP="00F03230">
            <w:pPr>
              <w:pStyle w:val="Size10"/>
              <w:rPr>
                <w:noProof/>
              </w:rPr>
            </w:pPr>
            <w:r w:rsidRPr="003B11BD">
              <w:rPr>
                <w:noProof/>
              </w:rPr>
              <w:t>Belgium*</w:t>
            </w:r>
          </w:p>
        </w:tc>
        <w:tc>
          <w:tcPr>
            <w:tcW w:w="605" w:type="pct"/>
          </w:tcPr>
          <w:p w14:paraId="3D617E59" w14:textId="77777777" w:rsidR="00855322" w:rsidRPr="003B11BD" w:rsidRDefault="00855322" w:rsidP="00F03230">
            <w:pPr>
              <w:pStyle w:val="Size10"/>
              <w:rPr>
                <w:noProof/>
              </w:rPr>
            </w:pPr>
            <w:r w:rsidRPr="003B11BD">
              <w:rPr>
                <w:noProof/>
              </w:rPr>
              <w:t>X</w:t>
            </w:r>
          </w:p>
        </w:tc>
        <w:tc>
          <w:tcPr>
            <w:tcW w:w="605" w:type="pct"/>
          </w:tcPr>
          <w:p w14:paraId="6038DFC4" w14:textId="77777777" w:rsidR="00855322" w:rsidRPr="003B11BD" w:rsidRDefault="00855322" w:rsidP="00F03230">
            <w:pPr>
              <w:pStyle w:val="Size10"/>
              <w:rPr>
                <w:noProof/>
              </w:rPr>
            </w:pPr>
          </w:p>
        </w:tc>
        <w:tc>
          <w:tcPr>
            <w:tcW w:w="605" w:type="pct"/>
          </w:tcPr>
          <w:p w14:paraId="00ED4E54" w14:textId="77777777" w:rsidR="00855322" w:rsidRPr="003B11BD" w:rsidRDefault="00855322" w:rsidP="00F03230">
            <w:pPr>
              <w:pStyle w:val="Size10"/>
              <w:rPr>
                <w:noProof/>
              </w:rPr>
            </w:pPr>
          </w:p>
        </w:tc>
        <w:tc>
          <w:tcPr>
            <w:tcW w:w="605" w:type="pct"/>
          </w:tcPr>
          <w:p w14:paraId="2AE2A41D" w14:textId="77777777" w:rsidR="00855322" w:rsidRPr="003B11BD" w:rsidRDefault="00855322" w:rsidP="00F03230">
            <w:pPr>
              <w:pStyle w:val="Size10"/>
              <w:rPr>
                <w:noProof/>
              </w:rPr>
            </w:pPr>
          </w:p>
        </w:tc>
        <w:tc>
          <w:tcPr>
            <w:tcW w:w="605" w:type="pct"/>
          </w:tcPr>
          <w:p w14:paraId="53BEBDD5" w14:textId="77777777" w:rsidR="00855322" w:rsidRPr="003B11BD" w:rsidRDefault="00855322" w:rsidP="00F03230">
            <w:pPr>
              <w:pStyle w:val="Size10"/>
              <w:rPr>
                <w:noProof/>
              </w:rPr>
            </w:pPr>
          </w:p>
        </w:tc>
        <w:tc>
          <w:tcPr>
            <w:tcW w:w="605" w:type="pct"/>
          </w:tcPr>
          <w:p w14:paraId="57857CCA" w14:textId="77777777" w:rsidR="00855322" w:rsidRPr="003B11BD" w:rsidRDefault="055DC17C" w:rsidP="00F03230">
            <w:pPr>
              <w:pStyle w:val="Size10"/>
              <w:rPr>
                <w:noProof/>
              </w:rPr>
            </w:pPr>
            <w:r w:rsidRPr="003B11BD">
              <w:rPr>
                <w:noProof/>
              </w:rPr>
              <w:t>X</w:t>
            </w:r>
            <w:r w:rsidR="00855322" w:rsidRPr="003B11BD">
              <w:rPr>
                <w:noProof/>
                <w:vertAlign w:val="superscript"/>
              </w:rPr>
              <w:footnoteReference w:id="197"/>
            </w:r>
          </w:p>
        </w:tc>
        <w:tc>
          <w:tcPr>
            <w:tcW w:w="605" w:type="pct"/>
          </w:tcPr>
          <w:p w14:paraId="371142D3" w14:textId="77777777" w:rsidR="00855322" w:rsidRPr="003B11BD" w:rsidRDefault="00855322" w:rsidP="00F03230">
            <w:pPr>
              <w:pStyle w:val="Size10"/>
              <w:rPr>
                <w:noProof/>
              </w:rPr>
            </w:pPr>
            <w:r w:rsidRPr="003B11BD">
              <w:rPr>
                <w:noProof/>
              </w:rPr>
              <w:t>2</w:t>
            </w:r>
          </w:p>
        </w:tc>
      </w:tr>
      <w:tr w:rsidR="0097589D" w:rsidRPr="003B11BD" w14:paraId="5C579452" w14:textId="77777777" w:rsidTr="34EF0D43">
        <w:tc>
          <w:tcPr>
            <w:tcW w:w="766" w:type="pct"/>
          </w:tcPr>
          <w:p w14:paraId="4C63DD30" w14:textId="77777777" w:rsidR="00855322" w:rsidRPr="003B11BD" w:rsidRDefault="00855322" w:rsidP="00F03230">
            <w:pPr>
              <w:pStyle w:val="Size10"/>
              <w:rPr>
                <w:noProof/>
              </w:rPr>
            </w:pPr>
            <w:r w:rsidRPr="003B11BD">
              <w:rPr>
                <w:noProof/>
              </w:rPr>
              <w:t>Bulgaria</w:t>
            </w:r>
          </w:p>
        </w:tc>
        <w:tc>
          <w:tcPr>
            <w:tcW w:w="605" w:type="pct"/>
          </w:tcPr>
          <w:p w14:paraId="2E294B96" w14:textId="77777777" w:rsidR="00855322" w:rsidRPr="003B11BD" w:rsidRDefault="00855322" w:rsidP="00F03230">
            <w:pPr>
              <w:pStyle w:val="Size10"/>
              <w:rPr>
                <w:noProof/>
              </w:rPr>
            </w:pPr>
            <w:r w:rsidRPr="003B11BD">
              <w:rPr>
                <w:noProof/>
              </w:rPr>
              <w:t>X</w:t>
            </w:r>
          </w:p>
        </w:tc>
        <w:tc>
          <w:tcPr>
            <w:tcW w:w="605" w:type="pct"/>
          </w:tcPr>
          <w:p w14:paraId="01458879" w14:textId="77777777" w:rsidR="00855322" w:rsidRPr="003B11BD" w:rsidRDefault="00855322" w:rsidP="00F03230">
            <w:pPr>
              <w:pStyle w:val="Size10"/>
              <w:rPr>
                <w:noProof/>
              </w:rPr>
            </w:pPr>
            <w:r w:rsidRPr="003B11BD">
              <w:rPr>
                <w:noProof/>
              </w:rPr>
              <w:t>X</w:t>
            </w:r>
          </w:p>
        </w:tc>
        <w:tc>
          <w:tcPr>
            <w:tcW w:w="605" w:type="pct"/>
          </w:tcPr>
          <w:p w14:paraId="6391284D" w14:textId="77777777" w:rsidR="00855322" w:rsidRPr="003B11BD" w:rsidRDefault="00855322" w:rsidP="00F03230">
            <w:pPr>
              <w:pStyle w:val="Size10"/>
              <w:rPr>
                <w:noProof/>
              </w:rPr>
            </w:pPr>
          </w:p>
        </w:tc>
        <w:tc>
          <w:tcPr>
            <w:tcW w:w="605" w:type="pct"/>
          </w:tcPr>
          <w:p w14:paraId="52C40177" w14:textId="77777777" w:rsidR="00855322" w:rsidRPr="003B11BD" w:rsidRDefault="00855322" w:rsidP="00F03230">
            <w:pPr>
              <w:pStyle w:val="Size10"/>
              <w:rPr>
                <w:noProof/>
              </w:rPr>
            </w:pPr>
          </w:p>
        </w:tc>
        <w:tc>
          <w:tcPr>
            <w:tcW w:w="605" w:type="pct"/>
          </w:tcPr>
          <w:p w14:paraId="44792253" w14:textId="77777777" w:rsidR="00855322" w:rsidRPr="003B11BD" w:rsidRDefault="00855322" w:rsidP="00F03230">
            <w:pPr>
              <w:pStyle w:val="Size10"/>
              <w:rPr>
                <w:noProof/>
              </w:rPr>
            </w:pPr>
          </w:p>
        </w:tc>
        <w:tc>
          <w:tcPr>
            <w:tcW w:w="605" w:type="pct"/>
          </w:tcPr>
          <w:p w14:paraId="762699CC" w14:textId="77777777" w:rsidR="00855322" w:rsidRPr="003B11BD" w:rsidRDefault="00855322" w:rsidP="00F03230">
            <w:pPr>
              <w:pStyle w:val="Size10"/>
              <w:rPr>
                <w:noProof/>
              </w:rPr>
            </w:pPr>
          </w:p>
        </w:tc>
        <w:tc>
          <w:tcPr>
            <w:tcW w:w="605" w:type="pct"/>
          </w:tcPr>
          <w:p w14:paraId="41E72A89" w14:textId="77777777" w:rsidR="00855322" w:rsidRPr="003B11BD" w:rsidRDefault="00855322" w:rsidP="00F03230">
            <w:pPr>
              <w:pStyle w:val="Size10"/>
              <w:rPr>
                <w:noProof/>
              </w:rPr>
            </w:pPr>
            <w:r w:rsidRPr="003B11BD">
              <w:rPr>
                <w:noProof/>
              </w:rPr>
              <w:t>2</w:t>
            </w:r>
          </w:p>
        </w:tc>
      </w:tr>
      <w:tr w:rsidR="0097589D" w:rsidRPr="003B11BD" w14:paraId="339AE6F1" w14:textId="77777777" w:rsidTr="34EF0D43">
        <w:tc>
          <w:tcPr>
            <w:tcW w:w="766" w:type="pct"/>
          </w:tcPr>
          <w:p w14:paraId="26E203BA" w14:textId="77777777" w:rsidR="00855322" w:rsidRPr="003B11BD" w:rsidRDefault="00855322" w:rsidP="00F03230">
            <w:pPr>
              <w:pStyle w:val="Size10"/>
              <w:rPr>
                <w:noProof/>
              </w:rPr>
            </w:pPr>
            <w:r w:rsidRPr="003B11BD">
              <w:rPr>
                <w:noProof/>
              </w:rPr>
              <w:t>Croatia</w:t>
            </w:r>
          </w:p>
        </w:tc>
        <w:tc>
          <w:tcPr>
            <w:tcW w:w="605" w:type="pct"/>
          </w:tcPr>
          <w:p w14:paraId="47B5CCAA" w14:textId="77777777" w:rsidR="00855322" w:rsidRPr="003B11BD" w:rsidRDefault="00855322" w:rsidP="00F03230">
            <w:pPr>
              <w:pStyle w:val="Size10"/>
              <w:rPr>
                <w:noProof/>
              </w:rPr>
            </w:pPr>
          </w:p>
        </w:tc>
        <w:tc>
          <w:tcPr>
            <w:tcW w:w="605" w:type="pct"/>
          </w:tcPr>
          <w:p w14:paraId="24796449" w14:textId="77777777" w:rsidR="00855322" w:rsidRPr="003B11BD" w:rsidRDefault="00855322" w:rsidP="00F03230">
            <w:pPr>
              <w:pStyle w:val="Size10"/>
              <w:rPr>
                <w:noProof/>
              </w:rPr>
            </w:pPr>
          </w:p>
        </w:tc>
        <w:tc>
          <w:tcPr>
            <w:tcW w:w="605" w:type="pct"/>
          </w:tcPr>
          <w:p w14:paraId="600905C8" w14:textId="77777777" w:rsidR="00855322" w:rsidRPr="003B11BD" w:rsidRDefault="00855322" w:rsidP="00F03230">
            <w:pPr>
              <w:pStyle w:val="Size10"/>
              <w:rPr>
                <w:noProof/>
              </w:rPr>
            </w:pPr>
            <w:r w:rsidRPr="003B11BD">
              <w:rPr>
                <w:noProof/>
              </w:rPr>
              <w:t>X</w:t>
            </w:r>
          </w:p>
        </w:tc>
        <w:tc>
          <w:tcPr>
            <w:tcW w:w="605" w:type="pct"/>
          </w:tcPr>
          <w:p w14:paraId="552FAB83" w14:textId="77777777" w:rsidR="00855322" w:rsidRPr="003B11BD" w:rsidRDefault="00855322" w:rsidP="00F03230">
            <w:pPr>
              <w:pStyle w:val="Size10"/>
              <w:rPr>
                <w:noProof/>
              </w:rPr>
            </w:pPr>
          </w:p>
        </w:tc>
        <w:tc>
          <w:tcPr>
            <w:tcW w:w="605" w:type="pct"/>
          </w:tcPr>
          <w:p w14:paraId="20D3A2F9" w14:textId="77777777" w:rsidR="00855322" w:rsidRPr="003B11BD" w:rsidRDefault="00855322" w:rsidP="00F03230">
            <w:pPr>
              <w:pStyle w:val="Size10"/>
              <w:rPr>
                <w:noProof/>
              </w:rPr>
            </w:pPr>
          </w:p>
        </w:tc>
        <w:tc>
          <w:tcPr>
            <w:tcW w:w="605" w:type="pct"/>
          </w:tcPr>
          <w:p w14:paraId="721FF0E3" w14:textId="77777777" w:rsidR="00855322" w:rsidRPr="003B11BD" w:rsidRDefault="00855322" w:rsidP="00F03230">
            <w:pPr>
              <w:pStyle w:val="Size10"/>
              <w:rPr>
                <w:noProof/>
              </w:rPr>
            </w:pPr>
          </w:p>
        </w:tc>
        <w:tc>
          <w:tcPr>
            <w:tcW w:w="605" w:type="pct"/>
          </w:tcPr>
          <w:p w14:paraId="4E692AC7" w14:textId="77777777" w:rsidR="00855322" w:rsidRPr="003B11BD" w:rsidRDefault="00855322" w:rsidP="00F03230">
            <w:pPr>
              <w:pStyle w:val="Size10"/>
              <w:rPr>
                <w:noProof/>
              </w:rPr>
            </w:pPr>
            <w:r w:rsidRPr="003B11BD">
              <w:rPr>
                <w:noProof/>
              </w:rPr>
              <w:t>1</w:t>
            </w:r>
          </w:p>
        </w:tc>
      </w:tr>
      <w:tr w:rsidR="0097589D" w:rsidRPr="003B11BD" w14:paraId="52B21DA3" w14:textId="77777777" w:rsidTr="34EF0D43">
        <w:tc>
          <w:tcPr>
            <w:tcW w:w="766" w:type="pct"/>
          </w:tcPr>
          <w:p w14:paraId="589A6C70" w14:textId="77777777" w:rsidR="00855322" w:rsidRPr="003B11BD" w:rsidRDefault="00855322" w:rsidP="00F03230">
            <w:pPr>
              <w:pStyle w:val="Size10"/>
              <w:rPr>
                <w:noProof/>
              </w:rPr>
            </w:pPr>
            <w:r w:rsidRPr="003B11BD">
              <w:rPr>
                <w:noProof/>
              </w:rPr>
              <w:t>Cyprus</w:t>
            </w:r>
          </w:p>
        </w:tc>
        <w:tc>
          <w:tcPr>
            <w:tcW w:w="605" w:type="pct"/>
          </w:tcPr>
          <w:p w14:paraId="373EEA11" w14:textId="77777777" w:rsidR="00855322" w:rsidRPr="003B11BD" w:rsidRDefault="00855322" w:rsidP="00F03230">
            <w:pPr>
              <w:pStyle w:val="Size10"/>
              <w:rPr>
                <w:noProof/>
              </w:rPr>
            </w:pPr>
            <w:r w:rsidRPr="003B11BD">
              <w:rPr>
                <w:noProof/>
              </w:rPr>
              <w:t>X</w:t>
            </w:r>
          </w:p>
        </w:tc>
        <w:tc>
          <w:tcPr>
            <w:tcW w:w="605" w:type="pct"/>
          </w:tcPr>
          <w:p w14:paraId="03A65ECD" w14:textId="77777777" w:rsidR="00855322" w:rsidRPr="003B11BD" w:rsidRDefault="00855322" w:rsidP="00F03230">
            <w:pPr>
              <w:pStyle w:val="Size10"/>
              <w:rPr>
                <w:noProof/>
              </w:rPr>
            </w:pPr>
            <w:r w:rsidRPr="003B11BD">
              <w:rPr>
                <w:noProof/>
              </w:rPr>
              <w:t>X</w:t>
            </w:r>
          </w:p>
        </w:tc>
        <w:tc>
          <w:tcPr>
            <w:tcW w:w="605" w:type="pct"/>
          </w:tcPr>
          <w:p w14:paraId="208FA309" w14:textId="77777777" w:rsidR="00855322" w:rsidRPr="003B11BD" w:rsidRDefault="00855322" w:rsidP="00F03230">
            <w:pPr>
              <w:pStyle w:val="Size10"/>
              <w:rPr>
                <w:noProof/>
              </w:rPr>
            </w:pPr>
          </w:p>
        </w:tc>
        <w:tc>
          <w:tcPr>
            <w:tcW w:w="605" w:type="pct"/>
          </w:tcPr>
          <w:p w14:paraId="416E4B77" w14:textId="77777777" w:rsidR="00855322" w:rsidRPr="003B11BD" w:rsidRDefault="00855322" w:rsidP="00F03230">
            <w:pPr>
              <w:pStyle w:val="Size10"/>
              <w:rPr>
                <w:noProof/>
              </w:rPr>
            </w:pPr>
          </w:p>
        </w:tc>
        <w:tc>
          <w:tcPr>
            <w:tcW w:w="605" w:type="pct"/>
          </w:tcPr>
          <w:p w14:paraId="3F51DABD" w14:textId="77777777" w:rsidR="00855322" w:rsidRPr="003B11BD" w:rsidRDefault="00855322" w:rsidP="00F03230">
            <w:pPr>
              <w:pStyle w:val="Size10"/>
              <w:rPr>
                <w:noProof/>
              </w:rPr>
            </w:pPr>
          </w:p>
        </w:tc>
        <w:tc>
          <w:tcPr>
            <w:tcW w:w="605" w:type="pct"/>
          </w:tcPr>
          <w:p w14:paraId="42415B94" w14:textId="77777777" w:rsidR="00855322" w:rsidRPr="003B11BD" w:rsidRDefault="00855322" w:rsidP="00F03230">
            <w:pPr>
              <w:pStyle w:val="Size10"/>
              <w:rPr>
                <w:noProof/>
              </w:rPr>
            </w:pPr>
          </w:p>
        </w:tc>
        <w:tc>
          <w:tcPr>
            <w:tcW w:w="605" w:type="pct"/>
          </w:tcPr>
          <w:p w14:paraId="60630B37" w14:textId="77777777" w:rsidR="00855322" w:rsidRPr="003B11BD" w:rsidRDefault="00855322" w:rsidP="00F03230">
            <w:pPr>
              <w:pStyle w:val="Size10"/>
              <w:rPr>
                <w:noProof/>
              </w:rPr>
            </w:pPr>
            <w:r w:rsidRPr="003B11BD">
              <w:rPr>
                <w:noProof/>
              </w:rPr>
              <w:t>2</w:t>
            </w:r>
          </w:p>
        </w:tc>
      </w:tr>
      <w:tr w:rsidR="0097589D" w:rsidRPr="003B11BD" w14:paraId="6647D87A" w14:textId="77777777" w:rsidTr="34EF0D43">
        <w:tc>
          <w:tcPr>
            <w:tcW w:w="766" w:type="pct"/>
          </w:tcPr>
          <w:p w14:paraId="1627DC32" w14:textId="77777777" w:rsidR="00855322" w:rsidRPr="003B11BD" w:rsidRDefault="00855322" w:rsidP="00F03230">
            <w:pPr>
              <w:pStyle w:val="Size10"/>
              <w:rPr>
                <w:noProof/>
              </w:rPr>
            </w:pPr>
            <w:r w:rsidRPr="003B11BD">
              <w:rPr>
                <w:noProof/>
              </w:rPr>
              <w:t>Denmark</w:t>
            </w:r>
          </w:p>
        </w:tc>
        <w:tc>
          <w:tcPr>
            <w:tcW w:w="605" w:type="pct"/>
          </w:tcPr>
          <w:p w14:paraId="123725CF" w14:textId="77777777" w:rsidR="00855322" w:rsidRPr="003B11BD" w:rsidRDefault="00855322" w:rsidP="00F03230">
            <w:pPr>
              <w:pStyle w:val="Size10"/>
              <w:rPr>
                <w:noProof/>
              </w:rPr>
            </w:pPr>
          </w:p>
        </w:tc>
        <w:tc>
          <w:tcPr>
            <w:tcW w:w="605" w:type="pct"/>
          </w:tcPr>
          <w:p w14:paraId="68B24027" w14:textId="77777777" w:rsidR="00855322" w:rsidRPr="003B11BD" w:rsidRDefault="00855322" w:rsidP="00F03230">
            <w:pPr>
              <w:pStyle w:val="Size10"/>
              <w:rPr>
                <w:noProof/>
              </w:rPr>
            </w:pPr>
          </w:p>
        </w:tc>
        <w:tc>
          <w:tcPr>
            <w:tcW w:w="605" w:type="pct"/>
          </w:tcPr>
          <w:p w14:paraId="1953FCB9" w14:textId="77777777" w:rsidR="00855322" w:rsidRPr="003B11BD" w:rsidRDefault="00855322" w:rsidP="00F03230">
            <w:pPr>
              <w:pStyle w:val="Size10"/>
              <w:rPr>
                <w:noProof/>
              </w:rPr>
            </w:pPr>
            <w:r w:rsidRPr="003B11BD">
              <w:rPr>
                <w:noProof/>
              </w:rPr>
              <w:t>X</w:t>
            </w:r>
          </w:p>
        </w:tc>
        <w:tc>
          <w:tcPr>
            <w:tcW w:w="605" w:type="pct"/>
          </w:tcPr>
          <w:p w14:paraId="461315E8" w14:textId="77777777" w:rsidR="00855322" w:rsidRPr="003B11BD" w:rsidRDefault="00855322" w:rsidP="00F03230">
            <w:pPr>
              <w:pStyle w:val="Size10"/>
              <w:rPr>
                <w:noProof/>
              </w:rPr>
            </w:pPr>
          </w:p>
        </w:tc>
        <w:tc>
          <w:tcPr>
            <w:tcW w:w="605" w:type="pct"/>
          </w:tcPr>
          <w:p w14:paraId="653C30CF" w14:textId="77777777" w:rsidR="00855322" w:rsidRPr="003B11BD" w:rsidRDefault="00855322" w:rsidP="00F03230">
            <w:pPr>
              <w:pStyle w:val="Size10"/>
              <w:rPr>
                <w:noProof/>
              </w:rPr>
            </w:pPr>
          </w:p>
        </w:tc>
        <w:tc>
          <w:tcPr>
            <w:tcW w:w="605" w:type="pct"/>
          </w:tcPr>
          <w:p w14:paraId="512952A2" w14:textId="77777777" w:rsidR="00855322" w:rsidRPr="003B11BD" w:rsidRDefault="00855322" w:rsidP="00F03230">
            <w:pPr>
              <w:pStyle w:val="Size10"/>
              <w:rPr>
                <w:noProof/>
              </w:rPr>
            </w:pPr>
          </w:p>
        </w:tc>
        <w:tc>
          <w:tcPr>
            <w:tcW w:w="605" w:type="pct"/>
          </w:tcPr>
          <w:p w14:paraId="3953FE19" w14:textId="77777777" w:rsidR="00855322" w:rsidRPr="003B11BD" w:rsidRDefault="00855322" w:rsidP="00F03230">
            <w:pPr>
              <w:pStyle w:val="Size10"/>
              <w:rPr>
                <w:noProof/>
              </w:rPr>
            </w:pPr>
            <w:r w:rsidRPr="003B11BD">
              <w:rPr>
                <w:noProof/>
              </w:rPr>
              <w:t>1</w:t>
            </w:r>
          </w:p>
        </w:tc>
      </w:tr>
      <w:tr w:rsidR="0097589D" w:rsidRPr="003B11BD" w14:paraId="0BF45D55" w14:textId="77777777" w:rsidTr="34EF0D43">
        <w:tc>
          <w:tcPr>
            <w:tcW w:w="766" w:type="pct"/>
          </w:tcPr>
          <w:p w14:paraId="6D48A087" w14:textId="77777777" w:rsidR="00855322" w:rsidRPr="003B11BD" w:rsidRDefault="00855322" w:rsidP="00F03230">
            <w:pPr>
              <w:pStyle w:val="Size10"/>
              <w:rPr>
                <w:noProof/>
              </w:rPr>
            </w:pPr>
            <w:r w:rsidRPr="003B11BD">
              <w:rPr>
                <w:noProof/>
              </w:rPr>
              <w:t>Estonia</w:t>
            </w:r>
          </w:p>
        </w:tc>
        <w:tc>
          <w:tcPr>
            <w:tcW w:w="605" w:type="pct"/>
          </w:tcPr>
          <w:p w14:paraId="16433D94" w14:textId="77777777" w:rsidR="00855322" w:rsidRPr="003B11BD" w:rsidRDefault="00855322" w:rsidP="00F03230">
            <w:pPr>
              <w:pStyle w:val="Size10"/>
              <w:rPr>
                <w:noProof/>
              </w:rPr>
            </w:pPr>
            <w:r w:rsidRPr="003B11BD">
              <w:rPr>
                <w:noProof/>
              </w:rPr>
              <w:t>X</w:t>
            </w:r>
          </w:p>
        </w:tc>
        <w:tc>
          <w:tcPr>
            <w:tcW w:w="605" w:type="pct"/>
          </w:tcPr>
          <w:p w14:paraId="2C9E04D9" w14:textId="77777777" w:rsidR="00855322" w:rsidRPr="003B11BD" w:rsidRDefault="00855322" w:rsidP="00F03230">
            <w:pPr>
              <w:pStyle w:val="Size10"/>
              <w:rPr>
                <w:noProof/>
              </w:rPr>
            </w:pPr>
          </w:p>
        </w:tc>
        <w:tc>
          <w:tcPr>
            <w:tcW w:w="605" w:type="pct"/>
          </w:tcPr>
          <w:p w14:paraId="452CC782" w14:textId="77777777" w:rsidR="00855322" w:rsidRPr="003B11BD" w:rsidRDefault="00855322" w:rsidP="00F03230">
            <w:pPr>
              <w:pStyle w:val="Size10"/>
              <w:rPr>
                <w:noProof/>
              </w:rPr>
            </w:pPr>
            <w:r w:rsidRPr="003B11BD">
              <w:rPr>
                <w:noProof/>
              </w:rPr>
              <w:t>X</w:t>
            </w:r>
          </w:p>
        </w:tc>
        <w:tc>
          <w:tcPr>
            <w:tcW w:w="605" w:type="pct"/>
          </w:tcPr>
          <w:p w14:paraId="61EE956D" w14:textId="77777777" w:rsidR="00855322" w:rsidRPr="003B11BD" w:rsidRDefault="00855322" w:rsidP="00F03230">
            <w:pPr>
              <w:pStyle w:val="Size10"/>
              <w:rPr>
                <w:noProof/>
              </w:rPr>
            </w:pPr>
          </w:p>
        </w:tc>
        <w:tc>
          <w:tcPr>
            <w:tcW w:w="605" w:type="pct"/>
          </w:tcPr>
          <w:p w14:paraId="18E75037" w14:textId="77777777" w:rsidR="00855322" w:rsidRPr="003B11BD" w:rsidRDefault="00855322" w:rsidP="00F03230">
            <w:pPr>
              <w:pStyle w:val="Size10"/>
              <w:rPr>
                <w:noProof/>
              </w:rPr>
            </w:pPr>
          </w:p>
        </w:tc>
        <w:tc>
          <w:tcPr>
            <w:tcW w:w="605" w:type="pct"/>
          </w:tcPr>
          <w:p w14:paraId="7CFD0ABE" w14:textId="77777777" w:rsidR="00855322" w:rsidRPr="003B11BD" w:rsidRDefault="00855322" w:rsidP="00F03230">
            <w:pPr>
              <w:pStyle w:val="Size10"/>
              <w:rPr>
                <w:noProof/>
              </w:rPr>
            </w:pPr>
          </w:p>
        </w:tc>
        <w:tc>
          <w:tcPr>
            <w:tcW w:w="605" w:type="pct"/>
          </w:tcPr>
          <w:p w14:paraId="12922724" w14:textId="77777777" w:rsidR="00855322" w:rsidRPr="003B11BD" w:rsidRDefault="00855322" w:rsidP="00F03230">
            <w:pPr>
              <w:pStyle w:val="Size10"/>
              <w:rPr>
                <w:noProof/>
              </w:rPr>
            </w:pPr>
            <w:r w:rsidRPr="003B11BD">
              <w:rPr>
                <w:noProof/>
              </w:rPr>
              <w:t>2</w:t>
            </w:r>
          </w:p>
        </w:tc>
      </w:tr>
      <w:tr w:rsidR="0097589D" w:rsidRPr="003B11BD" w14:paraId="6B74648D" w14:textId="77777777" w:rsidTr="34EF0D43">
        <w:tc>
          <w:tcPr>
            <w:tcW w:w="766" w:type="pct"/>
          </w:tcPr>
          <w:p w14:paraId="38AD43C5" w14:textId="77777777" w:rsidR="00855322" w:rsidRPr="003B11BD" w:rsidRDefault="00855322" w:rsidP="00F03230">
            <w:pPr>
              <w:pStyle w:val="Size10"/>
              <w:rPr>
                <w:noProof/>
              </w:rPr>
            </w:pPr>
            <w:r w:rsidRPr="003B11BD">
              <w:rPr>
                <w:noProof/>
              </w:rPr>
              <w:t>Finland</w:t>
            </w:r>
          </w:p>
        </w:tc>
        <w:tc>
          <w:tcPr>
            <w:tcW w:w="605" w:type="pct"/>
          </w:tcPr>
          <w:p w14:paraId="6A0DB7C0" w14:textId="77777777" w:rsidR="00855322" w:rsidRPr="003B11BD" w:rsidRDefault="00855322" w:rsidP="00F03230">
            <w:pPr>
              <w:pStyle w:val="Size10"/>
              <w:rPr>
                <w:noProof/>
              </w:rPr>
            </w:pPr>
          </w:p>
        </w:tc>
        <w:tc>
          <w:tcPr>
            <w:tcW w:w="605" w:type="pct"/>
          </w:tcPr>
          <w:p w14:paraId="2B4F4320" w14:textId="77777777" w:rsidR="00855322" w:rsidRPr="003B11BD" w:rsidRDefault="00855322" w:rsidP="00F03230">
            <w:pPr>
              <w:pStyle w:val="Size10"/>
              <w:rPr>
                <w:noProof/>
              </w:rPr>
            </w:pPr>
          </w:p>
        </w:tc>
        <w:tc>
          <w:tcPr>
            <w:tcW w:w="605" w:type="pct"/>
          </w:tcPr>
          <w:p w14:paraId="1ACEFE91" w14:textId="77777777" w:rsidR="00855322" w:rsidRPr="003B11BD" w:rsidRDefault="00855322" w:rsidP="00F03230">
            <w:pPr>
              <w:pStyle w:val="Size10"/>
              <w:rPr>
                <w:noProof/>
              </w:rPr>
            </w:pPr>
            <w:r w:rsidRPr="003B11BD">
              <w:rPr>
                <w:noProof/>
              </w:rPr>
              <w:t>X</w:t>
            </w:r>
          </w:p>
        </w:tc>
        <w:tc>
          <w:tcPr>
            <w:tcW w:w="605" w:type="pct"/>
          </w:tcPr>
          <w:p w14:paraId="1208AF49" w14:textId="77777777" w:rsidR="00855322" w:rsidRPr="003B11BD" w:rsidRDefault="00855322" w:rsidP="00F03230">
            <w:pPr>
              <w:pStyle w:val="Size10"/>
              <w:rPr>
                <w:noProof/>
              </w:rPr>
            </w:pPr>
          </w:p>
        </w:tc>
        <w:tc>
          <w:tcPr>
            <w:tcW w:w="605" w:type="pct"/>
          </w:tcPr>
          <w:p w14:paraId="7239363E" w14:textId="77777777" w:rsidR="00855322" w:rsidRPr="003B11BD" w:rsidRDefault="00855322" w:rsidP="00F03230">
            <w:pPr>
              <w:pStyle w:val="Size10"/>
              <w:rPr>
                <w:noProof/>
              </w:rPr>
            </w:pPr>
          </w:p>
        </w:tc>
        <w:tc>
          <w:tcPr>
            <w:tcW w:w="605" w:type="pct"/>
          </w:tcPr>
          <w:p w14:paraId="17E2E79B" w14:textId="77777777" w:rsidR="00855322" w:rsidRPr="003B11BD" w:rsidRDefault="00855322" w:rsidP="00F03230">
            <w:pPr>
              <w:pStyle w:val="Size10"/>
              <w:rPr>
                <w:noProof/>
              </w:rPr>
            </w:pPr>
          </w:p>
        </w:tc>
        <w:tc>
          <w:tcPr>
            <w:tcW w:w="605" w:type="pct"/>
          </w:tcPr>
          <w:p w14:paraId="76DBDB2E" w14:textId="77777777" w:rsidR="00855322" w:rsidRPr="003B11BD" w:rsidRDefault="00855322" w:rsidP="00F03230">
            <w:pPr>
              <w:pStyle w:val="Size10"/>
              <w:rPr>
                <w:noProof/>
              </w:rPr>
            </w:pPr>
            <w:r w:rsidRPr="003B11BD">
              <w:rPr>
                <w:noProof/>
              </w:rPr>
              <w:t>1</w:t>
            </w:r>
          </w:p>
        </w:tc>
      </w:tr>
      <w:tr w:rsidR="0097589D" w:rsidRPr="003B11BD" w14:paraId="579D9C0E" w14:textId="77777777" w:rsidTr="34EF0D43">
        <w:tc>
          <w:tcPr>
            <w:tcW w:w="766" w:type="pct"/>
          </w:tcPr>
          <w:p w14:paraId="6B426457" w14:textId="77777777" w:rsidR="00855322" w:rsidRPr="003B11BD" w:rsidRDefault="00855322" w:rsidP="00F03230">
            <w:pPr>
              <w:pStyle w:val="Size10"/>
              <w:rPr>
                <w:noProof/>
              </w:rPr>
            </w:pPr>
            <w:r w:rsidRPr="003B11BD">
              <w:rPr>
                <w:noProof/>
              </w:rPr>
              <w:t>France</w:t>
            </w:r>
          </w:p>
        </w:tc>
        <w:tc>
          <w:tcPr>
            <w:tcW w:w="605" w:type="pct"/>
          </w:tcPr>
          <w:p w14:paraId="6D1045D4" w14:textId="77777777" w:rsidR="00855322" w:rsidRPr="003B11BD" w:rsidRDefault="00855322" w:rsidP="00F03230">
            <w:pPr>
              <w:pStyle w:val="Size10"/>
              <w:rPr>
                <w:noProof/>
              </w:rPr>
            </w:pPr>
            <w:r w:rsidRPr="003B11BD">
              <w:rPr>
                <w:noProof/>
              </w:rPr>
              <w:t>X</w:t>
            </w:r>
          </w:p>
        </w:tc>
        <w:tc>
          <w:tcPr>
            <w:tcW w:w="605" w:type="pct"/>
          </w:tcPr>
          <w:p w14:paraId="2453C955" w14:textId="77777777" w:rsidR="00855322" w:rsidRPr="003B11BD" w:rsidRDefault="00855322" w:rsidP="00F03230">
            <w:pPr>
              <w:pStyle w:val="Size10"/>
              <w:rPr>
                <w:noProof/>
              </w:rPr>
            </w:pPr>
          </w:p>
        </w:tc>
        <w:tc>
          <w:tcPr>
            <w:tcW w:w="605" w:type="pct"/>
          </w:tcPr>
          <w:p w14:paraId="3D5F8A56" w14:textId="77777777" w:rsidR="00855322" w:rsidRPr="003B11BD" w:rsidRDefault="00855322" w:rsidP="00F03230">
            <w:pPr>
              <w:pStyle w:val="Size10"/>
              <w:rPr>
                <w:noProof/>
              </w:rPr>
            </w:pPr>
            <w:r w:rsidRPr="003B11BD">
              <w:rPr>
                <w:noProof/>
              </w:rPr>
              <w:t>X</w:t>
            </w:r>
          </w:p>
        </w:tc>
        <w:tc>
          <w:tcPr>
            <w:tcW w:w="605" w:type="pct"/>
          </w:tcPr>
          <w:p w14:paraId="154AD186" w14:textId="77777777" w:rsidR="00855322" w:rsidRPr="003B11BD" w:rsidRDefault="00855322" w:rsidP="00F03230">
            <w:pPr>
              <w:pStyle w:val="Size10"/>
              <w:rPr>
                <w:noProof/>
              </w:rPr>
            </w:pPr>
          </w:p>
        </w:tc>
        <w:tc>
          <w:tcPr>
            <w:tcW w:w="605" w:type="pct"/>
          </w:tcPr>
          <w:p w14:paraId="7254B1B5" w14:textId="77777777" w:rsidR="00855322" w:rsidRPr="003B11BD" w:rsidRDefault="00855322" w:rsidP="00F03230">
            <w:pPr>
              <w:pStyle w:val="Size10"/>
              <w:rPr>
                <w:noProof/>
              </w:rPr>
            </w:pPr>
          </w:p>
        </w:tc>
        <w:tc>
          <w:tcPr>
            <w:tcW w:w="605" w:type="pct"/>
          </w:tcPr>
          <w:p w14:paraId="36325727" w14:textId="77777777" w:rsidR="00855322" w:rsidRPr="003B11BD" w:rsidRDefault="00855322" w:rsidP="00F03230">
            <w:pPr>
              <w:pStyle w:val="Size10"/>
              <w:rPr>
                <w:noProof/>
              </w:rPr>
            </w:pPr>
          </w:p>
        </w:tc>
        <w:tc>
          <w:tcPr>
            <w:tcW w:w="605" w:type="pct"/>
          </w:tcPr>
          <w:p w14:paraId="44464A4F" w14:textId="77777777" w:rsidR="00855322" w:rsidRPr="003B11BD" w:rsidRDefault="00855322" w:rsidP="00F03230">
            <w:pPr>
              <w:pStyle w:val="Size10"/>
              <w:rPr>
                <w:noProof/>
              </w:rPr>
            </w:pPr>
            <w:r w:rsidRPr="003B11BD">
              <w:rPr>
                <w:noProof/>
              </w:rPr>
              <w:t>2</w:t>
            </w:r>
          </w:p>
        </w:tc>
      </w:tr>
      <w:tr w:rsidR="0097589D" w:rsidRPr="003B11BD" w14:paraId="3C894270" w14:textId="77777777" w:rsidTr="34EF0D43">
        <w:tc>
          <w:tcPr>
            <w:tcW w:w="766" w:type="pct"/>
          </w:tcPr>
          <w:p w14:paraId="54789961" w14:textId="77777777" w:rsidR="00855322" w:rsidRPr="003B11BD" w:rsidRDefault="00855322" w:rsidP="00F03230">
            <w:pPr>
              <w:pStyle w:val="Size10"/>
              <w:rPr>
                <w:noProof/>
              </w:rPr>
            </w:pPr>
            <w:r w:rsidRPr="003B11BD">
              <w:rPr>
                <w:noProof/>
              </w:rPr>
              <w:t>Germany</w:t>
            </w:r>
          </w:p>
        </w:tc>
        <w:tc>
          <w:tcPr>
            <w:tcW w:w="605" w:type="pct"/>
          </w:tcPr>
          <w:p w14:paraId="31A10557" w14:textId="77777777" w:rsidR="00855322" w:rsidRPr="003B11BD" w:rsidRDefault="00855322" w:rsidP="00F03230">
            <w:pPr>
              <w:pStyle w:val="Size10"/>
              <w:rPr>
                <w:noProof/>
              </w:rPr>
            </w:pPr>
            <w:r w:rsidRPr="003B11BD">
              <w:rPr>
                <w:noProof/>
              </w:rPr>
              <w:t>X</w:t>
            </w:r>
          </w:p>
        </w:tc>
        <w:tc>
          <w:tcPr>
            <w:tcW w:w="605" w:type="pct"/>
          </w:tcPr>
          <w:p w14:paraId="0956B20D" w14:textId="77777777" w:rsidR="00855322" w:rsidRPr="003B11BD" w:rsidRDefault="00855322" w:rsidP="00F03230">
            <w:pPr>
              <w:pStyle w:val="Size10"/>
              <w:rPr>
                <w:noProof/>
              </w:rPr>
            </w:pPr>
          </w:p>
        </w:tc>
        <w:tc>
          <w:tcPr>
            <w:tcW w:w="605" w:type="pct"/>
          </w:tcPr>
          <w:p w14:paraId="5DF94F39" w14:textId="77777777" w:rsidR="00855322" w:rsidRPr="003B11BD" w:rsidRDefault="00855322" w:rsidP="00F03230">
            <w:pPr>
              <w:pStyle w:val="Size10"/>
              <w:rPr>
                <w:noProof/>
              </w:rPr>
            </w:pPr>
            <w:r w:rsidRPr="003B11BD">
              <w:rPr>
                <w:noProof/>
              </w:rPr>
              <w:t>X</w:t>
            </w:r>
          </w:p>
        </w:tc>
        <w:tc>
          <w:tcPr>
            <w:tcW w:w="605" w:type="pct"/>
          </w:tcPr>
          <w:p w14:paraId="406127E1" w14:textId="77777777" w:rsidR="00855322" w:rsidRPr="003B11BD" w:rsidRDefault="00855322" w:rsidP="00F03230">
            <w:pPr>
              <w:pStyle w:val="Size10"/>
              <w:rPr>
                <w:noProof/>
              </w:rPr>
            </w:pPr>
          </w:p>
        </w:tc>
        <w:tc>
          <w:tcPr>
            <w:tcW w:w="605" w:type="pct"/>
          </w:tcPr>
          <w:p w14:paraId="6A43CB56" w14:textId="77777777" w:rsidR="00855322" w:rsidRPr="003B11BD" w:rsidRDefault="00855322" w:rsidP="00F03230">
            <w:pPr>
              <w:pStyle w:val="Size10"/>
              <w:rPr>
                <w:noProof/>
              </w:rPr>
            </w:pPr>
          </w:p>
        </w:tc>
        <w:tc>
          <w:tcPr>
            <w:tcW w:w="605" w:type="pct"/>
          </w:tcPr>
          <w:p w14:paraId="45DC91F6" w14:textId="77777777" w:rsidR="00855322" w:rsidRPr="003B11BD" w:rsidRDefault="00855322" w:rsidP="00F03230">
            <w:pPr>
              <w:pStyle w:val="Size10"/>
              <w:rPr>
                <w:noProof/>
              </w:rPr>
            </w:pPr>
          </w:p>
        </w:tc>
        <w:tc>
          <w:tcPr>
            <w:tcW w:w="605" w:type="pct"/>
          </w:tcPr>
          <w:p w14:paraId="39D85D8A" w14:textId="77777777" w:rsidR="00855322" w:rsidRPr="003B11BD" w:rsidRDefault="00855322" w:rsidP="00F03230">
            <w:pPr>
              <w:pStyle w:val="Size10"/>
              <w:rPr>
                <w:noProof/>
              </w:rPr>
            </w:pPr>
            <w:r w:rsidRPr="003B11BD">
              <w:rPr>
                <w:noProof/>
              </w:rPr>
              <w:t>2</w:t>
            </w:r>
          </w:p>
        </w:tc>
      </w:tr>
      <w:tr w:rsidR="0097589D" w:rsidRPr="003B11BD" w14:paraId="029BC518" w14:textId="77777777" w:rsidTr="34EF0D43">
        <w:tc>
          <w:tcPr>
            <w:tcW w:w="766" w:type="pct"/>
          </w:tcPr>
          <w:p w14:paraId="78C68B37" w14:textId="77777777" w:rsidR="00855322" w:rsidRPr="003B11BD" w:rsidRDefault="00855322" w:rsidP="00F03230">
            <w:pPr>
              <w:pStyle w:val="Size10"/>
              <w:rPr>
                <w:noProof/>
              </w:rPr>
            </w:pPr>
            <w:r w:rsidRPr="003B11BD">
              <w:rPr>
                <w:noProof/>
              </w:rPr>
              <w:t>Greece*</w:t>
            </w:r>
          </w:p>
        </w:tc>
        <w:tc>
          <w:tcPr>
            <w:tcW w:w="605" w:type="pct"/>
          </w:tcPr>
          <w:p w14:paraId="73D7B696" w14:textId="77777777" w:rsidR="00855322" w:rsidRPr="003B11BD" w:rsidRDefault="00855322" w:rsidP="00F03230">
            <w:pPr>
              <w:pStyle w:val="Size10"/>
              <w:rPr>
                <w:noProof/>
              </w:rPr>
            </w:pPr>
            <w:r w:rsidRPr="003B11BD">
              <w:rPr>
                <w:noProof/>
              </w:rPr>
              <w:t>X</w:t>
            </w:r>
          </w:p>
        </w:tc>
        <w:tc>
          <w:tcPr>
            <w:tcW w:w="605" w:type="pct"/>
          </w:tcPr>
          <w:p w14:paraId="35849134" w14:textId="77777777" w:rsidR="00855322" w:rsidRPr="003B11BD" w:rsidRDefault="00855322" w:rsidP="00F03230">
            <w:pPr>
              <w:pStyle w:val="Size10"/>
              <w:rPr>
                <w:noProof/>
              </w:rPr>
            </w:pPr>
            <w:r w:rsidRPr="003B11BD">
              <w:rPr>
                <w:noProof/>
              </w:rPr>
              <w:t>X</w:t>
            </w:r>
          </w:p>
        </w:tc>
        <w:tc>
          <w:tcPr>
            <w:tcW w:w="605" w:type="pct"/>
          </w:tcPr>
          <w:p w14:paraId="39C34358" w14:textId="77777777" w:rsidR="00855322" w:rsidRPr="003B11BD" w:rsidRDefault="00855322" w:rsidP="00F03230">
            <w:pPr>
              <w:pStyle w:val="Size10"/>
              <w:rPr>
                <w:noProof/>
              </w:rPr>
            </w:pPr>
          </w:p>
        </w:tc>
        <w:tc>
          <w:tcPr>
            <w:tcW w:w="605" w:type="pct"/>
          </w:tcPr>
          <w:p w14:paraId="12FB5D70" w14:textId="77777777" w:rsidR="00855322" w:rsidRPr="003B11BD" w:rsidRDefault="00855322" w:rsidP="00F03230">
            <w:pPr>
              <w:pStyle w:val="Size10"/>
              <w:rPr>
                <w:noProof/>
              </w:rPr>
            </w:pPr>
          </w:p>
        </w:tc>
        <w:tc>
          <w:tcPr>
            <w:tcW w:w="605" w:type="pct"/>
          </w:tcPr>
          <w:p w14:paraId="503C5CB1" w14:textId="77777777" w:rsidR="00855322" w:rsidRPr="003B11BD" w:rsidRDefault="00855322" w:rsidP="00F03230">
            <w:pPr>
              <w:pStyle w:val="Size10"/>
              <w:rPr>
                <w:noProof/>
              </w:rPr>
            </w:pPr>
          </w:p>
        </w:tc>
        <w:tc>
          <w:tcPr>
            <w:tcW w:w="605" w:type="pct"/>
          </w:tcPr>
          <w:p w14:paraId="36BCC552" w14:textId="77777777" w:rsidR="00855322" w:rsidRPr="003B11BD" w:rsidRDefault="00855322" w:rsidP="00F03230">
            <w:pPr>
              <w:pStyle w:val="Size10"/>
              <w:rPr>
                <w:noProof/>
              </w:rPr>
            </w:pPr>
          </w:p>
        </w:tc>
        <w:tc>
          <w:tcPr>
            <w:tcW w:w="605" w:type="pct"/>
          </w:tcPr>
          <w:p w14:paraId="02EABE86" w14:textId="77777777" w:rsidR="00855322" w:rsidRPr="003B11BD" w:rsidRDefault="00855322" w:rsidP="00F03230">
            <w:pPr>
              <w:pStyle w:val="Size10"/>
              <w:rPr>
                <w:noProof/>
              </w:rPr>
            </w:pPr>
            <w:r w:rsidRPr="003B11BD">
              <w:rPr>
                <w:noProof/>
              </w:rPr>
              <w:t>2</w:t>
            </w:r>
          </w:p>
        </w:tc>
      </w:tr>
      <w:tr w:rsidR="0097589D" w:rsidRPr="003B11BD" w14:paraId="3575993D" w14:textId="77777777" w:rsidTr="34EF0D43">
        <w:tc>
          <w:tcPr>
            <w:tcW w:w="766" w:type="pct"/>
          </w:tcPr>
          <w:p w14:paraId="2CE4D5DB" w14:textId="77777777" w:rsidR="00855322" w:rsidRPr="003B11BD" w:rsidRDefault="00855322" w:rsidP="00F03230">
            <w:pPr>
              <w:pStyle w:val="Size10"/>
              <w:rPr>
                <w:noProof/>
              </w:rPr>
            </w:pPr>
            <w:r w:rsidRPr="003B11BD">
              <w:rPr>
                <w:noProof/>
              </w:rPr>
              <w:t>Hungary</w:t>
            </w:r>
          </w:p>
        </w:tc>
        <w:tc>
          <w:tcPr>
            <w:tcW w:w="605" w:type="pct"/>
          </w:tcPr>
          <w:p w14:paraId="61ECFC82" w14:textId="77777777" w:rsidR="00855322" w:rsidRPr="003B11BD" w:rsidRDefault="00855322" w:rsidP="00F03230">
            <w:pPr>
              <w:pStyle w:val="Size10"/>
              <w:rPr>
                <w:noProof/>
              </w:rPr>
            </w:pPr>
          </w:p>
        </w:tc>
        <w:tc>
          <w:tcPr>
            <w:tcW w:w="605" w:type="pct"/>
          </w:tcPr>
          <w:p w14:paraId="5B9FE423" w14:textId="77777777" w:rsidR="00855322" w:rsidRPr="003B11BD" w:rsidRDefault="00855322" w:rsidP="00F03230">
            <w:pPr>
              <w:pStyle w:val="Size10"/>
              <w:rPr>
                <w:noProof/>
              </w:rPr>
            </w:pPr>
            <w:r w:rsidRPr="003B11BD">
              <w:rPr>
                <w:noProof/>
              </w:rPr>
              <w:t>X</w:t>
            </w:r>
          </w:p>
        </w:tc>
        <w:tc>
          <w:tcPr>
            <w:tcW w:w="605" w:type="pct"/>
          </w:tcPr>
          <w:p w14:paraId="1FFFF58C" w14:textId="77777777" w:rsidR="00855322" w:rsidRPr="003B11BD" w:rsidRDefault="00855322" w:rsidP="00F03230">
            <w:pPr>
              <w:pStyle w:val="Size10"/>
              <w:rPr>
                <w:noProof/>
              </w:rPr>
            </w:pPr>
            <w:r w:rsidRPr="003B11BD">
              <w:rPr>
                <w:noProof/>
              </w:rPr>
              <w:t>X</w:t>
            </w:r>
          </w:p>
        </w:tc>
        <w:tc>
          <w:tcPr>
            <w:tcW w:w="605" w:type="pct"/>
          </w:tcPr>
          <w:p w14:paraId="397BC5BD" w14:textId="77777777" w:rsidR="00855322" w:rsidRPr="003B11BD" w:rsidRDefault="00855322" w:rsidP="00F03230">
            <w:pPr>
              <w:pStyle w:val="Size10"/>
              <w:rPr>
                <w:noProof/>
              </w:rPr>
            </w:pPr>
          </w:p>
        </w:tc>
        <w:tc>
          <w:tcPr>
            <w:tcW w:w="605" w:type="pct"/>
          </w:tcPr>
          <w:p w14:paraId="5C5DC13F" w14:textId="77777777" w:rsidR="00855322" w:rsidRPr="003B11BD" w:rsidRDefault="00855322" w:rsidP="00F03230">
            <w:pPr>
              <w:pStyle w:val="Size10"/>
              <w:rPr>
                <w:noProof/>
              </w:rPr>
            </w:pPr>
          </w:p>
        </w:tc>
        <w:tc>
          <w:tcPr>
            <w:tcW w:w="605" w:type="pct"/>
          </w:tcPr>
          <w:p w14:paraId="13CB62B5" w14:textId="77777777" w:rsidR="00855322" w:rsidRPr="003B11BD" w:rsidRDefault="00855322" w:rsidP="00F03230">
            <w:pPr>
              <w:pStyle w:val="Size10"/>
              <w:rPr>
                <w:noProof/>
              </w:rPr>
            </w:pPr>
          </w:p>
        </w:tc>
        <w:tc>
          <w:tcPr>
            <w:tcW w:w="605" w:type="pct"/>
          </w:tcPr>
          <w:p w14:paraId="7C9684E7" w14:textId="77777777" w:rsidR="00855322" w:rsidRPr="003B11BD" w:rsidRDefault="00855322" w:rsidP="00F03230">
            <w:pPr>
              <w:pStyle w:val="Size10"/>
              <w:rPr>
                <w:noProof/>
              </w:rPr>
            </w:pPr>
            <w:r w:rsidRPr="003B11BD">
              <w:rPr>
                <w:noProof/>
              </w:rPr>
              <w:t>2</w:t>
            </w:r>
          </w:p>
        </w:tc>
      </w:tr>
      <w:tr w:rsidR="0097589D" w:rsidRPr="003B11BD" w14:paraId="525242E1" w14:textId="77777777" w:rsidTr="34EF0D43">
        <w:tc>
          <w:tcPr>
            <w:tcW w:w="766" w:type="pct"/>
          </w:tcPr>
          <w:p w14:paraId="7B8494CB" w14:textId="77777777" w:rsidR="00855322" w:rsidRPr="003B11BD" w:rsidRDefault="00855322" w:rsidP="00F03230">
            <w:pPr>
              <w:pStyle w:val="Size10"/>
              <w:rPr>
                <w:noProof/>
              </w:rPr>
            </w:pPr>
            <w:r w:rsidRPr="003B11BD">
              <w:rPr>
                <w:noProof/>
              </w:rPr>
              <w:t>Ireland</w:t>
            </w:r>
          </w:p>
        </w:tc>
        <w:tc>
          <w:tcPr>
            <w:tcW w:w="605" w:type="pct"/>
          </w:tcPr>
          <w:p w14:paraId="284D3592" w14:textId="77777777" w:rsidR="00855322" w:rsidRPr="003B11BD" w:rsidRDefault="00855322" w:rsidP="00F03230">
            <w:pPr>
              <w:pStyle w:val="Size10"/>
              <w:rPr>
                <w:noProof/>
              </w:rPr>
            </w:pPr>
          </w:p>
        </w:tc>
        <w:tc>
          <w:tcPr>
            <w:tcW w:w="605" w:type="pct"/>
          </w:tcPr>
          <w:p w14:paraId="350CE567" w14:textId="77777777" w:rsidR="00855322" w:rsidRPr="003B11BD" w:rsidRDefault="00855322" w:rsidP="00F03230">
            <w:pPr>
              <w:pStyle w:val="Size10"/>
              <w:rPr>
                <w:noProof/>
              </w:rPr>
            </w:pPr>
            <w:r w:rsidRPr="003B11BD">
              <w:rPr>
                <w:noProof/>
              </w:rPr>
              <w:t>X</w:t>
            </w:r>
          </w:p>
        </w:tc>
        <w:tc>
          <w:tcPr>
            <w:tcW w:w="605" w:type="pct"/>
          </w:tcPr>
          <w:p w14:paraId="4AC95F35" w14:textId="77777777" w:rsidR="00855322" w:rsidRPr="003B11BD" w:rsidRDefault="00855322" w:rsidP="00F03230">
            <w:pPr>
              <w:pStyle w:val="Size10"/>
              <w:rPr>
                <w:noProof/>
              </w:rPr>
            </w:pPr>
          </w:p>
        </w:tc>
        <w:tc>
          <w:tcPr>
            <w:tcW w:w="605" w:type="pct"/>
          </w:tcPr>
          <w:p w14:paraId="2A565656" w14:textId="77777777" w:rsidR="00855322" w:rsidRPr="003B11BD" w:rsidRDefault="00855322" w:rsidP="00F03230">
            <w:pPr>
              <w:pStyle w:val="Size10"/>
              <w:rPr>
                <w:noProof/>
              </w:rPr>
            </w:pPr>
          </w:p>
        </w:tc>
        <w:tc>
          <w:tcPr>
            <w:tcW w:w="605" w:type="pct"/>
          </w:tcPr>
          <w:p w14:paraId="4D3AF22A" w14:textId="77777777" w:rsidR="00855322" w:rsidRPr="003B11BD" w:rsidRDefault="00855322" w:rsidP="00F03230">
            <w:pPr>
              <w:pStyle w:val="Size10"/>
              <w:rPr>
                <w:noProof/>
              </w:rPr>
            </w:pPr>
          </w:p>
        </w:tc>
        <w:tc>
          <w:tcPr>
            <w:tcW w:w="605" w:type="pct"/>
          </w:tcPr>
          <w:p w14:paraId="696915B0" w14:textId="77777777" w:rsidR="00855322" w:rsidRPr="003B11BD" w:rsidRDefault="00855322" w:rsidP="00F03230">
            <w:pPr>
              <w:pStyle w:val="Size10"/>
              <w:rPr>
                <w:noProof/>
              </w:rPr>
            </w:pPr>
          </w:p>
        </w:tc>
        <w:tc>
          <w:tcPr>
            <w:tcW w:w="605" w:type="pct"/>
          </w:tcPr>
          <w:p w14:paraId="7F71F85F" w14:textId="77777777" w:rsidR="00855322" w:rsidRPr="003B11BD" w:rsidRDefault="00855322" w:rsidP="00F03230">
            <w:pPr>
              <w:pStyle w:val="Size10"/>
              <w:rPr>
                <w:noProof/>
              </w:rPr>
            </w:pPr>
            <w:r w:rsidRPr="003B11BD">
              <w:rPr>
                <w:noProof/>
              </w:rPr>
              <w:t>1</w:t>
            </w:r>
          </w:p>
        </w:tc>
      </w:tr>
      <w:tr w:rsidR="0097589D" w:rsidRPr="003B11BD" w14:paraId="1191B3F8" w14:textId="77777777" w:rsidTr="34EF0D43">
        <w:tc>
          <w:tcPr>
            <w:tcW w:w="766" w:type="pct"/>
          </w:tcPr>
          <w:p w14:paraId="38DCA102" w14:textId="77777777" w:rsidR="00855322" w:rsidRPr="003B11BD" w:rsidRDefault="00855322" w:rsidP="00F03230">
            <w:pPr>
              <w:pStyle w:val="Size10"/>
              <w:rPr>
                <w:noProof/>
              </w:rPr>
            </w:pPr>
            <w:r w:rsidRPr="003B11BD">
              <w:rPr>
                <w:noProof/>
              </w:rPr>
              <w:t>Italy*</w:t>
            </w:r>
          </w:p>
        </w:tc>
        <w:tc>
          <w:tcPr>
            <w:tcW w:w="605" w:type="pct"/>
          </w:tcPr>
          <w:p w14:paraId="03199974" w14:textId="77777777" w:rsidR="00855322" w:rsidRPr="003B11BD" w:rsidRDefault="00855322" w:rsidP="00F03230">
            <w:pPr>
              <w:pStyle w:val="Size10"/>
              <w:rPr>
                <w:noProof/>
              </w:rPr>
            </w:pPr>
            <w:r w:rsidRPr="003B11BD">
              <w:rPr>
                <w:noProof/>
              </w:rPr>
              <w:t>X</w:t>
            </w:r>
          </w:p>
        </w:tc>
        <w:tc>
          <w:tcPr>
            <w:tcW w:w="605" w:type="pct"/>
          </w:tcPr>
          <w:p w14:paraId="0820B4CF" w14:textId="77777777" w:rsidR="00855322" w:rsidRPr="003B11BD" w:rsidRDefault="00855322" w:rsidP="00F03230">
            <w:pPr>
              <w:pStyle w:val="Size10"/>
              <w:rPr>
                <w:noProof/>
              </w:rPr>
            </w:pPr>
            <w:r w:rsidRPr="003B11BD">
              <w:rPr>
                <w:noProof/>
              </w:rPr>
              <w:t>X</w:t>
            </w:r>
          </w:p>
        </w:tc>
        <w:tc>
          <w:tcPr>
            <w:tcW w:w="605" w:type="pct"/>
          </w:tcPr>
          <w:p w14:paraId="69C52F7B" w14:textId="77777777" w:rsidR="00855322" w:rsidRPr="003B11BD" w:rsidRDefault="00855322" w:rsidP="00F03230">
            <w:pPr>
              <w:pStyle w:val="Size10"/>
              <w:rPr>
                <w:noProof/>
              </w:rPr>
            </w:pPr>
          </w:p>
        </w:tc>
        <w:tc>
          <w:tcPr>
            <w:tcW w:w="605" w:type="pct"/>
          </w:tcPr>
          <w:p w14:paraId="4CBB810D" w14:textId="77777777" w:rsidR="00855322" w:rsidRPr="003B11BD" w:rsidRDefault="00855322" w:rsidP="00F03230">
            <w:pPr>
              <w:pStyle w:val="Size10"/>
              <w:rPr>
                <w:noProof/>
              </w:rPr>
            </w:pPr>
            <w:r w:rsidRPr="003B11BD">
              <w:rPr>
                <w:noProof/>
              </w:rPr>
              <w:t>X</w:t>
            </w:r>
          </w:p>
        </w:tc>
        <w:tc>
          <w:tcPr>
            <w:tcW w:w="605" w:type="pct"/>
          </w:tcPr>
          <w:p w14:paraId="5052B88C" w14:textId="77777777" w:rsidR="00855322" w:rsidRPr="003B11BD" w:rsidRDefault="00855322" w:rsidP="00F03230">
            <w:pPr>
              <w:pStyle w:val="Size10"/>
              <w:rPr>
                <w:noProof/>
              </w:rPr>
            </w:pPr>
            <w:r w:rsidRPr="003B11BD">
              <w:rPr>
                <w:noProof/>
              </w:rPr>
              <w:t>X</w:t>
            </w:r>
          </w:p>
        </w:tc>
        <w:tc>
          <w:tcPr>
            <w:tcW w:w="605" w:type="pct"/>
          </w:tcPr>
          <w:p w14:paraId="107EB11F" w14:textId="77777777" w:rsidR="00855322" w:rsidRPr="003B11BD" w:rsidRDefault="00855322" w:rsidP="00F03230">
            <w:pPr>
              <w:pStyle w:val="Size10"/>
              <w:rPr>
                <w:noProof/>
              </w:rPr>
            </w:pPr>
          </w:p>
        </w:tc>
        <w:tc>
          <w:tcPr>
            <w:tcW w:w="605" w:type="pct"/>
          </w:tcPr>
          <w:p w14:paraId="675DB911" w14:textId="77777777" w:rsidR="00855322" w:rsidRPr="003B11BD" w:rsidRDefault="00855322" w:rsidP="00F03230">
            <w:pPr>
              <w:pStyle w:val="Size10"/>
              <w:rPr>
                <w:noProof/>
              </w:rPr>
            </w:pPr>
            <w:r w:rsidRPr="003B11BD">
              <w:rPr>
                <w:noProof/>
              </w:rPr>
              <w:t>4</w:t>
            </w:r>
          </w:p>
        </w:tc>
      </w:tr>
      <w:tr w:rsidR="0097589D" w:rsidRPr="003B11BD" w14:paraId="2EA2B026" w14:textId="77777777" w:rsidTr="34EF0D43">
        <w:tc>
          <w:tcPr>
            <w:tcW w:w="766" w:type="pct"/>
          </w:tcPr>
          <w:p w14:paraId="1DB1EF10" w14:textId="77777777" w:rsidR="00855322" w:rsidRPr="003B11BD" w:rsidRDefault="00855322" w:rsidP="00F03230">
            <w:pPr>
              <w:pStyle w:val="Size10"/>
              <w:rPr>
                <w:noProof/>
              </w:rPr>
            </w:pPr>
            <w:r w:rsidRPr="003B11BD">
              <w:rPr>
                <w:noProof/>
              </w:rPr>
              <w:t>Lithuania*</w:t>
            </w:r>
          </w:p>
        </w:tc>
        <w:tc>
          <w:tcPr>
            <w:tcW w:w="605" w:type="pct"/>
          </w:tcPr>
          <w:p w14:paraId="4E2CF49B" w14:textId="77777777" w:rsidR="00855322" w:rsidRPr="003B11BD" w:rsidRDefault="00855322" w:rsidP="00F03230">
            <w:pPr>
              <w:pStyle w:val="Size10"/>
              <w:rPr>
                <w:noProof/>
              </w:rPr>
            </w:pPr>
            <w:r w:rsidRPr="003B11BD">
              <w:rPr>
                <w:noProof/>
              </w:rPr>
              <w:t>X</w:t>
            </w:r>
          </w:p>
        </w:tc>
        <w:tc>
          <w:tcPr>
            <w:tcW w:w="605" w:type="pct"/>
          </w:tcPr>
          <w:p w14:paraId="2DB0B633" w14:textId="77777777" w:rsidR="00855322" w:rsidRPr="003B11BD" w:rsidRDefault="00855322" w:rsidP="00F03230">
            <w:pPr>
              <w:pStyle w:val="Size10"/>
              <w:rPr>
                <w:noProof/>
              </w:rPr>
            </w:pPr>
          </w:p>
        </w:tc>
        <w:tc>
          <w:tcPr>
            <w:tcW w:w="605" w:type="pct"/>
          </w:tcPr>
          <w:p w14:paraId="6F4A9ED6" w14:textId="77777777" w:rsidR="00855322" w:rsidRPr="003B11BD" w:rsidRDefault="00855322" w:rsidP="00F03230">
            <w:pPr>
              <w:pStyle w:val="Size10"/>
              <w:rPr>
                <w:noProof/>
              </w:rPr>
            </w:pPr>
            <w:r w:rsidRPr="003B11BD">
              <w:rPr>
                <w:noProof/>
              </w:rPr>
              <w:t>X</w:t>
            </w:r>
          </w:p>
        </w:tc>
        <w:tc>
          <w:tcPr>
            <w:tcW w:w="605" w:type="pct"/>
          </w:tcPr>
          <w:p w14:paraId="1CBC6F8E" w14:textId="77777777" w:rsidR="00855322" w:rsidRPr="003B11BD" w:rsidRDefault="00855322" w:rsidP="00F03230">
            <w:pPr>
              <w:pStyle w:val="Size10"/>
              <w:rPr>
                <w:noProof/>
              </w:rPr>
            </w:pPr>
          </w:p>
        </w:tc>
        <w:tc>
          <w:tcPr>
            <w:tcW w:w="605" w:type="pct"/>
          </w:tcPr>
          <w:p w14:paraId="04105F26" w14:textId="77777777" w:rsidR="00855322" w:rsidRPr="003B11BD" w:rsidRDefault="00855322" w:rsidP="00F03230">
            <w:pPr>
              <w:pStyle w:val="Size10"/>
              <w:rPr>
                <w:noProof/>
              </w:rPr>
            </w:pPr>
          </w:p>
        </w:tc>
        <w:tc>
          <w:tcPr>
            <w:tcW w:w="605" w:type="pct"/>
          </w:tcPr>
          <w:p w14:paraId="031EF001" w14:textId="77777777" w:rsidR="00855322" w:rsidRPr="003B11BD" w:rsidRDefault="00855322" w:rsidP="00F03230">
            <w:pPr>
              <w:pStyle w:val="Size10"/>
              <w:rPr>
                <w:noProof/>
              </w:rPr>
            </w:pPr>
          </w:p>
        </w:tc>
        <w:tc>
          <w:tcPr>
            <w:tcW w:w="605" w:type="pct"/>
          </w:tcPr>
          <w:p w14:paraId="54E9F682" w14:textId="77777777" w:rsidR="00855322" w:rsidRPr="003B11BD" w:rsidRDefault="00855322" w:rsidP="00F03230">
            <w:pPr>
              <w:pStyle w:val="Size10"/>
              <w:rPr>
                <w:noProof/>
              </w:rPr>
            </w:pPr>
            <w:r w:rsidRPr="003B11BD">
              <w:rPr>
                <w:noProof/>
              </w:rPr>
              <w:t>2</w:t>
            </w:r>
          </w:p>
        </w:tc>
      </w:tr>
      <w:tr w:rsidR="0097589D" w:rsidRPr="003B11BD" w14:paraId="7975F484" w14:textId="77777777" w:rsidTr="34EF0D43">
        <w:tc>
          <w:tcPr>
            <w:tcW w:w="766" w:type="pct"/>
          </w:tcPr>
          <w:p w14:paraId="324C60E5" w14:textId="77777777" w:rsidR="00855322" w:rsidRPr="003B11BD" w:rsidRDefault="00855322" w:rsidP="00F03230">
            <w:pPr>
              <w:pStyle w:val="Size10"/>
              <w:rPr>
                <w:noProof/>
              </w:rPr>
            </w:pPr>
            <w:r w:rsidRPr="003B11BD">
              <w:rPr>
                <w:noProof/>
              </w:rPr>
              <w:t>Luxembourg*</w:t>
            </w:r>
          </w:p>
        </w:tc>
        <w:tc>
          <w:tcPr>
            <w:tcW w:w="605" w:type="pct"/>
          </w:tcPr>
          <w:p w14:paraId="372E08C9" w14:textId="77777777" w:rsidR="00855322" w:rsidRPr="003B11BD" w:rsidRDefault="00855322" w:rsidP="00F03230">
            <w:pPr>
              <w:pStyle w:val="Size10"/>
              <w:rPr>
                <w:noProof/>
              </w:rPr>
            </w:pPr>
            <w:r w:rsidRPr="003B11BD">
              <w:rPr>
                <w:noProof/>
              </w:rPr>
              <w:t>X</w:t>
            </w:r>
          </w:p>
        </w:tc>
        <w:tc>
          <w:tcPr>
            <w:tcW w:w="605" w:type="pct"/>
          </w:tcPr>
          <w:p w14:paraId="7C13C774" w14:textId="77777777" w:rsidR="00855322" w:rsidRPr="003B11BD" w:rsidRDefault="00855322" w:rsidP="00F03230">
            <w:pPr>
              <w:pStyle w:val="Size10"/>
              <w:rPr>
                <w:noProof/>
              </w:rPr>
            </w:pPr>
          </w:p>
        </w:tc>
        <w:tc>
          <w:tcPr>
            <w:tcW w:w="605" w:type="pct"/>
          </w:tcPr>
          <w:p w14:paraId="1DD7B570" w14:textId="77777777" w:rsidR="00855322" w:rsidRPr="003B11BD" w:rsidRDefault="00855322" w:rsidP="00F03230">
            <w:pPr>
              <w:pStyle w:val="Size10"/>
              <w:rPr>
                <w:noProof/>
              </w:rPr>
            </w:pPr>
            <w:r w:rsidRPr="003B11BD">
              <w:rPr>
                <w:noProof/>
              </w:rPr>
              <w:t>X</w:t>
            </w:r>
          </w:p>
        </w:tc>
        <w:tc>
          <w:tcPr>
            <w:tcW w:w="605" w:type="pct"/>
          </w:tcPr>
          <w:p w14:paraId="77584CBF" w14:textId="77777777" w:rsidR="00855322" w:rsidRPr="003B11BD" w:rsidRDefault="00855322" w:rsidP="00F03230">
            <w:pPr>
              <w:pStyle w:val="Size10"/>
              <w:rPr>
                <w:noProof/>
              </w:rPr>
            </w:pPr>
          </w:p>
        </w:tc>
        <w:tc>
          <w:tcPr>
            <w:tcW w:w="605" w:type="pct"/>
          </w:tcPr>
          <w:p w14:paraId="11852B08" w14:textId="77777777" w:rsidR="00855322" w:rsidRPr="003B11BD" w:rsidRDefault="00855322" w:rsidP="00F03230">
            <w:pPr>
              <w:pStyle w:val="Size10"/>
              <w:rPr>
                <w:noProof/>
              </w:rPr>
            </w:pPr>
          </w:p>
        </w:tc>
        <w:tc>
          <w:tcPr>
            <w:tcW w:w="605" w:type="pct"/>
          </w:tcPr>
          <w:p w14:paraId="3CD09E42" w14:textId="77777777" w:rsidR="00855322" w:rsidRPr="003B11BD" w:rsidRDefault="00855322" w:rsidP="00F03230">
            <w:pPr>
              <w:pStyle w:val="Size10"/>
              <w:rPr>
                <w:noProof/>
              </w:rPr>
            </w:pPr>
          </w:p>
        </w:tc>
        <w:tc>
          <w:tcPr>
            <w:tcW w:w="605" w:type="pct"/>
          </w:tcPr>
          <w:p w14:paraId="2A542757" w14:textId="77777777" w:rsidR="00855322" w:rsidRPr="003B11BD" w:rsidRDefault="00855322" w:rsidP="00F03230">
            <w:pPr>
              <w:pStyle w:val="Size10"/>
              <w:rPr>
                <w:noProof/>
              </w:rPr>
            </w:pPr>
            <w:r w:rsidRPr="003B11BD">
              <w:rPr>
                <w:noProof/>
              </w:rPr>
              <w:t>2</w:t>
            </w:r>
          </w:p>
        </w:tc>
      </w:tr>
      <w:tr w:rsidR="0097589D" w:rsidRPr="003B11BD" w14:paraId="62F3FF9B" w14:textId="77777777" w:rsidTr="34EF0D43">
        <w:tc>
          <w:tcPr>
            <w:tcW w:w="766" w:type="pct"/>
          </w:tcPr>
          <w:p w14:paraId="3D3269D5" w14:textId="77777777" w:rsidR="00855322" w:rsidRPr="003B11BD" w:rsidRDefault="00855322" w:rsidP="00F03230">
            <w:pPr>
              <w:pStyle w:val="Size10"/>
              <w:rPr>
                <w:noProof/>
              </w:rPr>
            </w:pPr>
            <w:r w:rsidRPr="003B11BD">
              <w:rPr>
                <w:noProof/>
              </w:rPr>
              <w:t>Malta</w:t>
            </w:r>
          </w:p>
        </w:tc>
        <w:tc>
          <w:tcPr>
            <w:tcW w:w="605" w:type="pct"/>
          </w:tcPr>
          <w:p w14:paraId="5212F036" w14:textId="77777777" w:rsidR="00855322" w:rsidRPr="003B11BD" w:rsidRDefault="00855322" w:rsidP="00F03230">
            <w:pPr>
              <w:pStyle w:val="Size10"/>
              <w:rPr>
                <w:noProof/>
              </w:rPr>
            </w:pPr>
            <w:r w:rsidRPr="003B11BD">
              <w:rPr>
                <w:noProof/>
              </w:rPr>
              <w:t>X</w:t>
            </w:r>
          </w:p>
        </w:tc>
        <w:tc>
          <w:tcPr>
            <w:tcW w:w="605" w:type="pct"/>
          </w:tcPr>
          <w:p w14:paraId="3B962DAC" w14:textId="77777777" w:rsidR="00855322" w:rsidRPr="003B11BD" w:rsidRDefault="00855322" w:rsidP="00F03230">
            <w:pPr>
              <w:pStyle w:val="Size10"/>
              <w:rPr>
                <w:noProof/>
              </w:rPr>
            </w:pPr>
          </w:p>
        </w:tc>
        <w:tc>
          <w:tcPr>
            <w:tcW w:w="605" w:type="pct"/>
          </w:tcPr>
          <w:p w14:paraId="0B62E219" w14:textId="77777777" w:rsidR="00855322" w:rsidRPr="003B11BD" w:rsidRDefault="00855322" w:rsidP="00F03230">
            <w:pPr>
              <w:pStyle w:val="Size10"/>
              <w:rPr>
                <w:noProof/>
              </w:rPr>
            </w:pPr>
          </w:p>
        </w:tc>
        <w:tc>
          <w:tcPr>
            <w:tcW w:w="605" w:type="pct"/>
          </w:tcPr>
          <w:p w14:paraId="6B889EEA" w14:textId="77777777" w:rsidR="00855322" w:rsidRPr="003B11BD" w:rsidRDefault="00855322" w:rsidP="00F03230">
            <w:pPr>
              <w:pStyle w:val="Size10"/>
              <w:rPr>
                <w:noProof/>
              </w:rPr>
            </w:pPr>
          </w:p>
        </w:tc>
        <w:tc>
          <w:tcPr>
            <w:tcW w:w="605" w:type="pct"/>
          </w:tcPr>
          <w:p w14:paraId="73455BEF" w14:textId="77777777" w:rsidR="00855322" w:rsidRPr="003B11BD" w:rsidRDefault="00855322" w:rsidP="00F03230">
            <w:pPr>
              <w:pStyle w:val="Size10"/>
              <w:rPr>
                <w:noProof/>
              </w:rPr>
            </w:pPr>
          </w:p>
        </w:tc>
        <w:tc>
          <w:tcPr>
            <w:tcW w:w="605" w:type="pct"/>
          </w:tcPr>
          <w:p w14:paraId="46E4D370" w14:textId="77777777" w:rsidR="00855322" w:rsidRPr="003B11BD" w:rsidRDefault="00855322" w:rsidP="00F03230">
            <w:pPr>
              <w:pStyle w:val="Size10"/>
              <w:rPr>
                <w:noProof/>
              </w:rPr>
            </w:pPr>
          </w:p>
        </w:tc>
        <w:tc>
          <w:tcPr>
            <w:tcW w:w="605" w:type="pct"/>
          </w:tcPr>
          <w:p w14:paraId="53905404" w14:textId="77777777" w:rsidR="00855322" w:rsidRPr="003B11BD" w:rsidRDefault="00855322" w:rsidP="00F03230">
            <w:pPr>
              <w:pStyle w:val="Size10"/>
              <w:rPr>
                <w:noProof/>
              </w:rPr>
            </w:pPr>
            <w:r w:rsidRPr="003B11BD">
              <w:rPr>
                <w:noProof/>
              </w:rPr>
              <w:t>1</w:t>
            </w:r>
          </w:p>
        </w:tc>
      </w:tr>
      <w:tr w:rsidR="0097589D" w:rsidRPr="003B11BD" w14:paraId="7A3F880C" w14:textId="77777777" w:rsidTr="34EF0D43">
        <w:tc>
          <w:tcPr>
            <w:tcW w:w="766" w:type="pct"/>
          </w:tcPr>
          <w:p w14:paraId="45A1DB90" w14:textId="77777777" w:rsidR="00855322" w:rsidRPr="003B11BD" w:rsidRDefault="00855322" w:rsidP="00F03230">
            <w:pPr>
              <w:pStyle w:val="Size10"/>
              <w:rPr>
                <w:noProof/>
              </w:rPr>
            </w:pPr>
            <w:r w:rsidRPr="003B11BD">
              <w:rPr>
                <w:noProof/>
              </w:rPr>
              <w:t>Netherlands</w:t>
            </w:r>
          </w:p>
        </w:tc>
        <w:tc>
          <w:tcPr>
            <w:tcW w:w="605" w:type="pct"/>
          </w:tcPr>
          <w:p w14:paraId="6D70FF9F" w14:textId="77777777" w:rsidR="00855322" w:rsidRPr="003B11BD" w:rsidRDefault="00855322" w:rsidP="00F03230">
            <w:pPr>
              <w:pStyle w:val="Size10"/>
              <w:rPr>
                <w:noProof/>
              </w:rPr>
            </w:pPr>
            <w:r w:rsidRPr="003B11BD">
              <w:rPr>
                <w:noProof/>
              </w:rPr>
              <w:t>X</w:t>
            </w:r>
          </w:p>
        </w:tc>
        <w:tc>
          <w:tcPr>
            <w:tcW w:w="605" w:type="pct"/>
          </w:tcPr>
          <w:p w14:paraId="230B6E93" w14:textId="77777777" w:rsidR="00855322" w:rsidRPr="003B11BD" w:rsidRDefault="00855322" w:rsidP="00F03230">
            <w:pPr>
              <w:pStyle w:val="Size10"/>
              <w:rPr>
                <w:noProof/>
              </w:rPr>
            </w:pPr>
          </w:p>
        </w:tc>
        <w:tc>
          <w:tcPr>
            <w:tcW w:w="605" w:type="pct"/>
          </w:tcPr>
          <w:p w14:paraId="089DC1F7" w14:textId="77777777" w:rsidR="00855322" w:rsidRPr="003B11BD" w:rsidRDefault="00855322" w:rsidP="00F03230">
            <w:pPr>
              <w:pStyle w:val="Size10"/>
              <w:rPr>
                <w:noProof/>
              </w:rPr>
            </w:pPr>
            <w:r w:rsidRPr="003B11BD">
              <w:rPr>
                <w:noProof/>
              </w:rPr>
              <w:t>X</w:t>
            </w:r>
          </w:p>
        </w:tc>
        <w:tc>
          <w:tcPr>
            <w:tcW w:w="605" w:type="pct"/>
          </w:tcPr>
          <w:p w14:paraId="2726DBED" w14:textId="77777777" w:rsidR="00855322" w:rsidRPr="003B11BD" w:rsidRDefault="00855322" w:rsidP="00F03230">
            <w:pPr>
              <w:pStyle w:val="Size10"/>
              <w:rPr>
                <w:noProof/>
              </w:rPr>
            </w:pPr>
          </w:p>
        </w:tc>
        <w:tc>
          <w:tcPr>
            <w:tcW w:w="605" w:type="pct"/>
          </w:tcPr>
          <w:p w14:paraId="18CFD99C" w14:textId="77777777" w:rsidR="00855322" w:rsidRPr="003B11BD" w:rsidRDefault="00855322" w:rsidP="00F03230">
            <w:pPr>
              <w:pStyle w:val="Size10"/>
              <w:rPr>
                <w:noProof/>
              </w:rPr>
            </w:pPr>
          </w:p>
        </w:tc>
        <w:tc>
          <w:tcPr>
            <w:tcW w:w="605" w:type="pct"/>
          </w:tcPr>
          <w:p w14:paraId="78DBE639" w14:textId="77777777" w:rsidR="00855322" w:rsidRPr="003B11BD" w:rsidRDefault="00855322" w:rsidP="00F03230">
            <w:pPr>
              <w:pStyle w:val="Size10"/>
              <w:rPr>
                <w:noProof/>
              </w:rPr>
            </w:pPr>
          </w:p>
        </w:tc>
        <w:tc>
          <w:tcPr>
            <w:tcW w:w="605" w:type="pct"/>
          </w:tcPr>
          <w:p w14:paraId="271C0D86" w14:textId="77777777" w:rsidR="00855322" w:rsidRPr="003B11BD" w:rsidRDefault="00855322" w:rsidP="00F03230">
            <w:pPr>
              <w:pStyle w:val="Size10"/>
              <w:rPr>
                <w:noProof/>
              </w:rPr>
            </w:pPr>
            <w:r w:rsidRPr="003B11BD">
              <w:rPr>
                <w:noProof/>
              </w:rPr>
              <w:t>2</w:t>
            </w:r>
          </w:p>
        </w:tc>
      </w:tr>
      <w:tr w:rsidR="0097589D" w:rsidRPr="003B11BD" w14:paraId="231FFDDB" w14:textId="77777777" w:rsidTr="34EF0D43">
        <w:tc>
          <w:tcPr>
            <w:tcW w:w="766" w:type="pct"/>
          </w:tcPr>
          <w:p w14:paraId="7253214D" w14:textId="77777777" w:rsidR="00855322" w:rsidRPr="003B11BD" w:rsidRDefault="00855322" w:rsidP="00F03230">
            <w:pPr>
              <w:pStyle w:val="Size10"/>
              <w:rPr>
                <w:noProof/>
              </w:rPr>
            </w:pPr>
            <w:r w:rsidRPr="003B11BD">
              <w:rPr>
                <w:noProof/>
              </w:rPr>
              <w:t>Poland</w:t>
            </w:r>
          </w:p>
        </w:tc>
        <w:tc>
          <w:tcPr>
            <w:tcW w:w="605" w:type="pct"/>
          </w:tcPr>
          <w:p w14:paraId="7A318B5E" w14:textId="77777777" w:rsidR="00855322" w:rsidRPr="003B11BD" w:rsidRDefault="00855322" w:rsidP="00F03230">
            <w:pPr>
              <w:pStyle w:val="Size10"/>
              <w:rPr>
                <w:noProof/>
              </w:rPr>
            </w:pPr>
          </w:p>
        </w:tc>
        <w:tc>
          <w:tcPr>
            <w:tcW w:w="605" w:type="pct"/>
          </w:tcPr>
          <w:p w14:paraId="59BC93DA" w14:textId="77777777" w:rsidR="00855322" w:rsidRPr="003B11BD" w:rsidRDefault="00855322" w:rsidP="00F03230">
            <w:pPr>
              <w:pStyle w:val="Size10"/>
              <w:rPr>
                <w:noProof/>
              </w:rPr>
            </w:pPr>
            <w:r w:rsidRPr="003B11BD">
              <w:rPr>
                <w:noProof/>
              </w:rPr>
              <w:t>X</w:t>
            </w:r>
          </w:p>
        </w:tc>
        <w:tc>
          <w:tcPr>
            <w:tcW w:w="605" w:type="pct"/>
          </w:tcPr>
          <w:p w14:paraId="3280F208" w14:textId="77777777" w:rsidR="00855322" w:rsidRPr="003B11BD" w:rsidRDefault="00855322" w:rsidP="00F03230">
            <w:pPr>
              <w:pStyle w:val="Size10"/>
              <w:rPr>
                <w:noProof/>
              </w:rPr>
            </w:pPr>
          </w:p>
        </w:tc>
        <w:tc>
          <w:tcPr>
            <w:tcW w:w="605" w:type="pct"/>
          </w:tcPr>
          <w:p w14:paraId="17D1DC99" w14:textId="77777777" w:rsidR="00855322" w:rsidRPr="003B11BD" w:rsidRDefault="00855322" w:rsidP="00F03230">
            <w:pPr>
              <w:pStyle w:val="Size10"/>
              <w:rPr>
                <w:noProof/>
              </w:rPr>
            </w:pPr>
          </w:p>
        </w:tc>
        <w:tc>
          <w:tcPr>
            <w:tcW w:w="605" w:type="pct"/>
          </w:tcPr>
          <w:p w14:paraId="69089C31" w14:textId="77777777" w:rsidR="00855322" w:rsidRPr="003B11BD" w:rsidRDefault="00855322" w:rsidP="00F03230">
            <w:pPr>
              <w:pStyle w:val="Size10"/>
              <w:rPr>
                <w:noProof/>
              </w:rPr>
            </w:pPr>
          </w:p>
        </w:tc>
        <w:tc>
          <w:tcPr>
            <w:tcW w:w="605" w:type="pct"/>
          </w:tcPr>
          <w:p w14:paraId="0A5CF000" w14:textId="77777777" w:rsidR="00855322" w:rsidRPr="003B11BD" w:rsidRDefault="00855322" w:rsidP="00F03230">
            <w:pPr>
              <w:pStyle w:val="Size10"/>
              <w:rPr>
                <w:noProof/>
              </w:rPr>
            </w:pPr>
          </w:p>
        </w:tc>
        <w:tc>
          <w:tcPr>
            <w:tcW w:w="605" w:type="pct"/>
          </w:tcPr>
          <w:p w14:paraId="2A6FEE91" w14:textId="77777777" w:rsidR="00855322" w:rsidRPr="003B11BD" w:rsidRDefault="00855322" w:rsidP="00F03230">
            <w:pPr>
              <w:pStyle w:val="Size10"/>
              <w:rPr>
                <w:noProof/>
              </w:rPr>
            </w:pPr>
            <w:r w:rsidRPr="003B11BD">
              <w:rPr>
                <w:noProof/>
              </w:rPr>
              <w:t>1</w:t>
            </w:r>
          </w:p>
        </w:tc>
      </w:tr>
      <w:tr w:rsidR="0097589D" w:rsidRPr="003B11BD" w14:paraId="6993DAEF" w14:textId="77777777" w:rsidTr="34EF0D43">
        <w:tc>
          <w:tcPr>
            <w:tcW w:w="766" w:type="pct"/>
          </w:tcPr>
          <w:p w14:paraId="1D5A717C" w14:textId="77777777" w:rsidR="00855322" w:rsidRPr="003B11BD" w:rsidRDefault="00855322" w:rsidP="00F03230">
            <w:pPr>
              <w:pStyle w:val="Size10"/>
              <w:rPr>
                <w:noProof/>
              </w:rPr>
            </w:pPr>
            <w:r w:rsidRPr="003B11BD">
              <w:rPr>
                <w:noProof/>
              </w:rPr>
              <w:t>Romania</w:t>
            </w:r>
          </w:p>
        </w:tc>
        <w:tc>
          <w:tcPr>
            <w:tcW w:w="605" w:type="pct"/>
          </w:tcPr>
          <w:p w14:paraId="31C05AFE" w14:textId="77777777" w:rsidR="00855322" w:rsidRPr="003B11BD" w:rsidRDefault="00855322" w:rsidP="00F03230">
            <w:pPr>
              <w:pStyle w:val="Size10"/>
              <w:rPr>
                <w:noProof/>
              </w:rPr>
            </w:pPr>
          </w:p>
        </w:tc>
        <w:tc>
          <w:tcPr>
            <w:tcW w:w="605" w:type="pct"/>
          </w:tcPr>
          <w:p w14:paraId="3B6F9DE9" w14:textId="77777777" w:rsidR="00855322" w:rsidRPr="003B11BD" w:rsidRDefault="00855322" w:rsidP="00F03230">
            <w:pPr>
              <w:pStyle w:val="Size10"/>
              <w:rPr>
                <w:noProof/>
              </w:rPr>
            </w:pPr>
          </w:p>
        </w:tc>
        <w:tc>
          <w:tcPr>
            <w:tcW w:w="605" w:type="pct"/>
          </w:tcPr>
          <w:p w14:paraId="4409D31A" w14:textId="77777777" w:rsidR="00855322" w:rsidRPr="003B11BD" w:rsidRDefault="00855322" w:rsidP="00F03230">
            <w:pPr>
              <w:pStyle w:val="Size10"/>
              <w:rPr>
                <w:noProof/>
              </w:rPr>
            </w:pPr>
            <w:r w:rsidRPr="003B11BD">
              <w:rPr>
                <w:noProof/>
              </w:rPr>
              <w:t>X</w:t>
            </w:r>
          </w:p>
        </w:tc>
        <w:tc>
          <w:tcPr>
            <w:tcW w:w="605" w:type="pct"/>
          </w:tcPr>
          <w:p w14:paraId="47F47605" w14:textId="77777777" w:rsidR="00855322" w:rsidRPr="003B11BD" w:rsidRDefault="00855322" w:rsidP="00F03230">
            <w:pPr>
              <w:pStyle w:val="Size10"/>
              <w:rPr>
                <w:noProof/>
              </w:rPr>
            </w:pPr>
          </w:p>
        </w:tc>
        <w:tc>
          <w:tcPr>
            <w:tcW w:w="605" w:type="pct"/>
          </w:tcPr>
          <w:p w14:paraId="08607509" w14:textId="77777777" w:rsidR="00855322" w:rsidRPr="003B11BD" w:rsidRDefault="00855322" w:rsidP="00F03230">
            <w:pPr>
              <w:pStyle w:val="Size10"/>
              <w:rPr>
                <w:noProof/>
              </w:rPr>
            </w:pPr>
          </w:p>
        </w:tc>
        <w:tc>
          <w:tcPr>
            <w:tcW w:w="605" w:type="pct"/>
          </w:tcPr>
          <w:p w14:paraId="77769E3A" w14:textId="77777777" w:rsidR="00855322" w:rsidRPr="003B11BD" w:rsidRDefault="00855322" w:rsidP="00F03230">
            <w:pPr>
              <w:pStyle w:val="Size10"/>
              <w:rPr>
                <w:noProof/>
              </w:rPr>
            </w:pPr>
          </w:p>
        </w:tc>
        <w:tc>
          <w:tcPr>
            <w:tcW w:w="605" w:type="pct"/>
          </w:tcPr>
          <w:p w14:paraId="1CA10D9C" w14:textId="77777777" w:rsidR="00855322" w:rsidRPr="003B11BD" w:rsidRDefault="00855322" w:rsidP="00F03230">
            <w:pPr>
              <w:pStyle w:val="Size10"/>
              <w:rPr>
                <w:noProof/>
              </w:rPr>
            </w:pPr>
            <w:r w:rsidRPr="003B11BD">
              <w:rPr>
                <w:noProof/>
              </w:rPr>
              <w:t>1</w:t>
            </w:r>
          </w:p>
        </w:tc>
      </w:tr>
      <w:tr w:rsidR="0097589D" w:rsidRPr="003B11BD" w14:paraId="663507B4" w14:textId="77777777" w:rsidTr="34EF0D43">
        <w:tc>
          <w:tcPr>
            <w:tcW w:w="766" w:type="pct"/>
          </w:tcPr>
          <w:p w14:paraId="6842E4AE" w14:textId="77777777" w:rsidR="00855322" w:rsidRPr="003B11BD" w:rsidRDefault="00855322" w:rsidP="00F03230">
            <w:pPr>
              <w:pStyle w:val="Size10"/>
              <w:rPr>
                <w:noProof/>
              </w:rPr>
            </w:pPr>
            <w:r w:rsidRPr="003B11BD">
              <w:rPr>
                <w:noProof/>
              </w:rPr>
              <w:t>Slovakia</w:t>
            </w:r>
          </w:p>
        </w:tc>
        <w:tc>
          <w:tcPr>
            <w:tcW w:w="605" w:type="pct"/>
          </w:tcPr>
          <w:p w14:paraId="694BC997" w14:textId="77777777" w:rsidR="00855322" w:rsidRPr="003B11BD" w:rsidRDefault="00855322" w:rsidP="00F03230">
            <w:pPr>
              <w:pStyle w:val="Size10"/>
              <w:rPr>
                <w:noProof/>
              </w:rPr>
            </w:pPr>
          </w:p>
        </w:tc>
        <w:tc>
          <w:tcPr>
            <w:tcW w:w="605" w:type="pct"/>
          </w:tcPr>
          <w:p w14:paraId="1B8192A7" w14:textId="77777777" w:rsidR="00855322" w:rsidRPr="003B11BD" w:rsidRDefault="00855322" w:rsidP="00F03230">
            <w:pPr>
              <w:pStyle w:val="Size10"/>
              <w:rPr>
                <w:noProof/>
              </w:rPr>
            </w:pPr>
          </w:p>
        </w:tc>
        <w:tc>
          <w:tcPr>
            <w:tcW w:w="605" w:type="pct"/>
          </w:tcPr>
          <w:p w14:paraId="54E3E09E" w14:textId="77777777" w:rsidR="00855322" w:rsidRPr="003B11BD" w:rsidRDefault="00855322" w:rsidP="00F03230">
            <w:pPr>
              <w:pStyle w:val="Size10"/>
              <w:rPr>
                <w:noProof/>
              </w:rPr>
            </w:pPr>
            <w:r w:rsidRPr="003B11BD">
              <w:rPr>
                <w:noProof/>
              </w:rPr>
              <w:t>X</w:t>
            </w:r>
          </w:p>
        </w:tc>
        <w:tc>
          <w:tcPr>
            <w:tcW w:w="605" w:type="pct"/>
          </w:tcPr>
          <w:p w14:paraId="452CDFF8" w14:textId="77777777" w:rsidR="00855322" w:rsidRPr="003B11BD" w:rsidRDefault="00855322" w:rsidP="00F03230">
            <w:pPr>
              <w:pStyle w:val="Size10"/>
              <w:rPr>
                <w:noProof/>
              </w:rPr>
            </w:pPr>
          </w:p>
        </w:tc>
        <w:tc>
          <w:tcPr>
            <w:tcW w:w="605" w:type="pct"/>
          </w:tcPr>
          <w:p w14:paraId="65990D60" w14:textId="77777777" w:rsidR="00855322" w:rsidRPr="003B11BD" w:rsidRDefault="00855322" w:rsidP="00F03230">
            <w:pPr>
              <w:pStyle w:val="Size10"/>
              <w:rPr>
                <w:noProof/>
              </w:rPr>
            </w:pPr>
          </w:p>
        </w:tc>
        <w:tc>
          <w:tcPr>
            <w:tcW w:w="605" w:type="pct"/>
          </w:tcPr>
          <w:p w14:paraId="3BA30560" w14:textId="77777777" w:rsidR="00855322" w:rsidRPr="003B11BD" w:rsidRDefault="00855322" w:rsidP="00F03230">
            <w:pPr>
              <w:pStyle w:val="Size10"/>
              <w:rPr>
                <w:noProof/>
              </w:rPr>
            </w:pPr>
          </w:p>
        </w:tc>
        <w:tc>
          <w:tcPr>
            <w:tcW w:w="605" w:type="pct"/>
          </w:tcPr>
          <w:p w14:paraId="7812041F" w14:textId="77777777" w:rsidR="00855322" w:rsidRPr="003B11BD" w:rsidRDefault="00855322" w:rsidP="00F03230">
            <w:pPr>
              <w:pStyle w:val="Size10"/>
              <w:rPr>
                <w:noProof/>
              </w:rPr>
            </w:pPr>
            <w:r w:rsidRPr="003B11BD">
              <w:rPr>
                <w:noProof/>
              </w:rPr>
              <w:t>1</w:t>
            </w:r>
          </w:p>
        </w:tc>
      </w:tr>
      <w:tr w:rsidR="0097589D" w:rsidRPr="003B11BD" w14:paraId="4BC7CA93" w14:textId="77777777" w:rsidTr="34EF0D43">
        <w:tc>
          <w:tcPr>
            <w:tcW w:w="766" w:type="pct"/>
          </w:tcPr>
          <w:p w14:paraId="1B757AB4" w14:textId="77777777" w:rsidR="00855322" w:rsidRPr="003B11BD" w:rsidRDefault="00855322" w:rsidP="00F03230">
            <w:pPr>
              <w:pStyle w:val="Size10"/>
              <w:rPr>
                <w:noProof/>
              </w:rPr>
            </w:pPr>
            <w:r w:rsidRPr="003B11BD">
              <w:rPr>
                <w:noProof/>
              </w:rPr>
              <w:t>Slovenia</w:t>
            </w:r>
          </w:p>
        </w:tc>
        <w:tc>
          <w:tcPr>
            <w:tcW w:w="605" w:type="pct"/>
          </w:tcPr>
          <w:p w14:paraId="04F11DF7" w14:textId="77777777" w:rsidR="00855322" w:rsidRPr="003B11BD" w:rsidRDefault="00855322" w:rsidP="00F03230">
            <w:pPr>
              <w:pStyle w:val="Size10"/>
              <w:rPr>
                <w:noProof/>
              </w:rPr>
            </w:pPr>
          </w:p>
        </w:tc>
        <w:tc>
          <w:tcPr>
            <w:tcW w:w="605" w:type="pct"/>
          </w:tcPr>
          <w:p w14:paraId="311746A7" w14:textId="77777777" w:rsidR="00855322" w:rsidRPr="003B11BD" w:rsidRDefault="00855322" w:rsidP="00F03230">
            <w:pPr>
              <w:pStyle w:val="Size10"/>
              <w:rPr>
                <w:noProof/>
              </w:rPr>
            </w:pPr>
          </w:p>
        </w:tc>
        <w:tc>
          <w:tcPr>
            <w:tcW w:w="605" w:type="pct"/>
          </w:tcPr>
          <w:p w14:paraId="64FE37CD" w14:textId="77777777" w:rsidR="00855322" w:rsidRPr="003B11BD" w:rsidRDefault="00855322" w:rsidP="00F03230">
            <w:pPr>
              <w:pStyle w:val="Size10"/>
              <w:rPr>
                <w:noProof/>
              </w:rPr>
            </w:pPr>
            <w:r w:rsidRPr="003B11BD">
              <w:rPr>
                <w:noProof/>
              </w:rPr>
              <w:t>X</w:t>
            </w:r>
          </w:p>
        </w:tc>
        <w:tc>
          <w:tcPr>
            <w:tcW w:w="605" w:type="pct"/>
          </w:tcPr>
          <w:p w14:paraId="07AFAA17" w14:textId="77777777" w:rsidR="00855322" w:rsidRPr="003B11BD" w:rsidRDefault="00855322" w:rsidP="00F03230">
            <w:pPr>
              <w:pStyle w:val="Size10"/>
              <w:rPr>
                <w:noProof/>
              </w:rPr>
            </w:pPr>
          </w:p>
        </w:tc>
        <w:tc>
          <w:tcPr>
            <w:tcW w:w="605" w:type="pct"/>
          </w:tcPr>
          <w:p w14:paraId="791CD612" w14:textId="77777777" w:rsidR="00855322" w:rsidRPr="003B11BD" w:rsidRDefault="00855322" w:rsidP="00F03230">
            <w:pPr>
              <w:pStyle w:val="Size10"/>
              <w:rPr>
                <w:noProof/>
              </w:rPr>
            </w:pPr>
          </w:p>
        </w:tc>
        <w:tc>
          <w:tcPr>
            <w:tcW w:w="605" w:type="pct"/>
          </w:tcPr>
          <w:p w14:paraId="624D66B3" w14:textId="77777777" w:rsidR="00855322" w:rsidRPr="003B11BD" w:rsidRDefault="00855322" w:rsidP="00F03230">
            <w:pPr>
              <w:pStyle w:val="Size10"/>
              <w:rPr>
                <w:noProof/>
              </w:rPr>
            </w:pPr>
          </w:p>
        </w:tc>
        <w:tc>
          <w:tcPr>
            <w:tcW w:w="605" w:type="pct"/>
          </w:tcPr>
          <w:p w14:paraId="4E69CC19" w14:textId="77777777" w:rsidR="00855322" w:rsidRPr="003B11BD" w:rsidRDefault="00855322" w:rsidP="00F03230">
            <w:pPr>
              <w:pStyle w:val="Size10"/>
              <w:rPr>
                <w:noProof/>
              </w:rPr>
            </w:pPr>
            <w:r w:rsidRPr="003B11BD">
              <w:rPr>
                <w:noProof/>
              </w:rPr>
              <w:t>1</w:t>
            </w:r>
          </w:p>
        </w:tc>
      </w:tr>
      <w:tr w:rsidR="0097589D" w:rsidRPr="003B11BD" w14:paraId="4053A14E" w14:textId="77777777" w:rsidTr="34EF0D43">
        <w:tc>
          <w:tcPr>
            <w:tcW w:w="766" w:type="pct"/>
          </w:tcPr>
          <w:p w14:paraId="4AB34E08" w14:textId="77777777" w:rsidR="00855322" w:rsidRPr="003B11BD" w:rsidRDefault="00855322" w:rsidP="00F03230">
            <w:pPr>
              <w:pStyle w:val="Size10"/>
              <w:rPr>
                <w:noProof/>
              </w:rPr>
            </w:pPr>
            <w:r w:rsidRPr="003B11BD">
              <w:rPr>
                <w:noProof/>
              </w:rPr>
              <w:t>Spain</w:t>
            </w:r>
          </w:p>
        </w:tc>
        <w:tc>
          <w:tcPr>
            <w:tcW w:w="605" w:type="pct"/>
          </w:tcPr>
          <w:p w14:paraId="5BC56092" w14:textId="77777777" w:rsidR="00855322" w:rsidRPr="003B11BD" w:rsidRDefault="00855322" w:rsidP="00F03230">
            <w:pPr>
              <w:pStyle w:val="Size10"/>
              <w:rPr>
                <w:noProof/>
              </w:rPr>
            </w:pPr>
            <w:r w:rsidRPr="003B11BD">
              <w:rPr>
                <w:noProof/>
              </w:rPr>
              <w:t>X</w:t>
            </w:r>
          </w:p>
        </w:tc>
        <w:tc>
          <w:tcPr>
            <w:tcW w:w="605" w:type="pct"/>
          </w:tcPr>
          <w:p w14:paraId="3E16AECF" w14:textId="77777777" w:rsidR="00855322" w:rsidRPr="003B11BD" w:rsidRDefault="00855322" w:rsidP="00F03230">
            <w:pPr>
              <w:pStyle w:val="Size10"/>
              <w:rPr>
                <w:noProof/>
              </w:rPr>
            </w:pPr>
            <w:r w:rsidRPr="003B11BD">
              <w:rPr>
                <w:noProof/>
              </w:rPr>
              <w:t>X</w:t>
            </w:r>
          </w:p>
        </w:tc>
        <w:tc>
          <w:tcPr>
            <w:tcW w:w="605" w:type="pct"/>
          </w:tcPr>
          <w:p w14:paraId="073D1903" w14:textId="77777777" w:rsidR="00855322" w:rsidRPr="003B11BD" w:rsidRDefault="00855322" w:rsidP="00F03230">
            <w:pPr>
              <w:pStyle w:val="Size10"/>
              <w:rPr>
                <w:noProof/>
              </w:rPr>
            </w:pPr>
          </w:p>
        </w:tc>
        <w:tc>
          <w:tcPr>
            <w:tcW w:w="605" w:type="pct"/>
          </w:tcPr>
          <w:p w14:paraId="4DF54B73" w14:textId="77777777" w:rsidR="00855322" w:rsidRPr="003B11BD" w:rsidRDefault="00855322" w:rsidP="00F03230">
            <w:pPr>
              <w:pStyle w:val="Size10"/>
              <w:rPr>
                <w:noProof/>
              </w:rPr>
            </w:pPr>
          </w:p>
        </w:tc>
        <w:tc>
          <w:tcPr>
            <w:tcW w:w="605" w:type="pct"/>
          </w:tcPr>
          <w:p w14:paraId="565C5FEE" w14:textId="77777777" w:rsidR="00855322" w:rsidRPr="003B11BD" w:rsidRDefault="00855322" w:rsidP="00F03230">
            <w:pPr>
              <w:pStyle w:val="Size10"/>
              <w:rPr>
                <w:noProof/>
              </w:rPr>
            </w:pPr>
          </w:p>
        </w:tc>
        <w:tc>
          <w:tcPr>
            <w:tcW w:w="605" w:type="pct"/>
          </w:tcPr>
          <w:p w14:paraId="30D90F8B" w14:textId="77777777" w:rsidR="00855322" w:rsidRPr="003B11BD" w:rsidRDefault="00855322" w:rsidP="00F03230">
            <w:pPr>
              <w:pStyle w:val="Size10"/>
              <w:rPr>
                <w:noProof/>
              </w:rPr>
            </w:pPr>
          </w:p>
        </w:tc>
        <w:tc>
          <w:tcPr>
            <w:tcW w:w="605" w:type="pct"/>
          </w:tcPr>
          <w:p w14:paraId="1236186C" w14:textId="77777777" w:rsidR="00855322" w:rsidRPr="003B11BD" w:rsidRDefault="00855322" w:rsidP="00F03230">
            <w:pPr>
              <w:pStyle w:val="Size10"/>
              <w:rPr>
                <w:noProof/>
              </w:rPr>
            </w:pPr>
            <w:r w:rsidRPr="003B11BD">
              <w:rPr>
                <w:noProof/>
              </w:rPr>
              <w:t>2</w:t>
            </w:r>
          </w:p>
        </w:tc>
      </w:tr>
      <w:tr w:rsidR="0097589D" w:rsidRPr="003B11BD" w14:paraId="42AD3961" w14:textId="77777777" w:rsidTr="34EF0D43">
        <w:tc>
          <w:tcPr>
            <w:tcW w:w="766" w:type="pct"/>
          </w:tcPr>
          <w:p w14:paraId="635FFE68" w14:textId="77777777" w:rsidR="00855322" w:rsidRPr="003B11BD" w:rsidRDefault="00855322" w:rsidP="00F03230">
            <w:pPr>
              <w:pStyle w:val="Size10"/>
              <w:rPr>
                <w:noProof/>
              </w:rPr>
            </w:pPr>
            <w:r w:rsidRPr="003B11BD">
              <w:rPr>
                <w:noProof/>
              </w:rPr>
              <w:t>Sweden</w:t>
            </w:r>
          </w:p>
        </w:tc>
        <w:tc>
          <w:tcPr>
            <w:tcW w:w="605" w:type="pct"/>
          </w:tcPr>
          <w:p w14:paraId="74AFCA26" w14:textId="77777777" w:rsidR="00855322" w:rsidRPr="003B11BD" w:rsidRDefault="00855322" w:rsidP="00F03230">
            <w:pPr>
              <w:pStyle w:val="Size10"/>
              <w:rPr>
                <w:noProof/>
              </w:rPr>
            </w:pPr>
          </w:p>
        </w:tc>
        <w:tc>
          <w:tcPr>
            <w:tcW w:w="605" w:type="pct"/>
          </w:tcPr>
          <w:p w14:paraId="16EB0300" w14:textId="77777777" w:rsidR="00855322" w:rsidRPr="003B11BD" w:rsidRDefault="00855322" w:rsidP="00F03230">
            <w:pPr>
              <w:pStyle w:val="Size10"/>
              <w:rPr>
                <w:noProof/>
              </w:rPr>
            </w:pPr>
          </w:p>
        </w:tc>
        <w:tc>
          <w:tcPr>
            <w:tcW w:w="605" w:type="pct"/>
          </w:tcPr>
          <w:p w14:paraId="50DEDFC1" w14:textId="77777777" w:rsidR="00855322" w:rsidRPr="003B11BD" w:rsidRDefault="00855322" w:rsidP="00F03230">
            <w:pPr>
              <w:pStyle w:val="Size10"/>
              <w:rPr>
                <w:noProof/>
              </w:rPr>
            </w:pPr>
            <w:r w:rsidRPr="003B11BD">
              <w:rPr>
                <w:noProof/>
              </w:rPr>
              <w:t>X</w:t>
            </w:r>
          </w:p>
        </w:tc>
        <w:tc>
          <w:tcPr>
            <w:tcW w:w="605" w:type="pct"/>
          </w:tcPr>
          <w:p w14:paraId="113AD744" w14:textId="77777777" w:rsidR="00855322" w:rsidRPr="003B11BD" w:rsidRDefault="00855322" w:rsidP="00F03230">
            <w:pPr>
              <w:pStyle w:val="Size10"/>
              <w:rPr>
                <w:noProof/>
              </w:rPr>
            </w:pPr>
          </w:p>
        </w:tc>
        <w:tc>
          <w:tcPr>
            <w:tcW w:w="605" w:type="pct"/>
          </w:tcPr>
          <w:p w14:paraId="1961119D" w14:textId="77777777" w:rsidR="00855322" w:rsidRPr="003B11BD" w:rsidRDefault="00855322" w:rsidP="00F03230">
            <w:pPr>
              <w:pStyle w:val="Size10"/>
              <w:rPr>
                <w:noProof/>
              </w:rPr>
            </w:pPr>
          </w:p>
        </w:tc>
        <w:tc>
          <w:tcPr>
            <w:tcW w:w="605" w:type="pct"/>
          </w:tcPr>
          <w:p w14:paraId="3BED7992" w14:textId="77777777" w:rsidR="00855322" w:rsidRPr="003B11BD" w:rsidRDefault="00855322" w:rsidP="00F03230">
            <w:pPr>
              <w:pStyle w:val="Size10"/>
              <w:rPr>
                <w:noProof/>
              </w:rPr>
            </w:pPr>
          </w:p>
        </w:tc>
        <w:tc>
          <w:tcPr>
            <w:tcW w:w="605" w:type="pct"/>
          </w:tcPr>
          <w:p w14:paraId="205D9F19" w14:textId="77777777" w:rsidR="00855322" w:rsidRPr="003B11BD" w:rsidRDefault="00855322" w:rsidP="00F03230">
            <w:pPr>
              <w:pStyle w:val="Size10"/>
              <w:rPr>
                <w:noProof/>
              </w:rPr>
            </w:pPr>
            <w:r w:rsidRPr="003B11BD">
              <w:rPr>
                <w:noProof/>
              </w:rPr>
              <w:t>1</w:t>
            </w:r>
          </w:p>
        </w:tc>
      </w:tr>
      <w:tr w:rsidR="0097589D" w:rsidRPr="003B11BD" w14:paraId="07818895" w14:textId="77777777" w:rsidTr="34EF0D43">
        <w:tc>
          <w:tcPr>
            <w:tcW w:w="766" w:type="pct"/>
          </w:tcPr>
          <w:p w14:paraId="0A7F1A07" w14:textId="77777777" w:rsidR="00855322" w:rsidRPr="003B11BD" w:rsidRDefault="00855322" w:rsidP="00F03230">
            <w:pPr>
              <w:pStyle w:val="Size10"/>
              <w:rPr>
                <w:noProof/>
              </w:rPr>
            </w:pPr>
            <w:r w:rsidRPr="003B11BD">
              <w:rPr>
                <w:noProof/>
              </w:rPr>
              <w:t>TOTAL</w:t>
            </w:r>
          </w:p>
        </w:tc>
        <w:tc>
          <w:tcPr>
            <w:tcW w:w="605" w:type="pct"/>
          </w:tcPr>
          <w:p w14:paraId="49164593" w14:textId="77777777" w:rsidR="00855322" w:rsidRPr="003B11BD" w:rsidRDefault="00855322" w:rsidP="00F03230">
            <w:pPr>
              <w:pStyle w:val="Size10"/>
              <w:rPr>
                <w:noProof/>
              </w:rPr>
            </w:pPr>
            <w:r w:rsidRPr="003B11BD">
              <w:rPr>
                <w:noProof/>
              </w:rPr>
              <w:t>13</w:t>
            </w:r>
          </w:p>
        </w:tc>
        <w:tc>
          <w:tcPr>
            <w:tcW w:w="605" w:type="pct"/>
          </w:tcPr>
          <w:p w14:paraId="7677F9BB" w14:textId="77777777" w:rsidR="00855322" w:rsidRPr="003B11BD" w:rsidRDefault="00855322" w:rsidP="00F03230">
            <w:pPr>
              <w:pStyle w:val="Size10"/>
              <w:rPr>
                <w:noProof/>
              </w:rPr>
            </w:pPr>
            <w:r w:rsidRPr="003B11BD">
              <w:rPr>
                <w:noProof/>
              </w:rPr>
              <w:t>9</w:t>
            </w:r>
          </w:p>
        </w:tc>
        <w:tc>
          <w:tcPr>
            <w:tcW w:w="605" w:type="pct"/>
          </w:tcPr>
          <w:p w14:paraId="73B47943" w14:textId="77777777" w:rsidR="00855322" w:rsidRPr="003B11BD" w:rsidRDefault="00855322" w:rsidP="00F03230">
            <w:pPr>
              <w:pStyle w:val="Size10"/>
              <w:rPr>
                <w:noProof/>
              </w:rPr>
            </w:pPr>
            <w:r w:rsidRPr="003B11BD">
              <w:rPr>
                <w:noProof/>
              </w:rPr>
              <w:t>14</w:t>
            </w:r>
          </w:p>
        </w:tc>
        <w:tc>
          <w:tcPr>
            <w:tcW w:w="605" w:type="pct"/>
          </w:tcPr>
          <w:p w14:paraId="6D9CE2C4" w14:textId="77777777" w:rsidR="00855322" w:rsidRPr="003B11BD" w:rsidRDefault="00855322" w:rsidP="00F03230">
            <w:pPr>
              <w:pStyle w:val="Size10"/>
              <w:rPr>
                <w:noProof/>
              </w:rPr>
            </w:pPr>
            <w:r w:rsidRPr="003B11BD">
              <w:rPr>
                <w:noProof/>
              </w:rPr>
              <w:t>1</w:t>
            </w:r>
          </w:p>
        </w:tc>
        <w:tc>
          <w:tcPr>
            <w:tcW w:w="605" w:type="pct"/>
          </w:tcPr>
          <w:p w14:paraId="36B47AE8" w14:textId="77777777" w:rsidR="00855322" w:rsidRPr="003B11BD" w:rsidRDefault="00855322" w:rsidP="00F03230">
            <w:pPr>
              <w:pStyle w:val="Size10"/>
              <w:rPr>
                <w:noProof/>
              </w:rPr>
            </w:pPr>
            <w:r w:rsidRPr="003B11BD">
              <w:rPr>
                <w:noProof/>
              </w:rPr>
              <w:t>2</w:t>
            </w:r>
          </w:p>
        </w:tc>
        <w:tc>
          <w:tcPr>
            <w:tcW w:w="605" w:type="pct"/>
          </w:tcPr>
          <w:p w14:paraId="44DBD9F1" w14:textId="77777777" w:rsidR="00855322" w:rsidRPr="003B11BD" w:rsidRDefault="00855322" w:rsidP="00F03230">
            <w:pPr>
              <w:pStyle w:val="Size10"/>
              <w:rPr>
                <w:noProof/>
              </w:rPr>
            </w:pPr>
            <w:r w:rsidRPr="003B11BD">
              <w:rPr>
                <w:noProof/>
              </w:rPr>
              <w:t>1</w:t>
            </w:r>
          </w:p>
        </w:tc>
        <w:tc>
          <w:tcPr>
            <w:tcW w:w="605" w:type="pct"/>
          </w:tcPr>
          <w:p w14:paraId="4144CD37" w14:textId="77777777" w:rsidR="00855322" w:rsidRPr="003B11BD" w:rsidRDefault="00855322" w:rsidP="00F03230">
            <w:pPr>
              <w:pStyle w:val="Size10"/>
              <w:rPr>
                <w:noProof/>
              </w:rPr>
            </w:pPr>
            <w:r w:rsidRPr="003B11BD">
              <w:rPr>
                <w:noProof/>
              </w:rPr>
              <w:t>40</w:t>
            </w:r>
          </w:p>
        </w:tc>
      </w:tr>
    </w:tbl>
    <w:p w14:paraId="0F616831" w14:textId="6A64DD1F" w:rsidR="00855322" w:rsidRPr="003B11BD" w:rsidRDefault="00606A0F" w:rsidP="00606A0F">
      <w:pPr>
        <w:pStyle w:val="Caption"/>
        <w:jc w:val="left"/>
        <w:rPr>
          <w:noProof/>
          <w:lang w:val="en-IE"/>
        </w:rPr>
      </w:pPr>
      <w:r w:rsidRPr="003B11BD">
        <w:rPr>
          <w:noProof/>
          <w:lang w:val="en-IE"/>
        </w:rPr>
        <w:t xml:space="preserve">Source: </w:t>
      </w:r>
      <w:r w:rsidR="0097589D" w:rsidRPr="003B11BD">
        <w:rPr>
          <w:noProof/>
          <w:lang w:val="en-IE"/>
        </w:rPr>
        <w:t>CEIPI (2023), pp 32-33</w:t>
      </w:r>
      <w:r w:rsidRPr="003B11BD">
        <w:rPr>
          <w:noProof/>
          <w:lang w:val="en-IE"/>
        </w:rPr>
        <w:br/>
        <w:t xml:space="preserve">Note: Results exclude Latvia and Portugal. *= In times of crisis, the usual authority for applying for/granting </w:t>
      </w:r>
      <w:r w:rsidR="000B5D2D" w:rsidRPr="003B11BD">
        <w:rPr>
          <w:noProof/>
          <w:lang w:val="en-IE"/>
        </w:rPr>
        <w:t>compulsory licences</w:t>
      </w:r>
      <w:r w:rsidRPr="003B11BD">
        <w:rPr>
          <w:noProof/>
          <w:lang w:val="en-IE"/>
        </w:rPr>
        <w:t xml:space="preserve"> is different. From Questionnaire Responses, </w:t>
      </w:r>
      <w:r w:rsidR="00B4494C" w:rsidRPr="003B11BD">
        <w:rPr>
          <w:noProof/>
          <w:lang w:val="en-IE"/>
        </w:rPr>
        <w:t>Member States</w:t>
      </w:r>
      <w:r w:rsidRPr="003B11BD">
        <w:rPr>
          <w:noProof/>
          <w:lang w:val="en-IE"/>
        </w:rPr>
        <w:t xml:space="preserve"> responses on question 18.</w:t>
      </w:r>
    </w:p>
    <w:p w14:paraId="741BC1D1" w14:textId="2B3A015B" w:rsidR="00D33C16" w:rsidRPr="003B11BD" w:rsidRDefault="00D33C16" w:rsidP="484ED0CE">
      <w:pPr>
        <w:pStyle w:val="Caption"/>
        <w:jc w:val="left"/>
        <w:rPr>
          <w:i w:val="0"/>
          <w:noProof/>
          <w:color w:val="auto"/>
          <w:sz w:val="24"/>
          <w:szCs w:val="24"/>
          <w:lang w:val="en-IE"/>
        </w:rPr>
      </w:pPr>
    </w:p>
    <w:p w14:paraId="3F2515FC" w14:textId="77777777" w:rsidR="000B44D7" w:rsidRPr="003B11BD" w:rsidRDefault="000B44D7" w:rsidP="000B44D7">
      <w:pPr>
        <w:rPr>
          <w:noProof/>
          <w:lang w:val="en-IE"/>
        </w:rPr>
        <w:sectPr w:rsidR="000B44D7" w:rsidRPr="003B11BD" w:rsidSect="000F3C7F">
          <w:headerReference w:type="even" r:id="rId89"/>
          <w:headerReference w:type="default" r:id="rId90"/>
          <w:footerReference w:type="even" r:id="rId91"/>
          <w:footerReference w:type="default" r:id="rId92"/>
          <w:headerReference w:type="first" r:id="rId93"/>
          <w:footerReference w:type="first" r:id="rId94"/>
          <w:pgSz w:w="11906" w:h="16838"/>
          <w:pgMar w:top="1020" w:right="1701" w:bottom="1020" w:left="1587" w:header="601" w:footer="1077" w:gutter="0"/>
          <w:cols w:space="720"/>
          <w:titlePg/>
        </w:sectPr>
      </w:pPr>
    </w:p>
    <w:p w14:paraId="4CC3641F" w14:textId="7E21DE61" w:rsidR="2BB0FEAC" w:rsidRPr="003B11BD" w:rsidRDefault="000B44D7" w:rsidP="000B44D7">
      <w:pPr>
        <w:pStyle w:val="Caption"/>
        <w:rPr>
          <w:i w:val="0"/>
          <w:iCs w:val="0"/>
          <w:noProof/>
          <w:lang w:val="en-IE"/>
        </w:rPr>
      </w:pPr>
      <w:bookmarkStart w:id="1154" w:name="_Ref121735180"/>
      <w:r w:rsidRPr="003B11BD">
        <w:rPr>
          <w:noProof/>
          <w:lang w:val="en-IE"/>
        </w:rPr>
        <w:t xml:space="preserve">Table </w:t>
      </w:r>
      <w:r w:rsidR="00C6592A">
        <w:rPr>
          <w:noProof/>
          <w:lang w:val="en-IE"/>
        </w:rPr>
        <w:t>21</w:t>
      </w:r>
      <w:bookmarkEnd w:id="1154"/>
      <w:r w:rsidRPr="003B11BD">
        <w:rPr>
          <w:noProof/>
          <w:lang w:val="en-IE"/>
        </w:rPr>
        <w:t>:</w:t>
      </w:r>
      <w:r w:rsidR="2C702598" w:rsidRPr="003B11BD">
        <w:rPr>
          <w:noProof/>
          <w:lang w:val="en-IE"/>
        </w:rPr>
        <w:t xml:space="preserve"> </w:t>
      </w:r>
      <w:r w:rsidR="42FB5AEA" w:rsidRPr="003B11BD">
        <w:rPr>
          <w:noProof/>
          <w:lang w:val="en-IE"/>
        </w:rPr>
        <w:t xml:space="preserve">Overview of </w:t>
      </w:r>
      <w:r w:rsidR="3FECAA9F" w:rsidRPr="003B11BD">
        <w:rPr>
          <w:noProof/>
          <w:lang w:val="en-IE"/>
        </w:rPr>
        <w:t>divergences in scope, procedures and conditions</w:t>
      </w:r>
    </w:p>
    <w:tbl>
      <w:tblPr>
        <w:tblStyle w:val="CV13"/>
        <w:tblW w:w="15443" w:type="dxa"/>
        <w:tblLayout w:type="fixed"/>
        <w:tblCellMar>
          <w:top w:w="113" w:type="dxa"/>
          <w:bottom w:w="113" w:type="dxa"/>
        </w:tblCellMar>
        <w:tblLook w:val="04A0" w:firstRow="1" w:lastRow="0" w:firstColumn="1" w:lastColumn="0" w:noHBand="0" w:noVBand="1"/>
      </w:tblPr>
      <w:tblGrid>
        <w:gridCol w:w="1105"/>
        <w:gridCol w:w="1026"/>
        <w:gridCol w:w="990"/>
        <w:gridCol w:w="708"/>
        <w:gridCol w:w="1382"/>
        <w:gridCol w:w="3853"/>
        <w:gridCol w:w="2268"/>
        <w:gridCol w:w="1985"/>
        <w:gridCol w:w="2126"/>
      </w:tblGrid>
      <w:tr w:rsidR="000B44D7" w:rsidRPr="003B11BD" w14:paraId="2725CC09" w14:textId="77777777" w:rsidTr="34EF0D43">
        <w:tc>
          <w:tcPr>
            <w:tcW w:w="1105" w:type="dxa"/>
            <w:vMerge w:val="restart"/>
            <w:vAlign w:val="center"/>
          </w:tcPr>
          <w:p w14:paraId="2A06AD0C" w14:textId="0D26BD95" w:rsidR="3D2B6CA7" w:rsidRPr="003B11BD" w:rsidRDefault="3D2B6CA7" w:rsidP="00611FC5">
            <w:pPr>
              <w:tabs>
                <w:tab w:val="left" w:pos="720"/>
              </w:tabs>
              <w:spacing w:after="0"/>
              <w:jc w:val="center"/>
              <w:rPr>
                <w:rFonts w:ascii="Arial" w:hAnsi="Arial" w:cs="Arial"/>
                <w:noProof/>
                <w:sz w:val="16"/>
                <w:szCs w:val="16"/>
                <w:lang w:val="en-IE"/>
              </w:rPr>
            </w:pPr>
            <w:r w:rsidRPr="003B11BD">
              <w:rPr>
                <w:rFonts w:ascii="Arial" w:eastAsia="Arial" w:hAnsi="Arial" w:cs="Arial"/>
                <w:b/>
                <w:bCs/>
                <w:noProof/>
                <w:sz w:val="16"/>
                <w:szCs w:val="16"/>
                <w:lang w:val="en-IE"/>
              </w:rPr>
              <w:t>Member State</w:t>
            </w:r>
          </w:p>
        </w:tc>
        <w:tc>
          <w:tcPr>
            <w:tcW w:w="4106" w:type="dxa"/>
            <w:gridSpan w:val="4"/>
            <w:vAlign w:val="center"/>
          </w:tcPr>
          <w:p w14:paraId="7D8F9873" w14:textId="57754FEE" w:rsidR="3D2B6CA7" w:rsidRPr="003B11BD" w:rsidRDefault="3D2B6CA7" w:rsidP="00611FC5">
            <w:pPr>
              <w:tabs>
                <w:tab w:val="left" w:pos="720"/>
              </w:tabs>
              <w:spacing w:after="0"/>
              <w:jc w:val="center"/>
              <w:rPr>
                <w:rFonts w:ascii="Arial" w:hAnsi="Arial" w:cs="Arial"/>
                <w:noProof/>
                <w:sz w:val="16"/>
                <w:szCs w:val="16"/>
                <w:lang w:val="en-IE"/>
              </w:rPr>
            </w:pPr>
            <w:r w:rsidRPr="003B11BD">
              <w:rPr>
                <w:rFonts w:ascii="Arial" w:eastAsia="Arial" w:hAnsi="Arial" w:cs="Arial"/>
                <w:b/>
                <w:bCs/>
                <w:noProof/>
                <w:sz w:val="16"/>
                <w:szCs w:val="16"/>
                <w:lang w:val="en-IE"/>
              </w:rPr>
              <w:t>Scope</w:t>
            </w:r>
          </w:p>
        </w:tc>
        <w:tc>
          <w:tcPr>
            <w:tcW w:w="6121" w:type="dxa"/>
            <w:gridSpan w:val="2"/>
            <w:vAlign w:val="center"/>
          </w:tcPr>
          <w:p w14:paraId="035E5406" w14:textId="5713C2D6" w:rsidR="3D2B6CA7" w:rsidRPr="003B11BD" w:rsidRDefault="3D2B6CA7" w:rsidP="00611FC5">
            <w:pPr>
              <w:tabs>
                <w:tab w:val="left" w:pos="720"/>
              </w:tabs>
              <w:spacing w:after="0"/>
              <w:jc w:val="center"/>
              <w:rPr>
                <w:rFonts w:ascii="Arial" w:hAnsi="Arial" w:cs="Arial"/>
                <w:noProof/>
                <w:sz w:val="16"/>
                <w:szCs w:val="16"/>
                <w:lang w:val="en-IE"/>
              </w:rPr>
            </w:pPr>
            <w:r w:rsidRPr="003B11BD">
              <w:rPr>
                <w:rFonts w:ascii="Arial" w:eastAsia="Arial" w:hAnsi="Arial" w:cs="Arial"/>
                <w:b/>
                <w:bCs/>
                <w:noProof/>
                <w:sz w:val="16"/>
                <w:szCs w:val="16"/>
                <w:lang w:val="en-IE"/>
              </w:rPr>
              <w:t>Procedures</w:t>
            </w:r>
          </w:p>
        </w:tc>
        <w:tc>
          <w:tcPr>
            <w:tcW w:w="4111" w:type="dxa"/>
            <w:gridSpan w:val="2"/>
            <w:vAlign w:val="center"/>
          </w:tcPr>
          <w:p w14:paraId="6CDB4A96" w14:textId="4B6F5066" w:rsidR="3D2B6CA7" w:rsidRPr="003B11BD" w:rsidRDefault="3D2B6CA7" w:rsidP="00611FC5">
            <w:pPr>
              <w:tabs>
                <w:tab w:val="left" w:pos="720"/>
              </w:tabs>
              <w:spacing w:after="0"/>
              <w:ind w:right="-109"/>
              <w:jc w:val="center"/>
              <w:rPr>
                <w:rFonts w:ascii="Arial" w:hAnsi="Arial" w:cs="Arial"/>
                <w:noProof/>
                <w:sz w:val="16"/>
                <w:szCs w:val="16"/>
                <w:lang w:val="en-IE"/>
              </w:rPr>
            </w:pPr>
            <w:r w:rsidRPr="003B11BD">
              <w:rPr>
                <w:rFonts w:ascii="Arial" w:eastAsia="Arial" w:hAnsi="Arial" w:cs="Arial"/>
                <w:b/>
                <w:bCs/>
                <w:noProof/>
                <w:sz w:val="16"/>
                <w:szCs w:val="16"/>
                <w:lang w:val="en-IE"/>
              </w:rPr>
              <w:t>Conditions</w:t>
            </w:r>
          </w:p>
        </w:tc>
      </w:tr>
      <w:tr w:rsidR="000B44D7" w:rsidRPr="003B11BD" w14:paraId="29A02E1B" w14:textId="77777777" w:rsidTr="34EF0D43">
        <w:tc>
          <w:tcPr>
            <w:tcW w:w="1105" w:type="dxa"/>
            <w:vMerge/>
            <w:vAlign w:val="center"/>
          </w:tcPr>
          <w:p w14:paraId="1E416512" w14:textId="77777777" w:rsidR="001305B0" w:rsidRPr="003B11BD" w:rsidRDefault="001305B0" w:rsidP="00611FC5">
            <w:pPr>
              <w:spacing w:after="0"/>
              <w:jc w:val="center"/>
              <w:rPr>
                <w:rFonts w:ascii="Arial" w:hAnsi="Arial" w:cs="Arial"/>
                <w:noProof/>
                <w:sz w:val="16"/>
                <w:szCs w:val="16"/>
                <w:lang w:val="en-IE"/>
              </w:rPr>
            </w:pPr>
          </w:p>
        </w:tc>
        <w:tc>
          <w:tcPr>
            <w:tcW w:w="1026" w:type="dxa"/>
            <w:vAlign w:val="center"/>
          </w:tcPr>
          <w:p w14:paraId="10B29EF5" w14:textId="30EF0F1D" w:rsidR="3D2B6CA7" w:rsidRPr="003B11BD" w:rsidRDefault="43A7C676" w:rsidP="00611FC5">
            <w:pPr>
              <w:tabs>
                <w:tab w:val="left" w:pos="720"/>
              </w:tabs>
              <w:spacing w:after="0"/>
              <w:jc w:val="center"/>
              <w:rPr>
                <w:rFonts w:ascii="Arial" w:eastAsia="Arial" w:hAnsi="Arial" w:cs="Arial"/>
                <w:b/>
                <w:noProof/>
                <w:sz w:val="16"/>
                <w:szCs w:val="16"/>
                <w:vertAlign w:val="superscript"/>
                <w:lang w:val="en-IE"/>
              </w:rPr>
            </w:pPr>
            <w:r w:rsidRPr="003B11BD">
              <w:rPr>
                <w:rFonts w:ascii="Arial" w:eastAsia="Arial" w:hAnsi="Arial" w:cs="Arial"/>
                <w:b/>
                <w:bCs/>
                <w:noProof/>
                <w:sz w:val="16"/>
                <w:szCs w:val="16"/>
                <w:lang w:val="en-IE"/>
              </w:rPr>
              <w:t>Patent</w:t>
            </w:r>
            <w:r w:rsidR="425D717E" w:rsidRPr="003B11BD">
              <w:rPr>
                <w:rFonts w:ascii="Arial" w:eastAsia="Arial" w:hAnsi="Arial" w:cs="Arial"/>
                <w:b/>
                <w:bCs/>
                <w:noProof/>
                <w:sz w:val="16"/>
                <w:szCs w:val="16"/>
                <w:lang w:val="en-IE"/>
              </w:rPr>
              <w:t xml:space="preserve"> </w:t>
            </w:r>
            <w:r w:rsidRPr="003B11BD">
              <w:rPr>
                <w:rFonts w:ascii="Arial" w:eastAsia="Arial" w:hAnsi="Arial" w:cs="Arial"/>
                <w:b/>
                <w:bCs/>
                <w:noProof/>
                <w:sz w:val="16"/>
                <w:szCs w:val="16"/>
                <w:lang w:val="en-IE"/>
              </w:rPr>
              <w:t>Appl.</w:t>
            </w:r>
            <w:r w:rsidR="001349B9" w:rsidRPr="003B11BD">
              <w:rPr>
                <w:rStyle w:val="FootnoteReference"/>
                <w:rFonts w:ascii="Arial" w:eastAsia="Arial" w:hAnsi="Arial" w:cs="Arial"/>
                <w:b/>
                <w:bCs/>
                <w:noProof/>
                <w:sz w:val="16"/>
                <w:szCs w:val="16"/>
                <w:lang w:val="en-IE"/>
              </w:rPr>
              <w:footnoteReference w:id="198"/>
            </w:r>
            <w:r w:rsidR="6AC3DD5E" w:rsidRPr="003B11BD">
              <w:rPr>
                <w:rFonts w:ascii="Arial" w:eastAsia="Arial" w:hAnsi="Arial" w:cs="Arial"/>
                <w:b/>
                <w:bCs/>
                <w:noProof/>
                <w:sz w:val="16"/>
                <w:szCs w:val="16"/>
                <w:lang w:val="en-IE"/>
              </w:rPr>
              <w:t xml:space="preserve"> </w:t>
            </w:r>
          </w:p>
        </w:tc>
        <w:tc>
          <w:tcPr>
            <w:tcW w:w="990" w:type="dxa"/>
            <w:vAlign w:val="center"/>
          </w:tcPr>
          <w:p w14:paraId="0E31076C" w14:textId="060EADF3" w:rsidR="3D2B6CA7" w:rsidRPr="003B11BD" w:rsidRDefault="766AED62" w:rsidP="00611FC5">
            <w:pPr>
              <w:tabs>
                <w:tab w:val="left" w:pos="720"/>
              </w:tabs>
              <w:spacing w:after="0"/>
              <w:jc w:val="center"/>
              <w:rPr>
                <w:rFonts w:ascii="Arial" w:hAnsi="Arial" w:cs="Arial"/>
                <w:noProof/>
                <w:sz w:val="16"/>
                <w:szCs w:val="16"/>
                <w:lang w:val="en-IE"/>
              </w:rPr>
            </w:pPr>
            <w:r w:rsidRPr="003B11BD">
              <w:rPr>
                <w:rFonts w:ascii="Arial" w:eastAsia="Arial" w:hAnsi="Arial" w:cs="Arial"/>
                <w:b/>
                <w:bCs/>
                <w:noProof/>
                <w:sz w:val="16"/>
                <w:szCs w:val="16"/>
                <w:lang w:val="en-IE"/>
              </w:rPr>
              <w:t>SPC</w:t>
            </w:r>
            <w:r w:rsidR="3D2B6CA7" w:rsidRPr="003B11BD">
              <w:rPr>
                <w:rStyle w:val="FootnoteReference"/>
                <w:rFonts w:ascii="Arial" w:eastAsia="Arial" w:hAnsi="Arial" w:cs="Arial"/>
                <w:b/>
                <w:bCs/>
                <w:noProof/>
                <w:sz w:val="16"/>
                <w:szCs w:val="16"/>
                <w:lang w:val="en-IE"/>
              </w:rPr>
              <w:footnoteReference w:id="199"/>
            </w:r>
          </w:p>
        </w:tc>
        <w:tc>
          <w:tcPr>
            <w:tcW w:w="708" w:type="dxa"/>
            <w:vAlign w:val="center"/>
          </w:tcPr>
          <w:p w14:paraId="037107A0" w14:textId="44A2B1AE" w:rsidR="3D2B6CA7" w:rsidRPr="003B11BD" w:rsidRDefault="43A7C676" w:rsidP="00611FC5">
            <w:pPr>
              <w:tabs>
                <w:tab w:val="left" w:pos="720"/>
              </w:tabs>
              <w:spacing w:after="0"/>
              <w:jc w:val="center"/>
              <w:rPr>
                <w:rFonts w:ascii="Arial" w:eastAsia="Arial" w:hAnsi="Arial" w:cs="Arial"/>
                <w:b/>
                <w:noProof/>
                <w:sz w:val="16"/>
                <w:szCs w:val="16"/>
                <w:vertAlign w:val="superscript"/>
                <w:lang w:val="en-IE"/>
              </w:rPr>
            </w:pPr>
            <w:r w:rsidRPr="003B11BD">
              <w:rPr>
                <w:rFonts w:ascii="Arial" w:eastAsia="Arial" w:hAnsi="Arial" w:cs="Arial"/>
                <w:b/>
                <w:bCs/>
                <w:noProof/>
                <w:sz w:val="16"/>
                <w:szCs w:val="16"/>
                <w:lang w:val="en-IE"/>
              </w:rPr>
              <w:t>RDP</w:t>
            </w:r>
            <w:r w:rsidR="001349B9" w:rsidRPr="003B11BD">
              <w:rPr>
                <w:rStyle w:val="FootnoteReference"/>
                <w:rFonts w:ascii="Arial" w:eastAsia="Arial" w:hAnsi="Arial" w:cs="Arial"/>
                <w:b/>
                <w:bCs/>
                <w:noProof/>
                <w:sz w:val="16"/>
                <w:szCs w:val="16"/>
                <w:lang w:val="en-IE"/>
              </w:rPr>
              <w:footnoteReference w:id="200"/>
            </w:r>
          </w:p>
        </w:tc>
        <w:tc>
          <w:tcPr>
            <w:tcW w:w="1382" w:type="dxa"/>
            <w:vAlign w:val="center"/>
          </w:tcPr>
          <w:p w14:paraId="62259CAC" w14:textId="1E68C289" w:rsidR="3D2B6CA7" w:rsidRPr="003B11BD" w:rsidRDefault="3D2B6CA7" w:rsidP="00611FC5">
            <w:pPr>
              <w:tabs>
                <w:tab w:val="left" w:pos="720"/>
              </w:tabs>
              <w:spacing w:after="0"/>
              <w:jc w:val="center"/>
              <w:rPr>
                <w:rFonts w:ascii="Arial" w:hAnsi="Arial" w:cs="Arial"/>
                <w:noProof/>
                <w:sz w:val="16"/>
                <w:szCs w:val="16"/>
                <w:lang w:val="en-IE"/>
              </w:rPr>
            </w:pPr>
            <w:r w:rsidRPr="003B11BD">
              <w:rPr>
                <w:rFonts w:ascii="Arial" w:eastAsia="Arial" w:hAnsi="Arial" w:cs="Arial"/>
                <w:b/>
                <w:bCs/>
                <w:noProof/>
                <w:sz w:val="16"/>
                <w:szCs w:val="16"/>
                <w:lang w:val="en-IE"/>
              </w:rPr>
              <w:t>Trade secrets</w:t>
            </w:r>
            <w:r w:rsidR="29C9B730" w:rsidRPr="003B11BD">
              <w:rPr>
                <w:rFonts w:ascii="Arial" w:eastAsia="Arial" w:hAnsi="Arial" w:cs="Arial"/>
                <w:b/>
                <w:bCs/>
                <w:noProof/>
                <w:sz w:val="16"/>
                <w:szCs w:val="16"/>
                <w:lang w:val="en-IE"/>
              </w:rPr>
              <w:t>/know-how</w:t>
            </w:r>
          </w:p>
        </w:tc>
        <w:tc>
          <w:tcPr>
            <w:tcW w:w="3853" w:type="dxa"/>
            <w:vAlign w:val="center"/>
          </w:tcPr>
          <w:p w14:paraId="5716171C" w14:textId="1680453F" w:rsidR="3D2B6CA7" w:rsidRPr="003B11BD" w:rsidRDefault="3D2B6CA7" w:rsidP="00611FC5">
            <w:pPr>
              <w:tabs>
                <w:tab w:val="left" w:pos="720"/>
              </w:tabs>
              <w:spacing w:after="0"/>
              <w:jc w:val="center"/>
              <w:rPr>
                <w:rFonts w:ascii="Arial" w:hAnsi="Arial" w:cs="Arial"/>
                <w:noProof/>
                <w:sz w:val="16"/>
                <w:szCs w:val="16"/>
                <w:lang w:val="en-IE"/>
              </w:rPr>
            </w:pPr>
            <w:r w:rsidRPr="003B11BD">
              <w:rPr>
                <w:rFonts w:ascii="Arial" w:eastAsia="Arial" w:hAnsi="Arial" w:cs="Arial"/>
                <w:b/>
                <w:bCs/>
                <w:noProof/>
                <w:sz w:val="16"/>
                <w:szCs w:val="16"/>
                <w:lang w:val="en-IE"/>
              </w:rPr>
              <w:t>Appeal</w:t>
            </w:r>
          </w:p>
        </w:tc>
        <w:tc>
          <w:tcPr>
            <w:tcW w:w="2268" w:type="dxa"/>
            <w:vAlign w:val="center"/>
          </w:tcPr>
          <w:p w14:paraId="4E5E5CEE" w14:textId="5C7CF287" w:rsidR="3D2B6CA7" w:rsidRPr="003B11BD" w:rsidRDefault="3D2B6CA7" w:rsidP="00611FC5">
            <w:pPr>
              <w:tabs>
                <w:tab w:val="left" w:pos="720"/>
              </w:tabs>
              <w:spacing w:after="0"/>
              <w:jc w:val="center"/>
              <w:rPr>
                <w:rFonts w:ascii="Arial" w:hAnsi="Arial" w:cs="Arial"/>
                <w:noProof/>
                <w:sz w:val="16"/>
                <w:szCs w:val="16"/>
                <w:lang w:val="en-IE"/>
              </w:rPr>
            </w:pPr>
            <w:r w:rsidRPr="003B11BD">
              <w:rPr>
                <w:rFonts w:ascii="Arial" w:eastAsia="Arial" w:hAnsi="Arial" w:cs="Arial"/>
                <w:b/>
                <w:bCs/>
                <w:noProof/>
                <w:sz w:val="16"/>
                <w:szCs w:val="16"/>
                <w:lang w:val="en-IE"/>
              </w:rPr>
              <w:t>Preliminary relief</w:t>
            </w:r>
          </w:p>
        </w:tc>
        <w:tc>
          <w:tcPr>
            <w:tcW w:w="1985" w:type="dxa"/>
            <w:vAlign w:val="center"/>
          </w:tcPr>
          <w:p w14:paraId="7E41D0F8" w14:textId="667226CC" w:rsidR="3D2B6CA7" w:rsidRPr="003B11BD" w:rsidRDefault="43A7C676" w:rsidP="00611FC5">
            <w:pPr>
              <w:tabs>
                <w:tab w:val="left" w:pos="720"/>
              </w:tabs>
              <w:spacing w:after="0"/>
              <w:jc w:val="center"/>
              <w:rPr>
                <w:rFonts w:ascii="Arial" w:eastAsia="Arial" w:hAnsi="Arial" w:cs="Arial"/>
                <w:b/>
                <w:noProof/>
                <w:sz w:val="16"/>
                <w:szCs w:val="16"/>
                <w:vertAlign w:val="superscript"/>
                <w:lang w:val="en-IE"/>
              </w:rPr>
            </w:pPr>
            <w:r w:rsidRPr="003B11BD">
              <w:rPr>
                <w:rFonts w:ascii="Arial" w:eastAsia="Arial" w:hAnsi="Arial" w:cs="Arial"/>
                <w:b/>
                <w:bCs/>
                <w:noProof/>
                <w:sz w:val="16"/>
                <w:szCs w:val="16"/>
                <w:lang w:val="en-IE"/>
              </w:rPr>
              <w:t>Embargos</w:t>
            </w:r>
            <w:r w:rsidR="001349B9" w:rsidRPr="003B11BD">
              <w:rPr>
                <w:rStyle w:val="FootnoteReference"/>
                <w:rFonts w:ascii="Arial" w:eastAsia="Arial" w:hAnsi="Arial" w:cs="Arial"/>
                <w:b/>
                <w:bCs/>
                <w:noProof/>
                <w:sz w:val="16"/>
                <w:szCs w:val="16"/>
                <w:lang w:val="en-IE"/>
              </w:rPr>
              <w:footnoteReference w:id="201"/>
            </w:r>
          </w:p>
        </w:tc>
        <w:tc>
          <w:tcPr>
            <w:tcW w:w="2126" w:type="dxa"/>
            <w:vAlign w:val="center"/>
          </w:tcPr>
          <w:p w14:paraId="4479CE2C" w14:textId="3CFE6731" w:rsidR="3D2B6CA7" w:rsidRPr="003B11BD" w:rsidRDefault="3D2B6CA7" w:rsidP="00611FC5">
            <w:pPr>
              <w:tabs>
                <w:tab w:val="left" w:pos="720"/>
              </w:tabs>
              <w:spacing w:after="0"/>
              <w:jc w:val="center"/>
              <w:rPr>
                <w:rFonts w:ascii="Arial" w:hAnsi="Arial" w:cs="Arial"/>
                <w:noProof/>
                <w:sz w:val="16"/>
                <w:szCs w:val="16"/>
                <w:lang w:val="en-IE"/>
              </w:rPr>
            </w:pPr>
            <w:r w:rsidRPr="003B11BD">
              <w:rPr>
                <w:rFonts w:ascii="Arial" w:eastAsia="Arial" w:hAnsi="Arial" w:cs="Arial"/>
                <w:b/>
                <w:bCs/>
                <w:noProof/>
                <w:sz w:val="16"/>
                <w:szCs w:val="16"/>
                <w:lang w:val="en-IE"/>
              </w:rPr>
              <w:t>Criteria for remuneration</w:t>
            </w:r>
          </w:p>
        </w:tc>
      </w:tr>
      <w:tr w:rsidR="3D2B6CA7" w:rsidRPr="003B11BD" w14:paraId="3855956E" w14:textId="77777777" w:rsidTr="34EF0D43">
        <w:trPr>
          <w:trHeight w:val="1460"/>
        </w:trPr>
        <w:tc>
          <w:tcPr>
            <w:tcW w:w="1105" w:type="dxa"/>
            <w:vAlign w:val="center"/>
          </w:tcPr>
          <w:p w14:paraId="77ADD386" w14:textId="6E07036C"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Austria</w:t>
            </w:r>
          </w:p>
        </w:tc>
        <w:tc>
          <w:tcPr>
            <w:tcW w:w="1026" w:type="dxa"/>
            <w:vAlign w:val="center"/>
          </w:tcPr>
          <w:p w14:paraId="5EAD8EE2" w14:textId="13616D12" w:rsidR="3D2B6CA7" w:rsidRPr="003B11BD" w:rsidRDefault="5F11862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990" w:type="dxa"/>
            <w:vAlign w:val="center"/>
          </w:tcPr>
          <w:p w14:paraId="359C7642" w14:textId="248EEC04" w:rsidR="3D2B6CA7" w:rsidRPr="003B11BD" w:rsidRDefault="5F11862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708" w:type="dxa"/>
            <w:vAlign w:val="center"/>
          </w:tcPr>
          <w:p w14:paraId="05B86D23" w14:textId="72F3CBC9" w:rsidR="3D2B6CA7" w:rsidRPr="003B11BD" w:rsidRDefault="5F11862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1382" w:type="dxa"/>
            <w:vAlign w:val="center"/>
          </w:tcPr>
          <w:p w14:paraId="352D48A9" w14:textId="21D771FE" w:rsidR="3D2B6CA7" w:rsidRPr="003B11BD" w:rsidRDefault="001349B9"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No</w:t>
            </w:r>
          </w:p>
        </w:tc>
        <w:tc>
          <w:tcPr>
            <w:tcW w:w="3853" w:type="dxa"/>
            <w:vAlign w:val="center"/>
          </w:tcPr>
          <w:p w14:paraId="5D41DEF7" w14:textId="3E6355AB" w:rsidR="16FACDF9" w:rsidRPr="003B11BD" w:rsidRDefault="16FACDF9"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6DB3CFA5" w14:textId="44FFAB79" w:rsidR="3D2B6CA7" w:rsidRPr="003B11BD" w:rsidRDefault="16FACDF9"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w:t>
            </w:r>
            <w:r w:rsidR="4CBA2A70" w:rsidRPr="003B11BD">
              <w:rPr>
                <w:rFonts w:ascii="Arial" w:eastAsia="Arial" w:hAnsi="Arial" w:cs="Arial"/>
                <w:noProof/>
                <w:color w:val="000000" w:themeColor="text1"/>
                <w:sz w:val="16"/>
                <w:szCs w:val="16"/>
                <w:lang w:val="en-IE"/>
              </w:rPr>
              <w:t>Appeal</w:t>
            </w:r>
            <w:r w:rsidR="3D2B6CA7" w:rsidRPr="003B11BD">
              <w:rPr>
                <w:rFonts w:ascii="Arial" w:eastAsia="Arial" w:hAnsi="Arial" w:cs="Arial"/>
                <w:noProof/>
                <w:color w:val="000000" w:themeColor="text1"/>
                <w:sz w:val="16"/>
                <w:szCs w:val="16"/>
                <w:lang w:val="en-IE"/>
              </w:rPr>
              <w:t xml:space="preserve"> to the Higher Regional Court of Vienna and (in exceptional cases) to the Austrian Supreme Court</w:t>
            </w:r>
            <w:r w:rsidR="1DAE2C86" w:rsidRPr="003B11BD">
              <w:rPr>
                <w:rFonts w:ascii="Arial" w:eastAsia="Arial" w:hAnsi="Arial" w:cs="Arial"/>
                <w:noProof/>
                <w:color w:val="000000" w:themeColor="text1"/>
                <w:sz w:val="16"/>
                <w:szCs w:val="16"/>
                <w:lang w:val="en-IE"/>
              </w:rPr>
              <w:t>)</w:t>
            </w:r>
          </w:p>
        </w:tc>
        <w:tc>
          <w:tcPr>
            <w:tcW w:w="2268" w:type="dxa"/>
            <w:vAlign w:val="center"/>
          </w:tcPr>
          <w:p w14:paraId="7DBDCB0B" w14:textId="33EF19B3" w:rsidR="3D2B6CA7" w:rsidRPr="003B11BD" w:rsidRDefault="3D2B6CA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Uncertain</w:t>
            </w:r>
          </w:p>
          <w:p w14:paraId="2DCE9CF7" w14:textId="2B936C76" w:rsidR="3D2B6CA7" w:rsidRPr="003B11BD" w:rsidRDefault="653EF60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w:t>
            </w:r>
            <w:r w:rsidR="32DC3375" w:rsidRPr="003B11BD">
              <w:rPr>
                <w:rFonts w:ascii="Arial" w:eastAsia="Arial" w:hAnsi="Arial" w:cs="Arial"/>
                <w:noProof/>
                <w:color w:val="000000" w:themeColor="text1"/>
                <w:sz w:val="16"/>
                <w:szCs w:val="16"/>
                <w:lang w:val="en-IE"/>
              </w:rPr>
              <w:t>The Austrian Patent Code does not foresee the specific possibility of a compulsory licence by way of a preliminary injunction b</w:t>
            </w:r>
            <w:r w:rsidR="38746AD9" w:rsidRPr="003B11BD">
              <w:rPr>
                <w:rFonts w:ascii="Arial" w:eastAsia="Arial" w:hAnsi="Arial" w:cs="Arial"/>
                <w:noProof/>
                <w:color w:val="000000" w:themeColor="text1"/>
                <w:sz w:val="16"/>
                <w:szCs w:val="16"/>
                <w:lang w:val="en-IE"/>
              </w:rPr>
              <w:t>ut</w:t>
            </w:r>
            <w:r w:rsidR="3D2B6CA7" w:rsidRPr="003B11BD">
              <w:rPr>
                <w:rFonts w:ascii="Arial" w:eastAsia="Arial" w:hAnsi="Arial" w:cs="Arial"/>
                <w:noProof/>
                <w:color w:val="000000" w:themeColor="text1"/>
                <w:sz w:val="16"/>
                <w:szCs w:val="16"/>
                <w:lang w:val="en-IE"/>
              </w:rPr>
              <w:t xml:space="preserve"> provides for an expedited decision before the Austrian Patent Office, in case a patented invention is needed in the public interest</w:t>
            </w:r>
            <w:r w:rsidR="1F21BD9D" w:rsidRPr="003B11BD">
              <w:rPr>
                <w:rFonts w:ascii="Arial" w:eastAsia="Arial" w:hAnsi="Arial" w:cs="Arial"/>
                <w:noProof/>
                <w:color w:val="000000" w:themeColor="text1"/>
                <w:sz w:val="16"/>
                <w:szCs w:val="16"/>
                <w:lang w:val="en-IE"/>
              </w:rPr>
              <w:t>)</w:t>
            </w:r>
          </w:p>
        </w:tc>
        <w:tc>
          <w:tcPr>
            <w:tcW w:w="1985" w:type="dxa"/>
            <w:vAlign w:val="center"/>
          </w:tcPr>
          <w:p w14:paraId="2D33C41F" w14:textId="33CACF9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Yes </w:t>
            </w:r>
          </w:p>
          <w:p w14:paraId="010E0040" w14:textId="3DC5E514"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w:t>
            </w:r>
            <w:r w:rsidR="546AA5E1" w:rsidRPr="003B11BD">
              <w:rPr>
                <w:rFonts w:ascii="Arial" w:eastAsia="Arial" w:hAnsi="Arial" w:cs="Arial"/>
                <w:noProof/>
                <w:color w:val="000000" w:themeColor="text1"/>
                <w:sz w:val="16"/>
                <w:szCs w:val="16"/>
                <w:lang w:val="en-IE"/>
              </w:rPr>
              <w:t>Four</w:t>
            </w:r>
            <w:r w:rsidRPr="003B11BD">
              <w:rPr>
                <w:rFonts w:ascii="Arial" w:eastAsia="Arial" w:hAnsi="Arial" w:cs="Arial"/>
                <w:noProof/>
                <w:color w:val="000000" w:themeColor="text1"/>
                <w:sz w:val="16"/>
                <w:szCs w:val="16"/>
                <w:lang w:val="en-IE"/>
              </w:rPr>
              <w:t xml:space="preserve"> years after application date or three years after grant date</w:t>
            </w:r>
            <w:r w:rsidR="5B8EE524" w:rsidRPr="003B11BD">
              <w:rPr>
                <w:rFonts w:ascii="Arial" w:eastAsia="Arial" w:hAnsi="Arial" w:cs="Arial"/>
                <w:noProof/>
                <w:color w:val="000000" w:themeColor="text1"/>
                <w:sz w:val="16"/>
                <w:szCs w:val="16"/>
                <w:lang w:val="en-IE"/>
              </w:rPr>
              <w:t xml:space="preserve"> if </w:t>
            </w:r>
            <w:r w:rsidR="2681D680" w:rsidRPr="003B11BD">
              <w:rPr>
                <w:rFonts w:ascii="Arial" w:eastAsia="Arial" w:hAnsi="Arial" w:cs="Arial"/>
                <w:noProof/>
                <w:color w:val="000000" w:themeColor="text1"/>
                <w:sz w:val="16"/>
                <w:szCs w:val="16"/>
                <w:lang w:val="en-IE"/>
              </w:rPr>
              <w:t xml:space="preserve">the </w:t>
            </w:r>
            <w:r w:rsidR="5B8EE524" w:rsidRPr="003B11BD">
              <w:rPr>
                <w:rFonts w:ascii="Arial" w:eastAsia="Arial" w:hAnsi="Arial" w:cs="Arial"/>
                <w:noProof/>
                <w:color w:val="000000" w:themeColor="text1"/>
                <w:sz w:val="16"/>
                <w:szCs w:val="16"/>
                <w:lang w:val="en-IE"/>
              </w:rPr>
              <w:t>patented invention is not exploited to an appropriate extent</w:t>
            </w:r>
            <w:r w:rsidRPr="003B11BD">
              <w:rPr>
                <w:rFonts w:ascii="Arial" w:eastAsia="Arial" w:hAnsi="Arial" w:cs="Arial"/>
                <w:noProof/>
                <w:color w:val="000000" w:themeColor="text1"/>
                <w:sz w:val="16"/>
                <w:szCs w:val="16"/>
                <w:lang w:val="en-IE"/>
              </w:rPr>
              <w:t>).</w:t>
            </w:r>
          </w:p>
        </w:tc>
        <w:tc>
          <w:tcPr>
            <w:tcW w:w="2126" w:type="dxa"/>
            <w:vAlign w:val="center"/>
          </w:tcPr>
          <w:p w14:paraId="5EDEEC79" w14:textId="53FD77C8" w:rsidR="4F98D886" w:rsidRPr="003B11BD" w:rsidRDefault="4F98D886"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E972382" w14:textId="5295D69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Appropriate remuneration determined by the Austrian PO </w:t>
            </w:r>
            <w:r w:rsidR="6EB11EB0" w:rsidRPr="003B11BD">
              <w:rPr>
                <w:rFonts w:ascii="Arial" w:eastAsia="Arial" w:hAnsi="Arial" w:cs="Arial"/>
                <w:noProof/>
                <w:color w:val="000000" w:themeColor="text1"/>
                <w:sz w:val="16"/>
                <w:szCs w:val="16"/>
                <w:lang w:val="en-IE"/>
              </w:rPr>
              <w:t>considering</w:t>
            </w:r>
            <w:r w:rsidR="01330C60" w:rsidRPr="003B11BD">
              <w:rPr>
                <w:rFonts w:ascii="Arial" w:eastAsia="Arial" w:hAnsi="Arial" w:cs="Arial"/>
                <w:noProof/>
                <w:color w:val="000000" w:themeColor="text1"/>
                <w:sz w:val="16"/>
                <w:szCs w:val="16"/>
                <w:lang w:val="en-IE"/>
              </w:rPr>
              <w:t xml:space="preserve"> the economic value of the licence </w:t>
            </w:r>
            <w:r w:rsidRPr="003B11BD">
              <w:rPr>
                <w:rFonts w:ascii="Arial" w:eastAsia="Arial" w:hAnsi="Arial" w:cs="Arial"/>
                <w:noProof/>
                <w:color w:val="000000" w:themeColor="text1"/>
                <w:sz w:val="16"/>
                <w:szCs w:val="16"/>
                <w:lang w:val="en-IE"/>
              </w:rPr>
              <w:t>(section 37</w:t>
            </w:r>
            <w:r w:rsidR="6CD9D3B5" w:rsidRPr="003B11BD">
              <w:rPr>
                <w:rFonts w:ascii="Arial" w:eastAsia="Arial" w:hAnsi="Arial" w:cs="Arial"/>
                <w:noProof/>
                <w:color w:val="000000" w:themeColor="text1"/>
                <w:sz w:val="16"/>
                <w:szCs w:val="16"/>
                <w:lang w:val="en-IE"/>
              </w:rPr>
              <w:t>.1</w:t>
            </w:r>
            <w:r w:rsidRPr="003B11BD" w:rsidDel="3D2B6CA7">
              <w:rPr>
                <w:rFonts w:ascii="Arial" w:eastAsia="Arial" w:hAnsi="Arial" w:cs="Arial"/>
                <w:noProof/>
                <w:color w:val="000000" w:themeColor="text1"/>
                <w:sz w:val="16"/>
                <w:szCs w:val="16"/>
                <w:lang w:val="en-IE"/>
              </w:rPr>
              <w:t xml:space="preserve"> </w:t>
            </w:r>
            <w:r w:rsidRPr="003B11BD">
              <w:rPr>
                <w:rFonts w:ascii="Arial" w:eastAsia="Arial" w:hAnsi="Arial" w:cs="Arial"/>
                <w:noProof/>
                <w:color w:val="000000" w:themeColor="text1"/>
                <w:sz w:val="16"/>
                <w:szCs w:val="16"/>
                <w:lang w:val="en-IE"/>
              </w:rPr>
              <w:t>Pat</w:t>
            </w:r>
            <w:r w:rsidR="1E7EBEF3" w:rsidRPr="003B11BD">
              <w:rPr>
                <w:rFonts w:ascii="Arial" w:eastAsia="Arial" w:hAnsi="Arial" w:cs="Arial"/>
                <w:noProof/>
                <w:color w:val="000000" w:themeColor="text1"/>
                <w:sz w:val="16"/>
                <w:szCs w:val="16"/>
                <w:lang w:val="en-IE"/>
              </w:rPr>
              <w:t>ent Code</w:t>
            </w:r>
            <w:r w:rsidRPr="003B11BD">
              <w:rPr>
                <w:rFonts w:ascii="Arial" w:eastAsia="Arial" w:hAnsi="Arial" w:cs="Arial"/>
                <w:noProof/>
                <w:color w:val="000000" w:themeColor="text1"/>
                <w:sz w:val="16"/>
                <w:szCs w:val="16"/>
                <w:lang w:val="en-IE"/>
              </w:rPr>
              <w:t>).</w:t>
            </w:r>
          </w:p>
        </w:tc>
      </w:tr>
      <w:tr w:rsidR="3D2B6CA7" w:rsidRPr="003B11BD" w14:paraId="6BE4AEF4" w14:textId="77777777" w:rsidTr="34EF0D43">
        <w:tc>
          <w:tcPr>
            <w:tcW w:w="1105" w:type="dxa"/>
            <w:vAlign w:val="center"/>
          </w:tcPr>
          <w:p w14:paraId="68FD44A8" w14:textId="3D5EA65B"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Belgium</w:t>
            </w:r>
          </w:p>
        </w:tc>
        <w:tc>
          <w:tcPr>
            <w:tcW w:w="1026" w:type="dxa"/>
            <w:vAlign w:val="center"/>
          </w:tcPr>
          <w:p w14:paraId="30BFC597" w14:textId="0861EC4B" w:rsidR="3D2B6CA7" w:rsidRPr="003B11BD" w:rsidRDefault="17DA7E2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990" w:type="dxa"/>
            <w:vAlign w:val="center"/>
          </w:tcPr>
          <w:p w14:paraId="3D2D64C5" w14:textId="428A5B30" w:rsidR="3D2B6CA7" w:rsidRPr="003B11BD" w:rsidRDefault="17DA7E2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708" w:type="dxa"/>
            <w:vAlign w:val="center"/>
          </w:tcPr>
          <w:p w14:paraId="3F5DFE18" w14:textId="5FB7A50A" w:rsidR="3D2B6CA7" w:rsidRPr="003B11BD" w:rsidRDefault="17DA7E2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1382" w:type="dxa"/>
            <w:vAlign w:val="center"/>
          </w:tcPr>
          <w:p w14:paraId="6D91749F" w14:textId="571BCBD1" w:rsidR="3D2B6CA7" w:rsidRPr="003B11BD" w:rsidRDefault="17DA7E2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3853" w:type="dxa"/>
            <w:vAlign w:val="center"/>
          </w:tcPr>
          <w:p w14:paraId="023B28C7" w14:textId="0E4303A8" w:rsidR="2074E0C9" w:rsidRPr="003B11BD" w:rsidRDefault="2074E0C9"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057711DF" w14:textId="6708DE42" w:rsidR="3D2B6CA7" w:rsidRPr="003B11BD" w:rsidRDefault="2074E0C9"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w:t>
            </w:r>
            <w:r w:rsidR="1202CEA1" w:rsidRPr="003B11BD">
              <w:rPr>
                <w:rFonts w:ascii="Arial" w:eastAsia="Arial" w:hAnsi="Arial" w:cs="Arial"/>
                <w:noProof/>
                <w:color w:val="000000" w:themeColor="text1"/>
                <w:sz w:val="16"/>
                <w:szCs w:val="16"/>
                <w:lang w:val="en-IE"/>
              </w:rPr>
              <w:t>A</w:t>
            </w:r>
            <w:r w:rsidR="4CBA2A70" w:rsidRPr="003B11BD">
              <w:rPr>
                <w:rFonts w:ascii="Arial" w:eastAsia="Arial" w:hAnsi="Arial" w:cs="Arial"/>
                <w:noProof/>
                <w:color w:val="000000" w:themeColor="text1"/>
                <w:sz w:val="16"/>
                <w:szCs w:val="16"/>
                <w:lang w:val="en-IE"/>
              </w:rPr>
              <w:t>dministrative</w:t>
            </w:r>
            <w:r w:rsidR="3D2B6CA7" w:rsidRPr="003B11BD">
              <w:rPr>
                <w:rFonts w:ascii="Arial" w:eastAsia="Arial" w:hAnsi="Arial" w:cs="Arial"/>
                <w:noProof/>
                <w:color w:val="000000" w:themeColor="text1"/>
                <w:sz w:val="16"/>
                <w:szCs w:val="16"/>
                <w:lang w:val="en-IE"/>
              </w:rPr>
              <w:t xml:space="preserve"> appeal for annulment of the decision can be introduced before the Council of State</w:t>
            </w:r>
            <w:r w:rsidR="5907272D" w:rsidRPr="003B11BD">
              <w:rPr>
                <w:rFonts w:ascii="Arial" w:eastAsia="Arial" w:hAnsi="Arial" w:cs="Arial"/>
                <w:noProof/>
                <w:color w:val="000000" w:themeColor="text1"/>
                <w:sz w:val="16"/>
                <w:szCs w:val="16"/>
                <w:lang w:val="en-IE"/>
              </w:rPr>
              <w:t>)</w:t>
            </w:r>
          </w:p>
        </w:tc>
        <w:tc>
          <w:tcPr>
            <w:tcW w:w="2268" w:type="dxa"/>
            <w:vAlign w:val="center"/>
          </w:tcPr>
          <w:p w14:paraId="7D6E24E2" w14:textId="22D2E103" w:rsidR="3D2B6CA7" w:rsidRPr="003B11BD" w:rsidRDefault="42BE9E69"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1985" w:type="dxa"/>
            <w:vAlign w:val="center"/>
          </w:tcPr>
          <w:p w14:paraId="2A3CBB75" w14:textId="2A5663F0" w:rsidR="3D2B6CA7" w:rsidRPr="003B11BD" w:rsidRDefault="7479AB58" w:rsidP="6EA2843C">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68B5809E" w14:textId="648A31F0" w:rsidR="3D2B6CA7" w:rsidRPr="003B11BD" w:rsidRDefault="7479AB58"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(Four years from the filing date of the patent application or three years from the grant date of the patent</w:t>
            </w:r>
            <w:r w:rsidR="180845F9" w:rsidRPr="003B11BD">
              <w:rPr>
                <w:rFonts w:ascii="Arial" w:eastAsia="Arial" w:hAnsi="Arial" w:cs="Arial"/>
                <w:noProof/>
                <w:color w:val="000000" w:themeColor="text1"/>
                <w:sz w:val="16"/>
                <w:szCs w:val="16"/>
                <w:lang w:val="en-IE"/>
              </w:rPr>
              <w:t xml:space="preserve"> in case there is a lack of exploitation)</w:t>
            </w:r>
            <w:r w:rsidRPr="003B11BD">
              <w:rPr>
                <w:rFonts w:ascii="Arial" w:eastAsia="Arial" w:hAnsi="Arial" w:cs="Arial"/>
                <w:noProof/>
                <w:color w:val="000000" w:themeColor="text1"/>
                <w:sz w:val="16"/>
                <w:szCs w:val="16"/>
                <w:lang w:val="en-IE"/>
              </w:rPr>
              <w:t xml:space="preserve"> </w:t>
            </w:r>
          </w:p>
        </w:tc>
        <w:tc>
          <w:tcPr>
            <w:tcW w:w="2126" w:type="dxa"/>
            <w:vAlign w:val="center"/>
          </w:tcPr>
          <w:p w14:paraId="683B286B" w14:textId="57BAFABF" w:rsidR="74B67DAF" w:rsidRPr="003B11BD" w:rsidRDefault="74B67DA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7B67AD7D" w14:textId="2E98B98D" w:rsidR="3D2B6CA7" w:rsidRPr="003B11BD" w:rsidRDefault="3D2B6CA7" w:rsidP="00611FC5">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Adequate remuneration to the patentee, taking the economic value of the licence into account.</w:t>
            </w:r>
          </w:p>
        </w:tc>
      </w:tr>
      <w:tr w:rsidR="3D2B6CA7" w:rsidRPr="003B11BD" w14:paraId="4F0D3C39" w14:textId="77777777" w:rsidTr="34EF0D43">
        <w:tc>
          <w:tcPr>
            <w:tcW w:w="1105" w:type="dxa"/>
            <w:vAlign w:val="center"/>
          </w:tcPr>
          <w:p w14:paraId="574FCEA7" w14:textId="33AE4EED"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Bulgaria</w:t>
            </w:r>
          </w:p>
        </w:tc>
        <w:tc>
          <w:tcPr>
            <w:tcW w:w="1026" w:type="dxa"/>
            <w:vAlign w:val="center"/>
          </w:tcPr>
          <w:p w14:paraId="250F6C82" w14:textId="5E1D549F" w:rsidR="3D2B6CA7" w:rsidRPr="003B11BD" w:rsidRDefault="03FA1D88"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990" w:type="dxa"/>
            <w:vAlign w:val="center"/>
          </w:tcPr>
          <w:p w14:paraId="7034119B" w14:textId="15852211" w:rsidR="3D2B6CA7" w:rsidRPr="003B11BD" w:rsidRDefault="03FA1D88"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708" w:type="dxa"/>
            <w:vAlign w:val="center"/>
          </w:tcPr>
          <w:p w14:paraId="53317AD6" w14:textId="5484F5F3" w:rsidR="3D2B6CA7" w:rsidRPr="003B11BD" w:rsidRDefault="03FA1D88"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1382" w:type="dxa"/>
            <w:vAlign w:val="center"/>
          </w:tcPr>
          <w:p w14:paraId="4957475E" w14:textId="291165E0" w:rsidR="3D2B6CA7" w:rsidRPr="003B11BD" w:rsidRDefault="609D53A3" w:rsidP="391FA418">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No</w:t>
            </w:r>
            <w:r w:rsidR="002B09FB" w:rsidRPr="003B11BD">
              <w:rPr>
                <w:rFonts w:ascii="Arial" w:eastAsia="Arial" w:hAnsi="Arial" w:cs="Arial"/>
                <w:noProof/>
                <w:color w:val="000000" w:themeColor="text1"/>
                <w:sz w:val="16"/>
                <w:szCs w:val="16"/>
                <w:lang w:val="en-IE"/>
              </w:rPr>
              <w:t xml:space="preserve"> </w:t>
            </w:r>
            <w:r w:rsidR="002B09FB" w:rsidRPr="003B11BD">
              <w:rPr>
                <w:rFonts w:eastAsia="Arial"/>
                <w:noProof/>
                <w:lang w:val="en-IE"/>
              </w:rPr>
              <w:br/>
            </w:r>
            <w:r w:rsidR="581E94E8" w:rsidRPr="003B11BD">
              <w:rPr>
                <w:rFonts w:ascii="Arial" w:eastAsia="Arial" w:hAnsi="Arial" w:cs="Arial"/>
                <w:noProof/>
                <w:color w:val="000000" w:themeColor="text1"/>
                <w:sz w:val="16"/>
                <w:szCs w:val="16"/>
                <w:lang w:val="en-IE"/>
              </w:rPr>
              <w:t>(</w:t>
            </w:r>
            <w:r w:rsidR="00270DAA" w:rsidRPr="003B11BD">
              <w:rPr>
                <w:rFonts w:ascii="Arial" w:eastAsia="Arial" w:hAnsi="Arial" w:cs="Arial"/>
                <w:noProof/>
                <w:color w:val="000000" w:themeColor="text1"/>
                <w:sz w:val="16"/>
                <w:szCs w:val="16"/>
                <w:lang w:val="en-IE"/>
              </w:rPr>
              <w:t xml:space="preserve">However, </w:t>
            </w:r>
            <w:r w:rsidR="041C7EF2" w:rsidRPr="003B11BD">
              <w:rPr>
                <w:rFonts w:ascii="Arial" w:eastAsia="Arial" w:hAnsi="Arial" w:cs="Arial"/>
                <w:noProof/>
                <w:color w:val="000000" w:themeColor="text1"/>
                <w:sz w:val="16"/>
                <w:szCs w:val="16"/>
                <w:lang w:val="en-IE"/>
              </w:rPr>
              <w:t>A</w:t>
            </w:r>
            <w:r w:rsidR="581E94E8" w:rsidRPr="003B11BD">
              <w:rPr>
                <w:rFonts w:ascii="Arial" w:eastAsia="Arial" w:hAnsi="Arial" w:cs="Arial"/>
                <w:noProof/>
                <w:color w:val="000000" w:themeColor="text1"/>
                <w:sz w:val="16"/>
                <w:szCs w:val="16"/>
                <w:lang w:val="en-IE"/>
              </w:rPr>
              <w:t>rt</w:t>
            </w:r>
            <w:r w:rsidR="7390A24E" w:rsidRPr="003B11BD">
              <w:rPr>
                <w:rFonts w:ascii="Arial" w:eastAsia="Arial" w:hAnsi="Arial" w:cs="Arial"/>
                <w:noProof/>
                <w:color w:val="000000" w:themeColor="text1"/>
                <w:sz w:val="16"/>
                <w:szCs w:val="16"/>
                <w:lang w:val="en-IE"/>
              </w:rPr>
              <w:t xml:space="preserve">. </w:t>
            </w:r>
            <w:r w:rsidR="581E94E8" w:rsidRPr="003B11BD">
              <w:rPr>
                <w:rFonts w:ascii="Arial" w:eastAsia="Arial" w:hAnsi="Arial" w:cs="Arial"/>
                <w:noProof/>
                <w:color w:val="000000" w:themeColor="text1"/>
                <w:sz w:val="16"/>
                <w:szCs w:val="16"/>
                <w:lang w:val="en-IE"/>
              </w:rPr>
              <w:t xml:space="preserve">9 </w:t>
            </w:r>
            <w:r w:rsidR="1DD876B4" w:rsidRPr="003B11BD">
              <w:rPr>
                <w:rFonts w:ascii="Arial" w:eastAsia="Arial" w:hAnsi="Arial" w:cs="Arial"/>
                <w:noProof/>
                <w:color w:val="000000" w:themeColor="text1"/>
                <w:sz w:val="16"/>
                <w:szCs w:val="16"/>
                <w:lang w:val="en-IE"/>
              </w:rPr>
              <w:t>Trade Secret Law</w:t>
            </w:r>
            <w:r w:rsidR="511FB124" w:rsidRPr="003B11BD">
              <w:rPr>
                <w:rFonts w:ascii="Arial" w:eastAsia="Arial" w:hAnsi="Arial" w:cs="Arial"/>
                <w:noProof/>
                <w:color w:val="000000" w:themeColor="text1"/>
                <w:sz w:val="16"/>
                <w:szCs w:val="16"/>
                <w:lang w:val="en-IE"/>
              </w:rPr>
              <w:t xml:space="preserve"> states</w:t>
            </w:r>
            <w:r w:rsidR="1DD876B4" w:rsidRPr="003B11BD">
              <w:rPr>
                <w:rFonts w:ascii="Arial" w:eastAsia="Arial" w:hAnsi="Arial" w:cs="Arial"/>
                <w:noProof/>
                <w:color w:val="000000" w:themeColor="text1"/>
                <w:sz w:val="16"/>
                <w:szCs w:val="16"/>
                <w:lang w:val="en-IE"/>
              </w:rPr>
              <w:t xml:space="preserve">: </w:t>
            </w:r>
            <w:r w:rsidR="581E94E8" w:rsidRPr="003B11BD">
              <w:rPr>
                <w:rFonts w:ascii="Arial" w:eastAsia="Arial" w:hAnsi="Arial" w:cs="Arial"/>
                <w:noProof/>
                <w:color w:val="000000" w:themeColor="text1"/>
                <w:sz w:val="16"/>
                <w:szCs w:val="16"/>
                <w:lang w:val="en-IE"/>
              </w:rPr>
              <w:t>“The acquisition, use or disclosure of a trade secret shall not be considered unlawful in the following cases [...] for the protection of an interest recognized by the law of the European Union or by the Bulgarian legislation</w:t>
            </w:r>
            <w:r w:rsidR="573090C8" w:rsidRPr="003B11BD">
              <w:rPr>
                <w:rFonts w:ascii="Arial" w:eastAsia="Arial" w:hAnsi="Arial" w:cs="Arial"/>
                <w:noProof/>
                <w:color w:val="000000" w:themeColor="text1"/>
                <w:sz w:val="16"/>
                <w:szCs w:val="16"/>
                <w:lang w:val="en-IE"/>
              </w:rPr>
              <w:t>.”)</w:t>
            </w:r>
          </w:p>
        </w:tc>
        <w:tc>
          <w:tcPr>
            <w:tcW w:w="3853" w:type="dxa"/>
            <w:vAlign w:val="center"/>
          </w:tcPr>
          <w:p w14:paraId="42C12E08" w14:textId="74B86134" w:rsidR="7A7D3FAF" w:rsidRPr="003B11BD" w:rsidRDefault="7A7D3FA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7436E72D" w14:textId="3389B043"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BPO decision may be appealed within three months of its announcement to the parties before the Sofia City Administrative Court. The decision of the Sofia City Administrative Court is subject to cassation before the Supreme Administrative Court, whose decision is final. The Sofia City Administrative Court and the Supreme Administrative Court may return the case back to the BPO for a new decision on the merits based on the court’s explicit instructions on the application of the law.</w:t>
            </w:r>
          </w:p>
        </w:tc>
        <w:tc>
          <w:tcPr>
            <w:tcW w:w="2268" w:type="dxa"/>
            <w:vAlign w:val="center"/>
          </w:tcPr>
          <w:p w14:paraId="5772FD7B" w14:textId="3CE6696A" w:rsidR="3D2B6CA7" w:rsidRPr="003B11BD" w:rsidRDefault="131C7C8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_ _</w:t>
            </w:r>
          </w:p>
        </w:tc>
        <w:tc>
          <w:tcPr>
            <w:tcW w:w="1985" w:type="dxa"/>
            <w:vAlign w:val="center"/>
          </w:tcPr>
          <w:p w14:paraId="7D4E6E4A" w14:textId="1A5A5425" w:rsidR="3D2B6CA7" w:rsidRPr="003B11BD" w:rsidRDefault="71E82C66" w:rsidP="163E1D89">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EAB0E8F" w14:textId="77777777" w:rsidR="002B09FB" w:rsidRPr="003B11BD" w:rsidRDefault="71E82C66" w:rsidP="002B09FB">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 xml:space="preserve">(The invention has not been exploited for a period of four years from the date of filing of the patent application or three years from the grant of the patent) </w:t>
            </w:r>
          </w:p>
          <w:p w14:paraId="5CD0FAF3" w14:textId="5A4186C3" w:rsidR="3D2B6CA7" w:rsidRPr="003B11BD" w:rsidRDefault="3D2B6CA7" w:rsidP="00611FC5">
            <w:pPr>
              <w:spacing w:after="0"/>
              <w:jc w:val="center"/>
              <w:rPr>
                <w:rFonts w:ascii="Arial" w:eastAsia="Arial" w:hAnsi="Arial" w:cs="Arial"/>
                <w:noProof/>
                <w:color w:val="000000" w:themeColor="text1"/>
                <w:sz w:val="16"/>
                <w:szCs w:val="16"/>
                <w:lang w:val="en-IE"/>
              </w:rPr>
            </w:pPr>
          </w:p>
        </w:tc>
        <w:tc>
          <w:tcPr>
            <w:tcW w:w="2126" w:type="dxa"/>
            <w:vAlign w:val="center"/>
          </w:tcPr>
          <w:p w14:paraId="37840D44" w14:textId="339BB45B" w:rsidR="1809532E" w:rsidRPr="003B11BD" w:rsidRDefault="7F590870"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616EA33D" w14:textId="288092EA" w:rsidR="3D2B6CA7" w:rsidRPr="003B11BD" w:rsidRDefault="3D2B6CA7" w:rsidP="00611FC5">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 xml:space="preserve">Art. 32(10) provides that the compulsory licensee shall owe the patent owner a </w:t>
            </w:r>
            <w:r w:rsidR="2B4B33E2" w:rsidRPr="003B11BD">
              <w:rPr>
                <w:rFonts w:ascii="Arial" w:eastAsia="Arial" w:hAnsi="Arial" w:cs="Arial"/>
                <w:noProof/>
                <w:color w:val="000000" w:themeColor="text1"/>
                <w:sz w:val="16"/>
                <w:szCs w:val="16"/>
                <w:lang w:val="en-IE"/>
              </w:rPr>
              <w:t>remuneration but</w:t>
            </w:r>
            <w:r w:rsidRPr="003B11BD">
              <w:rPr>
                <w:rFonts w:ascii="Arial" w:eastAsia="Arial" w:hAnsi="Arial" w:cs="Arial"/>
                <w:noProof/>
                <w:color w:val="000000" w:themeColor="text1"/>
                <w:sz w:val="16"/>
                <w:szCs w:val="16"/>
                <w:lang w:val="en-IE"/>
              </w:rPr>
              <w:t xml:space="preserve"> does not provide as to who determines it.</w:t>
            </w:r>
          </w:p>
        </w:tc>
      </w:tr>
      <w:tr w:rsidR="3D2B6CA7" w:rsidRPr="003B11BD" w14:paraId="73C2BEAE" w14:textId="77777777" w:rsidTr="34EF0D43">
        <w:tc>
          <w:tcPr>
            <w:tcW w:w="1105" w:type="dxa"/>
            <w:vAlign w:val="center"/>
          </w:tcPr>
          <w:p w14:paraId="1FFC89CB" w14:textId="67F435E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Croatia</w:t>
            </w:r>
          </w:p>
        </w:tc>
        <w:tc>
          <w:tcPr>
            <w:tcW w:w="1026" w:type="dxa"/>
            <w:vAlign w:val="center"/>
          </w:tcPr>
          <w:p w14:paraId="0B2963DE" w14:textId="76FA8B61"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990" w:type="dxa"/>
            <w:vAlign w:val="center"/>
          </w:tcPr>
          <w:p w14:paraId="7DE076F1" w14:textId="54789AC3"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5725E5E9" w14:textId="43DD27A3" w:rsidR="3D2B6CA7" w:rsidRPr="003B11BD" w:rsidRDefault="734A43BB"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1382" w:type="dxa"/>
            <w:vAlign w:val="center"/>
          </w:tcPr>
          <w:p w14:paraId="36E396D6" w14:textId="353DB32F" w:rsidR="3D2B6CA7" w:rsidRPr="003B11BD" w:rsidRDefault="734A43BB"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3853" w:type="dxa"/>
            <w:vAlign w:val="center"/>
          </w:tcPr>
          <w:p w14:paraId="6152726E" w14:textId="05200A7F" w:rsidR="46847E6B" w:rsidRPr="003B11BD" w:rsidRDefault="46847E6B"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413E3C4" w14:textId="3266943C"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decisions of the court issued in the procedures for the grant of a compulsory licence may be appealed in accordance with the rules laid down in the Act on Civil Proceedings. The High Commercial Court has jurisdiction on appeal.</w:t>
            </w:r>
          </w:p>
        </w:tc>
        <w:tc>
          <w:tcPr>
            <w:tcW w:w="2268" w:type="dxa"/>
            <w:vAlign w:val="center"/>
          </w:tcPr>
          <w:p w14:paraId="24E66859" w14:textId="6F5502AE" w:rsidR="3D2B6CA7" w:rsidRPr="003B11BD" w:rsidRDefault="50EB16B4"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_ _</w:t>
            </w:r>
          </w:p>
        </w:tc>
        <w:tc>
          <w:tcPr>
            <w:tcW w:w="1985" w:type="dxa"/>
            <w:vAlign w:val="center"/>
          </w:tcPr>
          <w:p w14:paraId="1FDDC152" w14:textId="4DC93CA2" w:rsidR="3D2B6CA7" w:rsidRPr="003B11BD" w:rsidRDefault="5B079512" w:rsidP="3AE64D6D">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5BD36B94" w14:textId="26D8D15C" w:rsidR="3D2B6CA7" w:rsidRPr="003B11BD" w:rsidRDefault="5B079512"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(Lack of exploitation: after the expiration of a period of four years from the filing date of a patent application, or after the expiration of three years from the date the patent was granted)</w:t>
            </w:r>
            <w:r w:rsidR="5E1DF4E3" w:rsidRPr="003B11BD">
              <w:rPr>
                <w:rFonts w:ascii="Arial" w:eastAsia="Arial" w:hAnsi="Arial" w:cs="Arial"/>
                <w:noProof/>
                <w:color w:val="000000" w:themeColor="text1"/>
                <w:sz w:val="16"/>
                <w:szCs w:val="16"/>
                <w:lang w:val="en-IE"/>
              </w:rPr>
              <w:t xml:space="preserve"> </w:t>
            </w:r>
          </w:p>
        </w:tc>
        <w:tc>
          <w:tcPr>
            <w:tcW w:w="2126" w:type="dxa"/>
            <w:vAlign w:val="center"/>
          </w:tcPr>
          <w:p w14:paraId="7783CC62" w14:textId="7C2612A0" w:rsidR="75B19345" w:rsidRPr="003B11BD" w:rsidRDefault="75B19345"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0BCF1C10" w14:textId="4BA3ADD4"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Taking into account the economic value of the authorisation and need to correct anti-competitive practice (Art. 69(5) PA).</w:t>
            </w:r>
          </w:p>
        </w:tc>
      </w:tr>
      <w:tr w:rsidR="3D2B6CA7" w:rsidRPr="003B11BD" w14:paraId="117F605C" w14:textId="77777777" w:rsidTr="34EF0D43">
        <w:tc>
          <w:tcPr>
            <w:tcW w:w="1105" w:type="dxa"/>
            <w:vAlign w:val="center"/>
          </w:tcPr>
          <w:p w14:paraId="7786408E" w14:textId="129DF98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Cyprus</w:t>
            </w:r>
          </w:p>
        </w:tc>
        <w:tc>
          <w:tcPr>
            <w:tcW w:w="1026" w:type="dxa"/>
            <w:vAlign w:val="center"/>
          </w:tcPr>
          <w:p w14:paraId="3C8B444C" w14:textId="58B12FAC" w:rsidR="3D2B6CA7" w:rsidRPr="003B11BD" w:rsidRDefault="2E813DE2"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19775DC3" w14:textId="386049CF" w:rsidR="3D2B6CA7" w:rsidRPr="003B11BD" w:rsidRDefault="2E813DE2"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53342223" w14:textId="2E6B1FDF" w:rsidR="3D2B6CA7" w:rsidRPr="003B11BD" w:rsidRDefault="2E813DE2"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53901B57" w14:textId="77131955" w:rsidR="3D2B6CA7" w:rsidRPr="003B11BD" w:rsidRDefault="2E813DE2"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3A3B209D" w14:textId="1803B4DE" w:rsidR="00FD97BA" w:rsidRPr="003B11BD" w:rsidRDefault="00FD97BA"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A5DE5AC" w14:textId="45A8E16F"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Registrar’s decision may be referred to the Administrative Court for review and the decision of the Administrative Court may be appealed before the Supreme Court panel of three Supreme Court judges.</w:t>
            </w:r>
          </w:p>
        </w:tc>
        <w:tc>
          <w:tcPr>
            <w:tcW w:w="2268" w:type="dxa"/>
            <w:vAlign w:val="center"/>
          </w:tcPr>
          <w:p w14:paraId="69497902" w14:textId="2EAE5421" w:rsidR="3D2B6CA7" w:rsidRPr="003B11BD" w:rsidRDefault="64F2ED87" w:rsidP="00611FC5">
            <w:pPr>
              <w:spacing w:after="0"/>
              <w:jc w:val="center"/>
              <w:rPr>
                <w:rFonts w:ascii="Arial" w:hAnsi="Arial" w:cs="Arial"/>
                <w:noProof/>
                <w:sz w:val="16"/>
                <w:szCs w:val="16"/>
                <w:lang w:val="en-IE"/>
              </w:rPr>
            </w:pPr>
            <w:r w:rsidRPr="003B11BD">
              <w:rPr>
                <w:rFonts w:ascii="Arial" w:hAnsi="Arial" w:cs="Arial"/>
                <w:noProof/>
                <w:sz w:val="16"/>
                <w:szCs w:val="16"/>
                <w:lang w:val="en-IE"/>
              </w:rPr>
              <w:t>_ _</w:t>
            </w:r>
          </w:p>
        </w:tc>
        <w:tc>
          <w:tcPr>
            <w:tcW w:w="1985" w:type="dxa"/>
            <w:vAlign w:val="center"/>
          </w:tcPr>
          <w:p w14:paraId="5468BF79" w14:textId="13E9577C" w:rsidR="3D2B6CA7" w:rsidRPr="003B11BD" w:rsidRDefault="2B1A856D" w:rsidP="79623971">
            <w:pPr>
              <w:spacing w:after="0"/>
              <w:jc w:val="center"/>
              <w:rPr>
                <w:rFonts w:ascii="Arial" w:eastAsia="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36EB6370" w14:textId="2913776C" w:rsidR="3D2B6CA7" w:rsidRPr="003B11BD" w:rsidRDefault="2B1A856D" w:rsidP="00611FC5">
            <w:pPr>
              <w:spacing w:after="0"/>
              <w:jc w:val="center"/>
              <w:rPr>
                <w:rFonts w:ascii="Arial" w:eastAsia="Arial" w:hAnsi="Arial" w:cs="Arial"/>
                <w:noProof/>
                <w:sz w:val="16"/>
                <w:szCs w:val="16"/>
                <w:lang w:val="en-IE"/>
              </w:rPr>
            </w:pPr>
            <w:r w:rsidRPr="003B11BD">
              <w:rPr>
                <w:rFonts w:ascii="Arial" w:eastAsia="Arial" w:hAnsi="Arial" w:cs="Arial"/>
                <w:noProof/>
                <w:color w:val="000000" w:themeColor="text1"/>
                <w:sz w:val="16"/>
                <w:szCs w:val="16"/>
                <w:lang w:val="en-IE"/>
              </w:rPr>
              <w:t>(</w:t>
            </w:r>
            <w:r w:rsidR="61D8BAF5" w:rsidRPr="003B11BD">
              <w:rPr>
                <w:rFonts w:ascii="Arial" w:eastAsia="Arial" w:hAnsi="Arial" w:cs="Arial"/>
                <w:noProof/>
                <w:color w:val="000000" w:themeColor="text1"/>
                <w:sz w:val="16"/>
                <w:szCs w:val="16"/>
                <w:lang w:val="en-IE"/>
              </w:rPr>
              <w:t>Any</w:t>
            </w:r>
            <w:r w:rsidRPr="003B11BD">
              <w:rPr>
                <w:rFonts w:ascii="Arial" w:eastAsia="Arial" w:hAnsi="Arial" w:cs="Arial"/>
                <w:noProof/>
                <w:color w:val="000000" w:themeColor="text1"/>
                <w:sz w:val="16"/>
                <w:szCs w:val="16"/>
                <w:lang w:val="en-IE"/>
              </w:rPr>
              <w:t xml:space="preserve"> time after the expiration of four years from the date of the grant of a patent </w:t>
            </w:r>
            <w:r w:rsidR="3C6C5518" w:rsidRPr="003B11BD">
              <w:rPr>
                <w:rFonts w:ascii="Arial" w:eastAsia="Arial" w:hAnsi="Arial" w:cs="Arial"/>
                <w:noProof/>
                <w:color w:val="000000" w:themeColor="text1"/>
                <w:sz w:val="16"/>
                <w:szCs w:val="16"/>
                <w:lang w:val="en-IE"/>
              </w:rPr>
              <w:t>– Art. 49 Patent Laws)</w:t>
            </w:r>
            <w:r w:rsidRPr="003B11BD">
              <w:rPr>
                <w:rFonts w:ascii="Arial" w:eastAsia="Arial" w:hAnsi="Arial" w:cs="Arial"/>
                <w:noProof/>
                <w:color w:val="000000" w:themeColor="text1"/>
                <w:sz w:val="16"/>
                <w:szCs w:val="16"/>
                <w:lang w:val="en-IE"/>
              </w:rPr>
              <w:t xml:space="preserve"> </w:t>
            </w:r>
          </w:p>
        </w:tc>
        <w:tc>
          <w:tcPr>
            <w:tcW w:w="2126" w:type="dxa"/>
            <w:vAlign w:val="center"/>
          </w:tcPr>
          <w:p w14:paraId="04ED6962" w14:textId="33E0C44A" w:rsidR="3023AE51" w:rsidRPr="003B11BD" w:rsidRDefault="3023AE51"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7DDE1A5" w14:textId="12610A0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Reasonable remuneration according to the nature of the invention and the economic value of the authorisation.</w:t>
            </w:r>
          </w:p>
        </w:tc>
      </w:tr>
      <w:tr w:rsidR="3D2B6CA7" w:rsidRPr="003B11BD" w14:paraId="1A8A6AF1" w14:textId="77777777" w:rsidTr="34EF0D43">
        <w:tc>
          <w:tcPr>
            <w:tcW w:w="1105" w:type="dxa"/>
            <w:vAlign w:val="center"/>
          </w:tcPr>
          <w:p w14:paraId="2A8AB29B" w14:textId="2E90D7AB"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Czech Republic</w:t>
            </w:r>
          </w:p>
        </w:tc>
        <w:tc>
          <w:tcPr>
            <w:tcW w:w="1026" w:type="dxa"/>
            <w:vAlign w:val="center"/>
          </w:tcPr>
          <w:p w14:paraId="31C7D563" w14:textId="06A1C251" w:rsidR="3D2B6CA7" w:rsidRPr="003B11BD" w:rsidRDefault="7471E1BF"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26487305" w14:textId="772B759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6283DB58" w14:textId="2356B74F" w:rsidR="3D2B6CA7" w:rsidRPr="003B11BD" w:rsidRDefault="16568AC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44E9DF92" w14:textId="58D28642" w:rsidR="3D2B6CA7" w:rsidRPr="003B11BD" w:rsidRDefault="16568AC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23366A13" w14:textId="3EA47E71" w:rsidR="17FB1A14" w:rsidRPr="003B11BD" w:rsidRDefault="17FB1A14"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42586BAE" w14:textId="727D062E"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 on grant or rejection of the compulsory licence may be appealed within one month to the President of the Office. The appellate decision may be subject to administrative review relating to all factual and legal aspects before the Prague City Court. The judgment of the Prague City Court may be challenged in a cassation complaint with the Czech Supreme Administrative Court.</w:t>
            </w:r>
          </w:p>
        </w:tc>
        <w:tc>
          <w:tcPr>
            <w:tcW w:w="2268" w:type="dxa"/>
            <w:vAlign w:val="center"/>
          </w:tcPr>
          <w:p w14:paraId="1ABCD495" w14:textId="12F519EA" w:rsidR="3D2B6CA7" w:rsidRPr="003B11BD" w:rsidRDefault="7752442B" w:rsidP="00611FC5">
            <w:pPr>
              <w:spacing w:after="0"/>
              <w:jc w:val="center"/>
              <w:rPr>
                <w:rFonts w:ascii="Arial" w:hAnsi="Arial" w:cs="Arial"/>
                <w:noProof/>
                <w:sz w:val="16"/>
                <w:szCs w:val="16"/>
                <w:lang w:val="en-IE"/>
              </w:rPr>
            </w:pPr>
            <w:r w:rsidRPr="003B11BD">
              <w:rPr>
                <w:rFonts w:ascii="Arial" w:hAnsi="Arial" w:cs="Arial"/>
                <w:noProof/>
                <w:sz w:val="16"/>
                <w:szCs w:val="16"/>
                <w:lang w:val="en-IE"/>
              </w:rPr>
              <w:t>_ _</w:t>
            </w:r>
          </w:p>
        </w:tc>
        <w:tc>
          <w:tcPr>
            <w:tcW w:w="1985" w:type="dxa"/>
            <w:vAlign w:val="center"/>
          </w:tcPr>
          <w:p w14:paraId="0035AAD2" w14:textId="67736AD6" w:rsidR="3D2B6CA7" w:rsidRPr="003B11BD" w:rsidRDefault="4D03FA64" w:rsidP="1CDAC136">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02CC7060" w14:textId="1D084FB0" w:rsidR="3D2B6CA7" w:rsidRPr="003B11BD" w:rsidRDefault="4D03FA64"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 xml:space="preserve">(In case of an insufficient use of the invention, a compulsory licence cannot be granted before four years from patent application filing date or three years from the grant) </w:t>
            </w:r>
          </w:p>
        </w:tc>
        <w:tc>
          <w:tcPr>
            <w:tcW w:w="2126" w:type="dxa"/>
            <w:vAlign w:val="center"/>
          </w:tcPr>
          <w:p w14:paraId="15738B1E" w14:textId="6F063A4A" w:rsidR="27969C76" w:rsidRPr="003B11BD" w:rsidRDefault="27969C76"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0998D492" w14:textId="4E9DE715"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grant of a compulsory license shall not affect the right of the proprietor of the patent for the compensation of the value of the license. If the value of the license is not agreed by concerned parties it shall be determined, upon request, by the court, taking into account the importance of the invention and the value of the license contracts in the relevant technical field (Section 20.7).</w:t>
            </w:r>
          </w:p>
        </w:tc>
      </w:tr>
      <w:tr w:rsidR="3D2B6CA7" w:rsidRPr="003B11BD" w14:paraId="1E5E8E2C" w14:textId="77777777" w:rsidTr="34EF0D43">
        <w:tc>
          <w:tcPr>
            <w:tcW w:w="1105" w:type="dxa"/>
            <w:vAlign w:val="center"/>
          </w:tcPr>
          <w:p w14:paraId="3F62C34E" w14:textId="2CC12E58"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Denmark</w:t>
            </w:r>
          </w:p>
        </w:tc>
        <w:tc>
          <w:tcPr>
            <w:tcW w:w="1026" w:type="dxa"/>
            <w:vAlign w:val="center"/>
          </w:tcPr>
          <w:p w14:paraId="79960A51" w14:textId="5184DDF5" w:rsidR="3D2B6CA7" w:rsidRPr="003B11BD" w:rsidRDefault="3E84F341"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2353DEAE" w14:textId="632EBC9A" w:rsidR="3D2B6CA7" w:rsidRPr="003B11BD" w:rsidRDefault="3E84F341"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25D8AE9D" w14:textId="02C11F6D" w:rsidR="3D2B6CA7" w:rsidRPr="003B11BD" w:rsidRDefault="3E84F341"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4DDD00A8" w14:textId="239D0D8F" w:rsidR="3D2B6CA7" w:rsidRPr="003B11BD" w:rsidRDefault="3E84F341"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26AB0B4A" w14:textId="05200A7F" w:rsidR="536154E2" w:rsidRPr="003B11BD" w:rsidRDefault="536154E2"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47A9A716" w14:textId="2C1A9EB8"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Decisions delivered by the Maritime and Commercial High Court or the district court can be appealed to the Eastern or Western High Court, or the Supreme Court (Danish Administration of Justice Act, Sections 368(1) and (4)). According to Section 368(4) of the Danish Administration of Justice Act, a decision delivered by the High Courts or the Maritime and Commercial High Court may be appealed to the Supreme Court if the outcome of the case is of fundamental legal importance and of general importance to the application and development of the law or has significant societal implications in general, or where there are other special reasons why the case should be heard before the Supreme Court.</w:t>
            </w:r>
          </w:p>
        </w:tc>
        <w:tc>
          <w:tcPr>
            <w:tcW w:w="2268" w:type="dxa"/>
            <w:vAlign w:val="center"/>
          </w:tcPr>
          <w:p w14:paraId="6F135953" w14:textId="668E1162" w:rsidR="3D2B6CA7" w:rsidRPr="003B11BD" w:rsidRDefault="7419CC99" w:rsidP="2203173C">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Uncertain</w:t>
            </w:r>
            <w:r w:rsidR="2C2F5D2B" w:rsidRPr="003B11BD">
              <w:rPr>
                <w:rStyle w:val="FootnoteReference"/>
                <w:rFonts w:ascii="Arial" w:eastAsia="Arial" w:hAnsi="Arial" w:cs="Arial"/>
                <w:noProof/>
                <w:color w:val="000000" w:themeColor="text1"/>
                <w:sz w:val="16"/>
                <w:szCs w:val="16"/>
                <w:lang w:val="en-IE"/>
              </w:rPr>
              <w:footnoteReference w:id="202"/>
            </w:r>
          </w:p>
          <w:p w14:paraId="67674382" w14:textId="03F71FF2" w:rsidR="3D2B6CA7" w:rsidRPr="003B11BD" w:rsidRDefault="3D2B6CA7" w:rsidP="00611FC5">
            <w:pPr>
              <w:spacing w:after="0"/>
              <w:jc w:val="center"/>
              <w:rPr>
                <w:rFonts w:ascii="Arial" w:hAnsi="Arial" w:cs="Arial"/>
                <w:noProof/>
                <w:sz w:val="16"/>
                <w:szCs w:val="16"/>
                <w:lang w:val="en-IE"/>
              </w:rPr>
            </w:pPr>
          </w:p>
        </w:tc>
        <w:tc>
          <w:tcPr>
            <w:tcW w:w="1985" w:type="dxa"/>
            <w:vAlign w:val="center"/>
          </w:tcPr>
          <w:p w14:paraId="021A594E" w14:textId="5BC73A7B" w:rsidR="3D2B6CA7" w:rsidRPr="003B11BD" w:rsidRDefault="014FB16F" w:rsidP="167D98B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B7703D0" w14:textId="2A7C5D9C" w:rsidR="3D2B6CA7" w:rsidRPr="003B11BD" w:rsidRDefault="014FB16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 xml:space="preserve">(In case the invention is not </w:t>
            </w:r>
            <w:r w:rsidR="4838297B" w:rsidRPr="003B11BD">
              <w:rPr>
                <w:rFonts w:ascii="Arial" w:eastAsia="Arial" w:hAnsi="Arial" w:cs="Arial"/>
                <w:noProof/>
                <w:color w:val="000000" w:themeColor="text1"/>
                <w:sz w:val="16"/>
                <w:szCs w:val="16"/>
                <w:lang w:val="en-IE"/>
              </w:rPr>
              <w:t>exercised</w:t>
            </w:r>
            <w:r w:rsidRPr="003B11BD">
              <w:rPr>
                <w:rFonts w:ascii="Arial" w:eastAsia="Arial" w:hAnsi="Arial" w:cs="Arial"/>
                <w:noProof/>
                <w:color w:val="000000" w:themeColor="text1"/>
                <w:sz w:val="16"/>
                <w:szCs w:val="16"/>
                <w:lang w:val="en-IE"/>
              </w:rPr>
              <w:t xml:space="preserve">, </w:t>
            </w:r>
            <w:r w:rsidR="57F97ED1" w:rsidRPr="003B11BD">
              <w:rPr>
                <w:rFonts w:ascii="Arial" w:eastAsia="Arial" w:hAnsi="Arial" w:cs="Arial"/>
                <w:noProof/>
                <w:color w:val="000000" w:themeColor="text1"/>
                <w:sz w:val="16"/>
                <w:szCs w:val="16"/>
                <w:lang w:val="en-IE"/>
              </w:rPr>
              <w:t xml:space="preserve">three years of the grant of the patent or </w:t>
            </w:r>
            <w:r w:rsidR="3D89B440" w:rsidRPr="003B11BD">
              <w:rPr>
                <w:rFonts w:ascii="Arial" w:eastAsia="Arial" w:hAnsi="Arial" w:cs="Arial"/>
                <w:noProof/>
                <w:color w:val="000000" w:themeColor="text1"/>
                <w:sz w:val="16"/>
                <w:szCs w:val="16"/>
                <w:lang w:val="en-IE"/>
              </w:rPr>
              <w:t>four</w:t>
            </w:r>
            <w:r w:rsidR="57F97ED1" w:rsidRPr="003B11BD">
              <w:rPr>
                <w:rFonts w:ascii="Arial" w:eastAsia="Arial" w:hAnsi="Arial" w:cs="Arial"/>
                <w:noProof/>
                <w:color w:val="000000" w:themeColor="text1"/>
                <w:sz w:val="16"/>
                <w:szCs w:val="16"/>
                <w:lang w:val="en-IE"/>
              </w:rPr>
              <w:t xml:space="preserve"> years from the filing of the patent application</w:t>
            </w:r>
            <w:r w:rsidR="1A952028" w:rsidRPr="003B11BD">
              <w:rPr>
                <w:rFonts w:ascii="Arial" w:eastAsia="Arial" w:hAnsi="Arial" w:cs="Arial"/>
                <w:noProof/>
                <w:color w:val="000000" w:themeColor="text1"/>
                <w:sz w:val="16"/>
                <w:szCs w:val="16"/>
                <w:lang w:val="en-IE"/>
              </w:rPr>
              <w:t>)</w:t>
            </w:r>
          </w:p>
        </w:tc>
        <w:tc>
          <w:tcPr>
            <w:tcW w:w="2126" w:type="dxa"/>
            <w:vAlign w:val="center"/>
          </w:tcPr>
          <w:p w14:paraId="10DE42E1" w14:textId="6216FF06" w:rsidR="0AB5293C" w:rsidRPr="003B11BD" w:rsidRDefault="0AB5293C"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B735C55" w14:textId="7A64FFE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Maritime and Commercial Court shall decide as the court of first instance whether a compulsory licence shall be granted and shall also determine the extent to which the invention may be exploited, fix the compensation and lay down the other terms of the compulsory licence (</w:t>
            </w:r>
            <w:r w:rsidR="002B09FB" w:rsidRPr="003B11BD">
              <w:rPr>
                <w:rFonts w:ascii="Arial" w:eastAsia="Arial" w:hAnsi="Arial" w:cs="Arial"/>
                <w:noProof/>
                <w:color w:val="000000" w:themeColor="text1"/>
                <w:sz w:val="16"/>
                <w:szCs w:val="16"/>
                <w:lang w:val="en-IE"/>
              </w:rPr>
              <w:t>Section</w:t>
            </w:r>
            <w:r w:rsidRPr="003B11BD">
              <w:rPr>
                <w:rFonts w:ascii="Arial" w:eastAsia="Arial" w:hAnsi="Arial" w:cs="Arial"/>
                <w:noProof/>
                <w:color w:val="000000" w:themeColor="text1"/>
                <w:sz w:val="16"/>
                <w:szCs w:val="16"/>
                <w:lang w:val="en-IE"/>
              </w:rPr>
              <w:t xml:space="preserve"> 50).</w:t>
            </w:r>
          </w:p>
        </w:tc>
      </w:tr>
      <w:tr w:rsidR="3D2B6CA7" w:rsidRPr="003B11BD" w14:paraId="7757DEE7" w14:textId="77777777" w:rsidTr="34EF0D43">
        <w:tc>
          <w:tcPr>
            <w:tcW w:w="1105" w:type="dxa"/>
            <w:vAlign w:val="center"/>
          </w:tcPr>
          <w:p w14:paraId="138E2013" w14:textId="477CFF5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Estonia</w:t>
            </w:r>
          </w:p>
        </w:tc>
        <w:tc>
          <w:tcPr>
            <w:tcW w:w="1026" w:type="dxa"/>
            <w:vAlign w:val="center"/>
          </w:tcPr>
          <w:p w14:paraId="0EF22E99" w14:textId="2E0E4134" w:rsidR="3D2B6CA7" w:rsidRPr="003B11BD" w:rsidRDefault="3BE09A49"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5B435405" w14:textId="2587F96E"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645B42C8" w14:textId="6C53E6DA" w:rsidR="3D2B6CA7" w:rsidRPr="003B11BD" w:rsidRDefault="09474B86"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28719F67" w14:textId="5BB700DA" w:rsidR="3D2B6CA7" w:rsidRPr="003B11BD" w:rsidRDefault="09474B86"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0EAE1417" w14:textId="3BB730B3" w:rsidR="3D2B6CA7" w:rsidRPr="003B11BD" w:rsidRDefault="01DC8046" w:rsidP="0E75211E">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5A72FF17" w14:textId="6C4EF7E0"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court decision granting or refusing a compulsory licence for an invention may be appealed first to the circuit court and further to the Supreme Court.</w:t>
            </w:r>
          </w:p>
        </w:tc>
        <w:tc>
          <w:tcPr>
            <w:tcW w:w="2268" w:type="dxa"/>
            <w:vAlign w:val="center"/>
          </w:tcPr>
          <w:p w14:paraId="5DA8704B" w14:textId="668E1162" w:rsidR="3D2B6CA7" w:rsidRPr="003B11BD" w:rsidRDefault="4748B30D"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_ _</w:t>
            </w:r>
          </w:p>
        </w:tc>
        <w:tc>
          <w:tcPr>
            <w:tcW w:w="1985" w:type="dxa"/>
            <w:vAlign w:val="center"/>
          </w:tcPr>
          <w:p w14:paraId="38F54048" w14:textId="5A4C6D2D" w:rsidR="3D2B6CA7" w:rsidRPr="003B11BD" w:rsidRDefault="021B2C11" w:rsidP="251CE932">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 xml:space="preserve">Yes </w:t>
            </w:r>
          </w:p>
          <w:p w14:paraId="5B374293" w14:textId="31B17F37" w:rsidR="3D2B6CA7" w:rsidRPr="003B11BD" w:rsidRDefault="021B2C11"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 xml:space="preserve">(Lack of use of the invention within three years from the publication of the notice concerning the grant of the patent or within four years from the </w:t>
            </w:r>
            <w:r w:rsidR="6A0E7853" w:rsidRPr="003B11BD">
              <w:rPr>
                <w:rFonts w:ascii="Arial" w:eastAsia="Arial" w:hAnsi="Arial" w:cs="Arial"/>
                <w:noProof/>
                <w:color w:val="000000" w:themeColor="text1"/>
                <w:sz w:val="16"/>
                <w:szCs w:val="16"/>
                <w:lang w:val="en-IE"/>
              </w:rPr>
              <w:t>fi</w:t>
            </w:r>
            <w:r w:rsidRPr="003B11BD">
              <w:rPr>
                <w:rFonts w:ascii="Arial" w:eastAsia="Arial" w:hAnsi="Arial" w:cs="Arial"/>
                <w:noProof/>
                <w:color w:val="000000" w:themeColor="text1"/>
                <w:sz w:val="16"/>
                <w:szCs w:val="16"/>
                <w:lang w:val="en-IE"/>
              </w:rPr>
              <w:t>ling of the patent application</w:t>
            </w:r>
            <w:r w:rsidR="57DCA263" w:rsidRPr="003B11BD">
              <w:rPr>
                <w:rFonts w:ascii="Arial" w:eastAsia="Arial" w:hAnsi="Arial" w:cs="Arial"/>
                <w:noProof/>
                <w:color w:val="000000" w:themeColor="text1"/>
                <w:sz w:val="16"/>
                <w:szCs w:val="16"/>
                <w:lang w:val="en-IE"/>
              </w:rPr>
              <w:t>)</w:t>
            </w:r>
            <w:r w:rsidRPr="003B11BD">
              <w:rPr>
                <w:rFonts w:ascii="Arial" w:eastAsia="Arial" w:hAnsi="Arial" w:cs="Arial"/>
                <w:noProof/>
                <w:color w:val="000000" w:themeColor="text1"/>
                <w:sz w:val="16"/>
                <w:szCs w:val="16"/>
                <w:lang w:val="en-IE"/>
              </w:rPr>
              <w:t xml:space="preserve"> </w:t>
            </w:r>
          </w:p>
        </w:tc>
        <w:tc>
          <w:tcPr>
            <w:tcW w:w="2126" w:type="dxa"/>
            <w:vAlign w:val="center"/>
          </w:tcPr>
          <w:p w14:paraId="28589574" w14:textId="5C5F6623"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 court shall determine the terms and conditions of the compulsory licence, including the extent and duration of the use of the invention and the amount and procedure for payment of the licence fee (Art. 47.3).</w:t>
            </w:r>
          </w:p>
        </w:tc>
      </w:tr>
      <w:tr w:rsidR="3D2B6CA7" w:rsidRPr="003B11BD" w14:paraId="1DE493EA" w14:textId="77777777" w:rsidTr="34EF0D43">
        <w:tc>
          <w:tcPr>
            <w:tcW w:w="1105" w:type="dxa"/>
            <w:vAlign w:val="center"/>
          </w:tcPr>
          <w:p w14:paraId="74D2DD02" w14:textId="6A4DB9C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Finland</w:t>
            </w:r>
          </w:p>
        </w:tc>
        <w:tc>
          <w:tcPr>
            <w:tcW w:w="1026" w:type="dxa"/>
            <w:vAlign w:val="center"/>
          </w:tcPr>
          <w:p w14:paraId="5EC1542F" w14:textId="2BB6969C" w:rsidR="3D2B6CA7" w:rsidRPr="003B11BD" w:rsidRDefault="43A7C676" w:rsidP="00611FC5">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Yes</w:t>
            </w:r>
            <w:r w:rsidR="001423E4" w:rsidRPr="003B11BD">
              <w:rPr>
                <w:rStyle w:val="FootnoteReference"/>
                <w:rFonts w:ascii="Arial" w:eastAsia="Arial" w:hAnsi="Arial" w:cs="Arial"/>
                <w:noProof/>
                <w:color w:val="000000" w:themeColor="text1"/>
                <w:sz w:val="16"/>
                <w:szCs w:val="16"/>
                <w:lang w:val="en-IE"/>
              </w:rPr>
              <w:footnoteReference w:id="203"/>
            </w:r>
          </w:p>
        </w:tc>
        <w:tc>
          <w:tcPr>
            <w:tcW w:w="990" w:type="dxa"/>
            <w:vAlign w:val="center"/>
          </w:tcPr>
          <w:p w14:paraId="32F04D9D" w14:textId="4DAEE98F" w:rsidR="3D2B6CA7" w:rsidRPr="003B11BD" w:rsidRDefault="3D2B6CA7" w:rsidP="59332BF4">
            <w:pPr>
              <w:spacing w:after="0"/>
              <w:jc w:val="center"/>
              <w:rPr>
                <w:rFonts w:ascii="Arial" w:hAnsi="Arial" w:cs="Arial"/>
                <w:noProof/>
                <w:sz w:val="16"/>
                <w:szCs w:val="16"/>
                <w:lang w:val="en-IE"/>
              </w:rPr>
            </w:pPr>
          </w:p>
          <w:p w14:paraId="447526C2" w14:textId="7C14BBDA" w:rsidR="3D2B6CA7" w:rsidRPr="003B11BD" w:rsidRDefault="393A45DD" w:rsidP="59332BF4">
            <w:pPr>
              <w:spacing w:after="0"/>
              <w:jc w:val="center"/>
              <w:rPr>
                <w:rFonts w:ascii="Arial" w:hAnsi="Arial" w:cs="Arial"/>
                <w:noProof/>
                <w:sz w:val="16"/>
                <w:szCs w:val="16"/>
                <w:lang w:val="en-IE"/>
              </w:rPr>
            </w:pPr>
            <w:r w:rsidRPr="003B11BD">
              <w:rPr>
                <w:rFonts w:ascii="Arial" w:hAnsi="Arial" w:cs="Arial"/>
                <w:noProof/>
                <w:sz w:val="16"/>
                <w:szCs w:val="16"/>
                <w:lang w:val="en-IE"/>
              </w:rPr>
              <w:t>Uncertain</w:t>
            </w:r>
          </w:p>
          <w:p w14:paraId="28BBC066" w14:textId="46A0A5CF" w:rsidR="3D2B6CA7" w:rsidRPr="003B11BD" w:rsidRDefault="393A45DD" w:rsidP="00611FC5">
            <w:pPr>
              <w:spacing w:after="0"/>
              <w:jc w:val="center"/>
              <w:rPr>
                <w:rFonts w:ascii="Arial" w:hAnsi="Arial" w:cs="Arial"/>
                <w:noProof/>
                <w:sz w:val="16"/>
                <w:szCs w:val="16"/>
                <w:lang w:val="en-IE"/>
              </w:rPr>
            </w:pPr>
            <w:r w:rsidRPr="003B11BD">
              <w:rPr>
                <w:rFonts w:ascii="Arial" w:hAnsi="Arial" w:cs="Arial"/>
                <w:noProof/>
                <w:sz w:val="16"/>
                <w:szCs w:val="16"/>
                <w:lang w:val="en-IE"/>
              </w:rPr>
              <w:t>(Section 70</w:t>
            </w:r>
            <w:r w:rsidR="400FA4EB" w:rsidRPr="003B11BD">
              <w:rPr>
                <w:rFonts w:ascii="Arial" w:hAnsi="Arial" w:cs="Arial"/>
                <w:noProof/>
                <w:sz w:val="16"/>
                <w:szCs w:val="16"/>
                <w:lang w:val="en-IE"/>
              </w:rPr>
              <w:t>d of the Finnish PA</w:t>
            </w:r>
            <w:r w:rsidR="30BD8C7E" w:rsidRPr="003B11BD">
              <w:rPr>
                <w:rFonts w:ascii="Arial" w:hAnsi="Arial" w:cs="Arial"/>
                <w:noProof/>
                <w:sz w:val="16"/>
                <w:szCs w:val="16"/>
                <w:lang w:val="en-IE"/>
              </w:rPr>
              <w:t xml:space="preserve"> could </w:t>
            </w:r>
            <w:r w:rsidR="6D293DD6" w:rsidRPr="003B11BD">
              <w:rPr>
                <w:rFonts w:ascii="Arial" w:hAnsi="Arial" w:cs="Arial"/>
                <w:noProof/>
                <w:sz w:val="16"/>
                <w:szCs w:val="16"/>
                <w:lang w:val="en-IE"/>
              </w:rPr>
              <w:t>argue for</w:t>
            </w:r>
            <w:r w:rsidR="30BD8C7E" w:rsidRPr="003B11BD">
              <w:rPr>
                <w:rFonts w:ascii="Arial" w:hAnsi="Arial" w:cs="Arial"/>
                <w:noProof/>
                <w:sz w:val="16"/>
                <w:szCs w:val="16"/>
                <w:lang w:val="en-IE"/>
              </w:rPr>
              <w:t xml:space="preserve"> the extension to SPC</w:t>
            </w:r>
            <w:r w:rsidR="4EB4E448" w:rsidRPr="003B11BD">
              <w:rPr>
                <w:rFonts w:ascii="Arial" w:hAnsi="Arial" w:cs="Arial"/>
                <w:noProof/>
                <w:sz w:val="16"/>
                <w:szCs w:val="16"/>
                <w:lang w:val="en-IE"/>
              </w:rPr>
              <w:t>s</w:t>
            </w:r>
            <w:r w:rsidR="30BD8C7E" w:rsidRPr="003B11BD">
              <w:rPr>
                <w:rFonts w:ascii="Arial" w:hAnsi="Arial" w:cs="Arial"/>
                <w:noProof/>
                <w:sz w:val="16"/>
                <w:szCs w:val="16"/>
                <w:lang w:val="en-IE"/>
              </w:rPr>
              <w:t>)</w:t>
            </w:r>
          </w:p>
        </w:tc>
        <w:tc>
          <w:tcPr>
            <w:tcW w:w="708" w:type="dxa"/>
            <w:vAlign w:val="center"/>
          </w:tcPr>
          <w:p w14:paraId="47E165DC" w14:textId="0E2062EE" w:rsidR="3D2B6CA7" w:rsidRPr="003B11BD" w:rsidRDefault="4CBE3605"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53EAC85B" w14:textId="240A3DAF" w:rsidR="3D2B6CA7" w:rsidRPr="003B11BD" w:rsidRDefault="4CBE3605"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623A423A" w14:textId="153A4DB9" w:rsidR="0E75211E" w:rsidRPr="003B11BD" w:rsidRDefault="0E75211E" w:rsidP="0E75211E">
            <w:pPr>
              <w:spacing w:after="0"/>
              <w:jc w:val="center"/>
              <w:rPr>
                <w:rFonts w:ascii="Arial" w:eastAsia="Arial" w:hAnsi="Arial" w:cs="Arial"/>
                <w:noProof/>
                <w:color w:val="000000" w:themeColor="text1"/>
                <w:sz w:val="16"/>
                <w:szCs w:val="16"/>
                <w:lang w:val="en-IE"/>
              </w:rPr>
            </w:pPr>
          </w:p>
          <w:p w14:paraId="5E40EB5B" w14:textId="43A8A736" w:rsidR="3D2B6CA7" w:rsidRPr="003B11BD" w:rsidRDefault="516D5871" w:rsidP="0E75211E">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47EAB931" w14:textId="06C603B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Under Section 7(4) of the Market Court Proceedings Act (100/2013), a party may appeal by submitting a written petition of appeal to the Supreme Court. Any appeal to the Supreme Court is subject to a leave to appeal. The period for filing a request for an appeal is 60 days from the day of the Market Court’s initial adjudication.</w:t>
            </w:r>
          </w:p>
        </w:tc>
        <w:tc>
          <w:tcPr>
            <w:tcW w:w="2268" w:type="dxa"/>
            <w:vAlign w:val="center"/>
          </w:tcPr>
          <w:p w14:paraId="1DBB77A1" w14:textId="7EFE97F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Uncertain</w:t>
            </w:r>
          </w:p>
          <w:p w14:paraId="0EF4C226" w14:textId="474ECE0E"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 (</w:t>
            </w:r>
            <w:r w:rsidR="3D5FD470" w:rsidRPr="003B11BD">
              <w:rPr>
                <w:rFonts w:ascii="Arial" w:eastAsia="Arial" w:hAnsi="Arial" w:cs="Arial"/>
                <w:noProof/>
                <w:color w:val="000000" w:themeColor="text1"/>
                <w:sz w:val="16"/>
                <w:szCs w:val="16"/>
                <w:lang w:val="en-IE"/>
              </w:rPr>
              <w:t>Possible</w:t>
            </w:r>
            <w:r w:rsidRPr="003B11BD">
              <w:rPr>
                <w:rFonts w:ascii="Arial" w:eastAsia="Arial" w:hAnsi="Arial" w:cs="Arial"/>
                <w:noProof/>
                <w:color w:val="000000" w:themeColor="text1"/>
                <w:sz w:val="16"/>
                <w:szCs w:val="16"/>
                <w:lang w:val="en-IE"/>
              </w:rPr>
              <w:t xml:space="preserve"> according to the law wording, uncertain in practice)</w:t>
            </w:r>
          </w:p>
        </w:tc>
        <w:tc>
          <w:tcPr>
            <w:tcW w:w="1985" w:type="dxa"/>
            <w:vAlign w:val="center"/>
          </w:tcPr>
          <w:p w14:paraId="5B36088C" w14:textId="21A9B58B" w:rsidR="3D2B6CA7" w:rsidRPr="003B11BD" w:rsidRDefault="25018851" w:rsidP="59332BF4">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38CD8B64" w14:textId="20DF5496" w:rsidR="3D2B6CA7" w:rsidRPr="003B11BD" w:rsidRDefault="25018851"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(If three years have elapsed since the grant of the patent and four years have elapsed from the filing of the application and the invention is not worked or brought into use to a reasonable extent in Finland</w:t>
            </w:r>
            <w:r w:rsidR="15A5CA95" w:rsidRPr="003B11BD">
              <w:rPr>
                <w:rFonts w:ascii="Arial" w:eastAsia="Arial" w:hAnsi="Arial" w:cs="Arial"/>
                <w:noProof/>
                <w:color w:val="000000" w:themeColor="text1"/>
                <w:sz w:val="16"/>
                <w:szCs w:val="16"/>
                <w:lang w:val="en-IE"/>
              </w:rPr>
              <w:t xml:space="preserve"> – section 45 PA</w:t>
            </w:r>
            <w:r w:rsidRPr="003B11BD">
              <w:rPr>
                <w:rFonts w:ascii="Arial" w:eastAsia="Arial" w:hAnsi="Arial" w:cs="Arial"/>
                <w:noProof/>
                <w:color w:val="000000" w:themeColor="text1"/>
                <w:sz w:val="16"/>
                <w:szCs w:val="16"/>
                <w:lang w:val="en-IE"/>
              </w:rPr>
              <w:t>)</w:t>
            </w:r>
          </w:p>
        </w:tc>
        <w:tc>
          <w:tcPr>
            <w:tcW w:w="2126" w:type="dxa"/>
            <w:vAlign w:val="center"/>
          </w:tcPr>
          <w:p w14:paraId="05CACDEE" w14:textId="199F0F5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Compulsory licences shall be granted by a court of law, which shall also decide the extent to which the invention may be exploited and shall determine the remuneration to be paid and any other conditions under the licence (Section 50).</w:t>
            </w:r>
          </w:p>
        </w:tc>
      </w:tr>
      <w:tr w:rsidR="3D2B6CA7" w:rsidRPr="003B11BD" w14:paraId="09AB11C7" w14:textId="77777777" w:rsidTr="34EF0D43">
        <w:tc>
          <w:tcPr>
            <w:tcW w:w="1105" w:type="dxa"/>
            <w:vAlign w:val="center"/>
          </w:tcPr>
          <w:p w14:paraId="173B4AD5" w14:textId="36E49BF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France</w:t>
            </w:r>
          </w:p>
        </w:tc>
        <w:tc>
          <w:tcPr>
            <w:tcW w:w="1026" w:type="dxa"/>
            <w:vAlign w:val="center"/>
          </w:tcPr>
          <w:p w14:paraId="37D27E7B" w14:textId="7E05A5A4" w:rsidR="3D2B6CA7" w:rsidRPr="003B11BD" w:rsidRDefault="083285EB" w:rsidP="44D584B8">
            <w:pPr>
              <w:spacing w:after="0"/>
              <w:jc w:val="center"/>
              <w:rPr>
                <w:noProof/>
                <w:lang w:val="en-IE"/>
              </w:rPr>
            </w:pPr>
            <w:r w:rsidRPr="003B11BD">
              <w:rPr>
                <w:rFonts w:ascii="Arial" w:eastAsia="Arial" w:hAnsi="Arial" w:cs="Arial"/>
                <w:noProof/>
                <w:color w:val="000000" w:themeColor="text1"/>
                <w:sz w:val="16"/>
                <w:szCs w:val="16"/>
                <w:lang w:val="en-IE"/>
              </w:rPr>
              <w:t>Yes</w:t>
            </w:r>
          </w:p>
          <w:p w14:paraId="6A4FA947" w14:textId="5860AE22" w:rsidR="3D2B6CA7" w:rsidRPr="003B11BD" w:rsidRDefault="083285EB" w:rsidP="44D584B8">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Art. L613-19 French Intellectual Property Code (CPI)</w:t>
            </w:r>
          </w:p>
        </w:tc>
        <w:tc>
          <w:tcPr>
            <w:tcW w:w="990" w:type="dxa"/>
            <w:vAlign w:val="center"/>
          </w:tcPr>
          <w:p w14:paraId="2CAABDE1" w14:textId="5D83D2D6" w:rsidR="3D2B6CA7" w:rsidRPr="003B11BD" w:rsidRDefault="4B36B4CD"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1AD87C2A" w14:textId="32B30DC4" w:rsidR="3D2B6CA7" w:rsidRPr="003B11BD" w:rsidRDefault="4B36B4CD"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4B9F052A" w14:textId="62B4CC00" w:rsidR="3D2B6CA7" w:rsidRPr="003B11BD" w:rsidRDefault="4B36B4CD"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4B9DBE64" w14:textId="05200A7F" w:rsidR="4B36B4CD" w:rsidRPr="003B11BD" w:rsidRDefault="4B36B4CD"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0242168" w14:textId="2F18F8F5"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Decisions may be appealed following the regular civil appeal procedures (i.e. within one month). Decisions of the ministry in charge of industrial property may be appealed pursuant to the relevant public law provisions.</w:t>
            </w:r>
          </w:p>
        </w:tc>
        <w:tc>
          <w:tcPr>
            <w:tcW w:w="2268" w:type="dxa"/>
            <w:vAlign w:val="center"/>
          </w:tcPr>
          <w:p w14:paraId="2826142E" w14:textId="315BA22F"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Uncertain</w:t>
            </w:r>
          </w:p>
          <w:p w14:paraId="4594461E" w14:textId="6ED8E6CF" w:rsidR="3D2B6CA7" w:rsidRPr="003B11BD" w:rsidRDefault="12A57DD6"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w:t>
            </w:r>
            <w:r w:rsidR="48AA01D1" w:rsidRPr="003B11BD">
              <w:rPr>
                <w:rFonts w:ascii="Arial" w:eastAsia="Arial" w:hAnsi="Arial" w:cs="Arial"/>
                <w:noProof/>
                <w:color w:val="000000" w:themeColor="text1"/>
                <w:sz w:val="16"/>
                <w:szCs w:val="16"/>
                <w:lang w:val="en-IE"/>
              </w:rPr>
              <w:t>The</w:t>
            </w:r>
            <w:r w:rsidR="3D2B6CA7" w:rsidRPr="003B11BD">
              <w:rPr>
                <w:rFonts w:ascii="Arial" w:eastAsia="Arial" w:hAnsi="Arial" w:cs="Arial"/>
                <w:noProof/>
                <w:color w:val="000000" w:themeColor="text1"/>
                <w:sz w:val="16"/>
                <w:szCs w:val="16"/>
                <w:lang w:val="en-IE"/>
              </w:rPr>
              <w:t xml:space="preserve"> law does not foresee it. There is no case law to date</w:t>
            </w:r>
            <w:r w:rsidR="52EDA310" w:rsidRPr="003B11BD">
              <w:rPr>
                <w:rFonts w:ascii="Arial" w:hAnsi="Arial" w:cs="Arial"/>
                <w:noProof/>
                <w:sz w:val="16"/>
                <w:szCs w:val="16"/>
                <w:lang w:val="en-IE"/>
              </w:rPr>
              <w:t>)</w:t>
            </w:r>
          </w:p>
        </w:tc>
        <w:tc>
          <w:tcPr>
            <w:tcW w:w="1985" w:type="dxa"/>
            <w:vAlign w:val="center"/>
          </w:tcPr>
          <w:p w14:paraId="7CE0125A" w14:textId="6192FA78" w:rsidR="3D2B6CA7" w:rsidRPr="003B11BD" w:rsidRDefault="747FDE1D" w:rsidP="6BE81E7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513B8EE8" w14:textId="41053F7D" w:rsidR="3D2B6CA7" w:rsidRPr="003B11BD" w:rsidRDefault="747FDE1D"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 xml:space="preserve">(Lack of exploitation: three years following the grant of the patent, or four years following the publication of the application) </w:t>
            </w:r>
          </w:p>
        </w:tc>
        <w:tc>
          <w:tcPr>
            <w:tcW w:w="2126" w:type="dxa"/>
            <w:vAlign w:val="center"/>
          </w:tcPr>
          <w:p w14:paraId="4AAB8D15" w14:textId="05200A7F" w:rsidR="3D2B6CA7" w:rsidRPr="003B11BD" w:rsidRDefault="7199441B" w:rsidP="00611FC5">
            <w:pPr>
              <w:spacing w:after="0"/>
              <w:jc w:val="center"/>
              <w:rPr>
                <w:rFonts w:ascii="Arial" w:hAnsi="Arial" w:cs="Arial"/>
                <w:noProof/>
                <w:sz w:val="16"/>
                <w:szCs w:val="16"/>
                <w:lang w:val="en-IE"/>
              </w:rPr>
            </w:pPr>
            <w:r w:rsidRPr="003B11BD">
              <w:rPr>
                <w:rFonts w:ascii="Arial" w:hAnsi="Arial" w:cs="Arial"/>
                <w:noProof/>
                <w:sz w:val="16"/>
                <w:szCs w:val="16"/>
                <w:lang w:val="en-IE"/>
              </w:rPr>
              <w:t>Yes</w:t>
            </w:r>
          </w:p>
          <w:p w14:paraId="076CDF88" w14:textId="43A687F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According to special conditions, which might be determined by a tribunal (Art. L613-12).</w:t>
            </w:r>
          </w:p>
        </w:tc>
      </w:tr>
      <w:tr w:rsidR="3D2B6CA7" w:rsidRPr="003B11BD" w14:paraId="50D35689" w14:textId="77777777" w:rsidTr="34EF0D43">
        <w:tc>
          <w:tcPr>
            <w:tcW w:w="1105" w:type="dxa"/>
            <w:vAlign w:val="center"/>
          </w:tcPr>
          <w:p w14:paraId="58D39204" w14:textId="57A9864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Germany</w:t>
            </w:r>
          </w:p>
        </w:tc>
        <w:tc>
          <w:tcPr>
            <w:tcW w:w="1026" w:type="dxa"/>
            <w:vAlign w:val="center"/>
          </w:tcPr>
          <w:p w14:paraId="1E4F415C" w14:textId="6A80221F"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No</w:t>
            </w:r>
            <w:r w:rsidR="0091718F" w:rsidRPr="003B11BD">
              <w:rPr>
                <w:rFonts w:ascii="Arial" w:eastAsia="Arial" w:hAnsi="Arial" w:cs="Arial"/>
                <w:noProof/>
                <w:color w:val="000000" w:themeColor="text1"/>
                <w:sz w:val="16"/>
                <w:szCs w:val="16"/>
                <w:lang w:val="en-IE"/>
              </w:rPr>
              <w:t xml:space="preserve"> </w:t>
            </w:r>
          </w:p>
          <w:p w14:paraId="0BBC3913" w14:textId="7B6ECC3D"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(CL expressly only permissible after the patent has been granted)</w:t>
            </w:r>
          </w:p>
        </w:tc>
        <w:tc>
          <w:tcPr>
            <w:tcW w:w="990" w:type="dxa"/>
            <w:vAlign w:val="center"/>
          </w:tcPr>
          <w:p w14:paraId="5922AFD0" w14:textId="05200A7F" w:rsidR="3D2B6CA7" w:rsidRPr="003B11BD" w:rsidRDefault="3D2B6CA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44A0119" w14:textId="0B6AC5E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(CL</w:t>
            </w:r>
            <w:r w:rsidR="0091718F" w:rsidRPr="003B11BD">
              <w:rPr>
                <w:rFonts w:ascii="Arial" w:eastAsia="Arial" w:hAnsi="Arial" w:cs="Arial"/>
                <w:noProof/>
                <w:color w:val="000000" w:themeColor="text1"/>
                <w:sz w:val="16"/>
                <w:szCs w:val="16"/>
                <w:lang w:val="en-IE"/>
              </w:rPr>
              <w:t xml:space="preserve"> </w:t>
            </w:r>
            <w:r w:rsidRPr="003B11BD">
              <w:rPr>
                <w:rFonts w:ascii="Arial" w:eastAsia="Arial" w:hAnsi="Arial" w:cs="Arial"/>
                <w:noProof/>
                <w:color w:val="000000" w:themeColor="text1"/>
                <w:sz w:val="16"/>
                <w:szCs w:val="16"/>
                <w:lang w:val="en-IE"/>
              </w:rPr>
              <w:t>extends also to a SPC, it may also be applied for and granted in isolation only for the SPC)</w:t>
            </w:r>
          </w:p>
        </w:tc>
        <w:tc>
          <w:tcPr>
            <w:tcW w:w="708" w:type="dxa"/>
            <w:vAlign w:val="center"/>
          </w:tcPr>
          <w:p w14:paraId="31AF726B" w14:textId="66B9340C" w:rsidR="3D2B6CA7" w:rsidRPr="003B11BD" w:rsidRDefault="5A347F8C"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1382" w:type="dxa"/>
            <w:vAlign w:val="center"/>
          </w:tcPr>
          <w:p w14:paraId="5F5BB5FA" w14:textId="72A2F9F5"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No</w:t>
            </w:r>
          </w:p>
        </w:tc>
        <w:tc>
          <w:tcPr>
            <w:tcW w:w="3853" w:type="dxa"/>
            <w:vAlign w:val="center"/>
          </w:tcPr>
          <w:p w14:paraId="3B467E03" w14:textId="0859B408" w:rsidR="674149E0" w:rsidRPr="003B11BD" w:rsidRDefault="674149E0"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8BDFD07" w14:textId="3D680ABC"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 of the Federal Patent Court may be appealed before the FCJ</w:t>
            </w:r>
            <w:r w:rsidR="556000FD" w:rsidRPr="003B11BD">
              <w:rPr>
                <w:rFonts w:ascii="Arial" w:eastAsia="Arial" w:hAnsi="Arial" w:cs="Arial"/>
                <w:noProof/>
                <w:color w:val="000000" w:themeColor="text1"/>
                <w:sz w:val="16"/>
                <w:szCs w:val="16"/>
                <w:lang w:val="en-IE"/>
              </w:rPr>
              <w:t xml:space="preserve"> (Bundesgerichtshof)</w:t>
            </w:r>
            <w:r w:rsidR="5EF2C606" w:rsidRPr="003B11BD">
              <w:rPr>
                <w:rFonts w:ascii="Arial" w:eastAsia="Arial" w:hAnsi="Arial" w:cs="Arial"/>
                <w:noProof/>
                <w:color w:val="000000" w:themeColor="text1"/>
                <w:sz w:val="16"/>
                <w:szCs w:val="16"/>
                <w:lang w:val="en-IE"/>
              </w:rPr>
              <w:t>.</w:t>
            </w:r>
          </w:p>
        </w:tc>
        <w:tc>
          <w:tcPr>
            <w:tcW w:w="2268" w:type="dxa"/>
            <w:vAlign w:val="center"/>
          </w:tcPr>
          <w:p w14:paraId="7549E8DF" w14:textId="36066855"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3B90049B" w14:textId="7AC161CF"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(Section 85 Patent Code)</w:t>
            </w:r>
          </w:p>
        </w:tc>
        <w:tc>
          <w:tcPr>
            <w:tcW w:w="1985" w:type="dxa"/>
            <w:vAlign w:val="center"/>
          </w:tcPr>
          <w:p w14:paraId="75266272" w14:textId="169275AA" w:rsidR="3D2B6CA7" w:rsidRPr="003B11BD" w:rsidRDefault="3DEC9359"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2126" w:type="dxa"/>
            <w:vAlign w:val="center"/>
          </w:tcPr>
          <w:p w14:paraId="6F265A2B" w14:textId="7737FC3E" w:rsidR="3DEC9359" w:rsidRPr="003B11BD" w:rsidRDefault="3DEC9359"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5B184707" w14:textId="3871070F" w:rsidR="3D2B6CA7" w:rsidRPr="003B11BD" w:rsidRDefault="47C1A942" w:rsidP="00611FC5">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 xml:space="preserve">Equitable remuneration </w:t>
            </w:r>
            <w:r w:rsidR="652D4875" w:rsidRPr="003B11BD">
              <w:rPr>
                <w:rFonts w:ascii="Arial" w:eastAsia="Arial" w:hAnsi="Arial" w:cs="Arial"/>
                <w:noProof/>
                <w:color w:val="000000" w:themeColor="text1"/>
                <w:sz w:val="16"/>
                <w:szCs w:val="16"/>
                <w:lang w:val="en-IE"/>
              </w:rPr>
              <w:t>considering</w:t>
            </w:r>
            <w:r w:rsidRPr="003B11BD">
              <w:rPr>
                <w:rFonts w:ascii="Arial" w:eastAsia="Arial" w:hAnsi="Arial" w:cs="Arial"/>
                <w:noProof/>
                <w:color w:val="000000" w:themeColor="text1"/>
                <w:sz w:val="16"/>
                <w:szCs w:val="16"/>
                <w:lang w:val="en-IE"/>
              </w:rPr>
              <w:t xml:space="preserve"> the economic value of compulsory </w:t>
            </w:r>
            <w:r w:rsidR="3BFA308B" w:rsidRPr="003B11BD">
              <w:rPr>
                <w:rFonts w:ascii="Arial" w:eastAsia="Arial" w:hAnsi="Arial" w:cs="Arial"/>
                <w:noProof/>
                <w:color w:val="000000" w:themeColor="text1"/>
                <w:sz w:val="16"/>
                <w:szCs w:val="16"/>
                <w:lang w:val="en-IE"/>
              </w:rPr>
              <w:t>licensing</w:t>
            </w:r>
            <w:r w:rsidRPr="003B11BD">
              <w:rPr>
                <w:rFonts w:ascii="Arial" w:eastAsia="Arial" w:hAnsi="Arial" w:cs="Arial"/>
                <w:noProof/>
                <w:color w:val="000000" w:themeColor="text1"/>
                <w:sz w:val="16"/>
                <w:szCs w:val="16"/>
                <w:lang w:val="en-IE"/>
              </w:rPr>
              <w:t>.</w:t>
            </w:r>
          </w:p>
        </w:tc>
      </w:tr>
      <w:tr w:rsidR="3D2B6CA7" w:rsidRPr="003B11BD" w14:paraId="29CCCFE2" w14:textId="77777777" w:rsidTr="34EF0D43">
        <w:tc>
          <w:tcPr>
            <w:tcW w:w="1105" w:type="dxa"/>
            <w:vAlign w:val="center"/>
          </w:tcPr>
          <w:p w14:paraId="210A6820" w14:textId="5D1C5E8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Greece</w:t>
            </w:r>
          </w:p>
        </w:tc>
        <w:tc>
          <w:tcPr>
            <w:tcW w:w="1026" w:type="dxa"/>
            <w:vAlign w:val="center"/>
          </w:tcPr>
          <w:p w14:paraId="7272A9CA" w14:textId="0AA121B3"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990" w:type="dxa"/>
            <w:vAlign w:val="center"/>
          </w:tcPr>
          <w:p w14:paraId="016FF35F" w14:textId="6A406D4D"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1D8F19D0" w14:textId="0654977F" w:rsidR="3D2B6CA7" w:rsidRPr="003B11BD" w:rsidRDefault="74559AA9"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281A66EB" w14:textId="24EA7029" w:rsidR="3D2B6CA7" w:rsidRPr="003B11BD" w:rsidRDefault="74559AA9"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5A26B131" w14:textId="63509A6D" w:rsidR="3D2B6CA7" w:rsidRPr="003B11BD" w:rsidRDefault="6E45D534" w:rsidP="0E75211E">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06D9B79A" w14:textId="0FB6F68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 can be appealed before the Court of Appeal, whose decision can be further appealed before the Supreme Court. In the case of a compulsory licence granted by the State, the decision may be appealed before the Supreme Administrative Court.</w:t>
            </w:r>
          </w:p>
        </w:tc>
        <w:tc>
          <w:tcPr>
            <w:tcW w:w="2268" w:type="dxa"/>
            <w:vAlign w:val="center"/>
          </w:tcPr>
          <w:p w14:paraId="66224D39" w14:textId="6078010A"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No</w:t>
            </w:r>
          </w:p>
        </w:tc>
        <w:tc>
          <w:tcPr>
            <w:tcW w:w="1985" w:type="dxa"/>
            <w:vAlign w:val="center"/>
          </w:tcPr>
          <w:p w14:paraId="3E22AAD3" w14:textId="53DF6B1B" w:rsidR="3D2B6CA7" w:rsidRPr="003B11BD" w:rsidRDefault="7273B688" w:rsidP="6373377B">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4EEC530C" w14:textId="563DA280" w:rsidR="3D2B6CA7" w:rsidRPr="003B11BD" w:rsidRDefault="7273B688"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(Three years from grant or four years from filing of a patent have passed) </w:t>
            </w:r>
          </w:p>
        </w:tc>
        <w:tc>
          <w:tcPr>
            <w:tcW w:w="2126" w:type="dxa"/>
            <w:vAlign w:val="center"/>
          </w:tcPr>
          <w:p w14:paraId="4D21565F" w14:textId="66DC2DAF" w:rsidR="28E469A8" w:rsidRPr="003B11BD" w:rsidRDefault="28E469A8"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D1F8BE5" w14:textId="52A17DCC"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Established by the competent court and accompanied by an opinion of the IP office regarding, amongst others, the terms of the compensation and the amount, which are determined in accordance with the extent of the industrial exploitation of the protected invention.</w:t>
            </w:r>
          </w:p>
          <w:p w14:paraId="3E740A40" w14:textId="4EA18B94"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(Article 13.5 and 13.6).</w:t>
            </w:r>
          </w:p>
        </w:tc>
      </w:tr>
      <w:tr w:rsidR="3D2B6CA7" w:rsidRPr="003B11BD" w14:paraId="0D591DE9" w14:textId="77777777" w:rsidTr="34EF0D43">
        <w:tc>
          <w:tcPr>
            <w:tcW w:w="1105" w:type="dxa"/>
            <w:vAlign w:val="center"/>
          </w:tcPr>
          <w:p w14:paraId="4DF252A5" w14:textId="13EC4D45"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Hungary</w:t>
            </w:r>
          </w:p>
        </w:tc>
        <w:tc>
          <w:tcPr>
            <w:tcW w:w="1026" w:type="dxa"/>
            <w:vAlign w:val="center"/>
          </w:tcPr>
          <w:p w14:paraId="0DAE234F" w14:textId="2C829DD8" w:rsidR="3D2B6CA7" w:rsidRPr="003B11BD" w:rsidRDefault="30A45C15"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0B0023D2" w14:textId="1F77DB41"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4820FD34" w14:textId="39EF2166" w:rsidR="3D2B6CA7" w:rsidRPr="003B11BD" w:rsidRDefault="342D52C2"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18A6F85B" w14:textId="6C0CEB0F" w:rsidR="3D2B6CA7" w:rsidRPr="003B11BD" w:rsidRDefault="342D52C2"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50214C40" w14:textId="6C41451A" w:rsidR="47BECE5C" w:rsidRPr="003B11BD" w:rsidRDefault="47BECE5C"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21B55503" w14:textId="77A57EED"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CL for </w:t>
            </w:r>
            <w:r w:rsidR="008A0BF1" w:rsidRPr="003B11BD">
              <w:rPr>
                <w:rFonts w:ascii="Arial" w:eastAsia="Arial" w:hAnsi="Arial" w:cs="Arial"/>
                <w:noProof/>
                <w:color w:val="000000" w:themeColor="text1"/>
                <w:sz w:val="16"/>
                <w:szCs w:val="16"/>
                <w:lang w:val="en-IE"/>
              </w:rPr>
              <w:t>public</w:t>
            </w:r>
            <w:r w:rsidRPr="003B11BD">
              <w:rPr>
                <w:rFonts w:ascii="Arial" w:eastAsia="Arial" w:hAnsi="Arial" w:cs="Arial"/>
                <w:noProof/>
                <w:color w:val="000000" w:themeColor="text1"/>
                <w:sz w:val="16"/>
                <w:szCs w:val="16"/>
                <w:lang w:val="en-IE"/>
              </w:rPr>
              <w:t xml:space="preserve"> health grounds:</w:t>
            </w:r>
          </w:p>
          <w:p w14:paraId="4CC596A4" w14:textId="31DA371E"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 of the HIPO may be subject to judicial review before the Metropolitan Court. The decision of the Metropolitan Court may be appealed before the Metropolitan Court of Appeal, and the decision of the Metropolitan Court of Appeal is subject to judicial review before the Curia (Hungarian Supreme Court).</w:t>
            </w:r>
          </w:p>
        </w:tc>
        <w:tc>
          <w:tcPr>
            <w:tcW w:w="2268" w:type="dxa"/>
            <w:vAlign w:val="center"/>
          </w:tcPr>
          <w:p w14:paraId="03DEF8A5" w14:textId="557AB1B8" w:rsidR="3D2B6CA7" w:rsidRPr="003B11BD" w:rsidRDefault="43A7C676" w:rsidP="00611FC5">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Yes</w:t>
            </w:r>
            <w:r w:rsidR="001423E4" w:rsidRPr="003B11BD">
              <w:rPr>
                <w:rStyle w:val="FootnoteReference"/>
                <w:rFonts w:ascii="Arial" w:eastAsia="Arial" w:hAnsi="Arial" w:cs="Arial"/>
                <w:noProof/>
                <w:color w:val="000000" w:themeColor="text1"/>
                <w:sz w:val="16"/>
                <w:szCs w:val="16"/>
                <w:lang w:val="en-IE"/>
              </w:rPr>
              <w:footnoteReference w:id="204"/>
            </w:r>
          </w:p>
          <w:p w14:paraId="14C6388C" w14:textId="1BBE6BD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w:t>
            </w:r>
            <w:r w:rsidR="72D453BE" w:rsidRPr="003B11BD">
              <w:rPr>
                <w:rFonts w:ascii="Arial" w:eastAsia="Arial" w:hAnsi="Arial" w:cs="Arial"/>
                <w:noProof/>
                <w:color w:val="000000" w:themeColor="text1"/>
                <w:sz w:val="16"/>
                <w:szCs w:val="16"/>
                <w:lang w:val="en-IE"/>
              </w:rPr>
              <w:t>There</w:t>
            </w:r>
            <w:r w:rsidRPr="003B11BD">
              <w:rPr>
                <w:rFonts w:ascii="Arial" w:eastAsia="Arial" w:hAnsi="Arial" w:cs="Arial"/>
                <w:noProof/>
                <w:color w:val="000000" w:themeColor="text1"/>
                <w:sz w:val="16"/>
                <w:szCs w:val="16"/>
                <w:lang w:val="en-IE"/>
              </w:rPr>
              <w:t xml:space="preserve"> is no court practice relating to the preconditions and its scope)</w:t>
            </w:r>
          </w:p>
        </w:tc>
        <w:tc>
          <w:tcPr>
            <w:tcW w:w="1985" w:type="dxa"/>
            <w:vAlign w:val="center"/>
          </w:tcPr>
          <w:p w14:paraId="6A0BEB9C" w14:textId="3E8C66A2" w:rsidR="3D2B6CA7" w:rsidRPr="003B11BD" w:rsidRDefault="3334B31D" w:rsidP="3AE64D6D">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33C05FB2" w14:textId="1C90066E" w:rsidR="3D2B6CA7" w:rsidRPr="003B11BD" w:rsidRDefault="3334B31D"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 xml:space="preserve">(Lack of exploitation: four years from the date of filing of the patent application or within three years from the grant of the patent) </w:t>
            </w:r>
          </w:p>
        </w:tc>
        <w:tc>
          <w:tcPr>
            <w:tcW w:w="2126" w:type="dxa"/>
            <w:vAlign w:val="center"/>
          </w:tcPr>
          <w:p w14:paraId="76E098CD" w14:textId="792D64E1" w:rsidR="3AD72F5D" w:rsidRPr="003B11BD" w:rsidRDefault="3AD72F5D" w:rsidP="00611FC5">
            <w:pPr>
              <w:spacing w:after="0"/>
              <w:jc w:val="center"/>
              <w:rPr>
                <w:rFonts w:ascii="Arial" w:eastAsia="Arial" w:hAnsi="Arial" w:cs="Arial"/>
                <w:noProof/>
                <w:color w:val="000000" w:themeColor="text1"/>
                <w:sz w:val="16"/>
                <w:szCs w:val="16"/>
                <w:lang w:val="en-IE"/>
              </w:rPr>
            </w:pPr>
          </w:p>
          <w:p w14:paraId="19878005" w14:textId="7705E542" w:rsidR="6034832C" w:rsidRPr="003B11BD" w:rsidRDefault="6034832C"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1A0CC8C3" w14:textId="3C85EF3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patentee shall receive adequate compensation for the compulsory license, which shall be fixed, failing agreement between the parties, by the court. The compensation shall take into adequate account the economic value of the compulsory license. In particular, it shall be commensurate with the royalty the holder of the compulsory license would have paid on the basis of an exploitation contract concluded with the patentee, taking into account the licensing conditions in the technical field of the invention (Article 33.3).</w:t>
            </w:r>
          </w:p>
        </w:tc>
      </w:tr>
      <w:tr w:rsidR="3D2B6CA7" w:rsidRPr="003B11BD" w14:paraId="51F16FEB" w14:textId="77777777" w:rsidTr="34EF0D43">
        <w:tc>
          <w:tcPr>
            <w:tcW w:w="1105" w:type="dxa"/>
            <w:vAlign w:val="center"/>
          </w:tcPr>
          <w:p w14:paraId="48CBC95C" w14:textId="295017CD"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Ireland</w:t>
            </w:r>
          </w:p>
        </w:tc>
        <w:tc>
          <w:tcPr>
            <w:tcW w:w="1026" w:type="dxa"/>
            <w:vAlign w:val="center"/>
          </w:tcPr>
          <w:p w14:paraId="5FC4750C" w14:textId="47D69D54" w:rsidR="3D2B6CA7" w:rsidRPr="003B11BD" w:rsidRDefault="065CC25A" w:rsidP="44D584B8">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53B0D777" w14:textId="74FFEB1F" w:rsidR="3D2B6CA7" w:rsidRPr="003B11BD" w:rsidRDefault="3D2B6CA7" w:rsidP="44D584B8">
            <w:pPr>
              <w:spacing w:after="0"/>
              <w:jc w:val="center"/>
              <w:rPr>
                <w:rFonts w:ascii="Arial" w:eastAsia="Arial" w:hAnsi="Arial" w:cs="Arial"/>
                <w:noProof/>
                <w:color w:val="000000" w:themeColor="text1"/>
                <w:sz w:val="16"/>
                <w:szCs w:val="16"/>
                <w:lang w:val="en-IE"/>
              </w:rPr>
            </w:pPr>
          </w:p>
          <w:p w14:paraId="28F79A6E" w14:textId="4B684D59" w:rsidR="3D2B6CA7" w:rsidRPr="003B11BD" w:rsidRDefault="065CC25A" w:rsidP="44D584B8">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(Section 76(1) Irish PA)</w:t>
            </w:r>
          </w:p>
        </w:tc>
        <w:tc>
          <w:tcPr>
            <w:tcW w:w="990" w:type="dxa"/>
            <w:vAlign w:val="center"/>
          </w:tcPr>
          <w:p w14:paraId="654D0E3D" w14:textId="72377396" w:rsidR="3D2B6CA7" w:rsidRPr="003B11BD" w:rsidRDefault="14CB10FA"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53237236" w14:textId="0D8153F2" w:rsidR="3D2B6CA7" w:rsidRPr="003B11BD" w:rsidRDefault="14CB10FA"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5A76E706" w14:textId="7C0F3D1F" w:rsidR="3D2B6CA7" w:rsidRPr="003B11BD" w:rsidRDefault="14CB10FA"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3126A404" w14:textId="2C63AC27" w:rsidR="14CB10FA" w:rsidRPr="003B11BD" w:rsidRDefault="14CB10FA"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683F4819" w14:textId="0A09F8C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 decision of the Controller can also be appealed to the High Court. The decision of the High Court can be further appealed to the Court of Appeal on a point of law. If the 63 IE matter is of general public importance or the interests of justice require it, an appeal shall lie to the Supreme Court.</w:t>
            </w:r>
          </w:p>
        </w:tc>
        <w:tc>
          <w:tcPr>
            <w:tcW w:w="2268" w:type="dxa"/>
            <w:vAlign w:val="center"/>
          </w:tcPr>
          <w:p w14:paraId="624B1021" w14:textId="7F54A7F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Uncertain</w:t>
            </w:r>
          </w:p>
          <w:p w14:paraId="34524880" w14:textId="2760321D"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Irish courts have not, to date, granted a compulsory licence by way of preliminary relief)</w:t>
            </w:r>
          </w:p>
        </w:tc>
        <w:tc>
          <w:tcPr>
            <w:tcW w:w="1985" w:type="dxa"/>
            <w:vAlign w:val="center"/>
          </w:tcPr>
          <w:p w14:paraId="50975118" w14:textId="62347B19" w:rsidR="3D2B6CA7" w:rsidRPr="003B11BD" w:rsidRDefault="2A6E003C"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2126" w:type="dxa"/>
            <w:vAlign w:val="center"/>
          </w:tcPr>
          <w:p w14:paraId="0BF8BF58" w14:textId="5996CFD0" w:rsidR="2A6E003C" w:rsidRPr="003B11BD" w:rsidRDefault="2A6E003C"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656F5AA6" w14:textId="4DE115C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Adequate remuneration, </w:t>
            </w:r>
            <w:r w:rsidR="76C91528" w:rsidRPr="003B11BD">
              <w:rPr>
                <w:rFonts w:ascii="Arial" w:eastAsia="Arial" w:hAnsi="Arial" w:cs="Arial"/>
                <w:noProof/>
                <w:color w:val="000000" w:themeColor="text1"/>
                <w:sz w:val="16"/>
                <w:szCs w:val="16"/>
                <w:lang w:val="en-IE"/>
              </w:rPr>
              <w:t>considering</w:t>
            </w:r>
            <w:r w:rsidRPr="003B11BD">
              <w:rPr>
                <w:rFonts w:ascii="Arial" w:eastAsia="Arial" w:hAnsi="Arial" w:cs="Arial"/>
                <w:noProof/>
                <w:color w:val="000000" w:themeColor="text1"/>
                <w:sz w:val="16"/>
                <w:szCs w:val="16"/>
                <w:lang w:val="en-IE"/>
              </w:rPr>
              <w:t xml:space="preserve"> the economic value of the licence.</w:t>
            </w:r>
          </w:p>
        </w:tc>
      </w:tr>
      <w:tr w:rsidR="3D2B6CA7" w:rsidRPr="003B11BD" w14:paraId="1636F696" w14:textId="77777777" w:rsidTr="34EF0D43">
        <w:tc>
          <w:tcPr>
            <w:tcW w:w="1105" w:type="dxa"/>
            <w:vAlign w:val="center"/>
          </w:tcPr>
          <w:p w14:paraId="12533BED" w14:textId="5363D625"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Italy</w:t>
            </w:r>
          </w:p>
        </w:tc>
        <w:tc>
          <w:tcPr>
            <w:tcW w:w="1026" w:type="dxa"/>
            <w:vAlign w:val="center"/>
          </w:tcPr>
          <w:p w14:paraId="4FCBC269" w14:textId="5CA464A6" w:rsidR="3D2B6CA7" w:rsidRPr="003B11BD" w:rsidRDefault="10659758"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66ED7F69" w14:textId="5B035AFB" w:rsidR="001423E4" w:rsidRPr="003B11BD" w:rsidRDefault="3D2B6CA7" w:rsidP="001423E4">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Unc</w:t>
            </w:r>
            <w:r w:rsidR="5C071702" w:rsidRPr="003B11BD">
              <w:rPr>
                <w:rFonts w:ascii="Arial" w:eastAsia="Arial" w:hAnsi="Arial" w:cs="Arial"/>
                <w:noProof/>
                <w:color w:val="000000" w:themeColor="text1"/>
                <w:sz w:val="16"/>
                <w:szCs w:val="16"/>
                <w:lang w:val="en-IE"/>
              </w:rPr>
              <w:t>ertain</w:t>
            </w:r>
            <w:r w:rsidR="001423E4" w:rsidRPr="003B11BD">
              <w:rPr>
                <w:rFonts w:ascii="Arial" w:eastAsia="Arial" w:hAnsi="Arial" w:cs="Arial"/>
                <w:noProof/>
                <w:color w:val="000000" w:themeColor="text1"/>
                <w:sz w:val="16"/>
                <w:szCs w:val="16"/>
                <w:lang w:val="en-IE"/>
              </w:rPr>
              <w:t xml:space="preserve"> </w:t>
            </w:r>
          </w:p>
          <w:p w14:paraId="3645DE6A" w14:textId="32411083" w:rsidR="3D2B6CA7" w:rsidRPr="003B11BD" w:rsidRDefault="23BA8F1B" w:rsidP="00611FC5">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 xml:space="preserve">(Law refers explicitly </w:t>
            </w:r>
            <w:r w:rsidR="47944B27" w:rsidRPr="003B11BD">
              <w:rPr>
                <w:rFonts w:ascii="Arial" w:eastAsia="Arial" w:hAnsi="Arial" w:cs="Arial"/>
                <w:noProof/>
                <w:color w:val="000000" w:themeColor="text1"/>
                <w:sz w:val="16"/>
                <w:szCs w:val="16"/>
                <w:lang w:val="en-IE"/>
              </w:rPr>
              <w:t>to patents</w:t>
            </w:r>
            <w:r w:rsidRPr="003B11BD">
              <w:rPr>
                <w:rFonts w:ascii="Arial" w:eastAsia="Arial" w:hAnsi="Arial" w:cs="Arial"/>
                <w:noProof/>
                <w:color w:val="000000" w:themeColor="text1"/>
                <w:sz w:val="16"/>
                <w:szCs w:val="16"/>
                <w:lang w:val="en-IE"/>
              </w:rPr>
              <w:t xml:space="preserve"> only, </w:t>
            </w:r>
            <w:r w:rsidR="2A21257F" w:rsidRPr="003B11BD">
              <w:rPr>
                <w:rFonts w:ascii="Arial" w:eastAsia="Arial" w:hAnsi="Arial" w:cs="Arial"/>
                <w:noProof/>
                <w:color w:val="000000" w:themeColor="text1"/>
                <w:sz w:val="16"/>
                <w:szCs w:val="16"/>
                <w:lang w:val="en-IE"/>
              </w:rPr>
              <w:t>coverage of SPC is a matter of legal interpretation</w:t>
            </w:r>
            <w:r w:rsidR="001423E4" w:rsidRPr="003B11BD">
              <w:rPr>
                <w:rFonts w:ascii="Arial" w:eastAsia="Arial" w:hAnsi="Arial" w:cs="Arial"/>
                <w:noProof/>
                <w:color w:val="000000" w:themeColor="text1"/>
                <w:sz w:val="16"/>
                <w:szCs w:val="16"/>
                <w:lang w:val="en-IE"/>
              </w:rPr>
              <w:t>))</w:t>
            </w:r>
          </w:p>
        </w:tc>
        <w:tc>
          <w:tcPr>
            <w:tcW w:w="708" w:type="dxa"/>
            <w:vAlign w:val="center"/>
          </w:tcPr>
          <w:p w14:paraId="127D7378" w14:textId="18952C71" w:rsidR="3D2B6CA7" w:rsidRPr="003B11BD" w:rsidRDefault="433B1B35"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24717E0A" w14:textId="7C937641" w:rsidR="3D2B6CA7" w:rsidRPr="003B11BD" w:rsidRDefault="3899E2D1" w:rsidP="00611FC5">
            <w:pPr>
              <w:spacing w:after="0"/>
              <w:jc w:val="center"/>
              <w:rPr>
                <w:rFonts w:eastAsia="Arial"/>
                <w:noProof/>
                <w:lang w:val="en-IE"/>
              </w:rPr>
            </w:pPr>
            <w:r w:rsidRPr="003B11BD">
              <w:rPr>
                <w:rFonts w:ascii="Arial" w:eastAsia="Arial" w:hAnsi="Arial" w:cs="Arial"/>
                <w:noProof/>
                <w:color w:val="000000" w:themeColor="text1"/>
                <w:sz w:val="16"/>
                <w:szCs w:val="16"/>
                <w:lang w:val="en-IE"/>
              </w:rPr>
              <w:t>No</w:t>
            </w:r>
          </w:p>
        </w:tc>
        <w:tc>
          <w:tcPr>
            <w:tcW w:w="3853" w:type="dxa"/>
            <w:vAlign w:val="center"/>
          </w:tcPr>
          <w:p w14:paraId="42EC73FC" w14:textId="5811C3FD" w:rsidR="166FA043" w:rsidRPr="003B11BD" w:rsidRDefault="166FA043"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0E3653A4" w14:textId="5811C3FD"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 is taken by the UIBM (IPO), which is a branch of the Ministry of Productive Activities. Hence, it can be appealed as an administrative procedure before the Lazio Regional Administrative Court (T.A.R. Lazio).</w:t>
            </w:r>
          </w:p>
        </w:tc>
        <w:tc>
          <w:tcPr>
            <w:tcW w:w="2268" w:type="dxa"/>
            <w:vAlign w:val="center"/>
          </w:tcPr>
          <w:p w14:paraId="2634F24C" w14:textId="75FE86D4"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7538EDAA" w14:textId="488DC7A0" w:rsidR="3D2B6CA7" w:rsidRPr="003B11BD" w:rsidRDefault="5B38A61C"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(An</w:t>
            </w:r>
            <w:r w:rsidR="3D2B6CA7" w:rsidRPr="003B11BD">
              <w:rPr>
                <w:rFonts w:ascii="Arial" w:eastAsia="Arial" w:hAnsi="Arial" w:cs="Arial"/>
                <w:noProof/>
                <w:color w:val="000000" w:themeColor="text1"/>
                <w:sz w:val="16"/>
                <w:szCs w:val="16"/>
                <w:lang w:val="en-IE"/>
              </w:rPr>
              <w:t xml:space="preserve"> IP civil court may issue an order equivalent to a compulsory licence but there is no precedent for this. Such an order may be also applied via a preliminary measure in order to skip the length of the UIBM procedure.</w:t>
            </w:r>
            <w:r w:rsidR="14A52B91" w:rsidRPr="003B11BD">
              <w:rPr>
                <w:rFonts w:ascii="Arial" w:eastAsia="Arial" w:hAnsi="Arial" w:cs="Arial"/>
                <w:noProof/>
                <w:color w:val="000000" w:themeColor="text1"/>
                <w:sz w:val="16"/>
                <w:szCs w:val="16"/>
                <w:lang w:val="en-IE"/>
              </w:rPr>
              <w:t>)</w:t>
            </w:r>
          </w:p>
        </w:tc>
        <w:tc>
          <w:tcPr>
            <w:tcW w:w="1985" w:type="dxa"/>
            <w:vAlign w:val="center"/>
          </w:tcPr>
          <w:p w14:paraId="1F191606" w14:textId="5C330FD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Yes </w:t>
            </w:r>
          </w:p>
          <w:p w14:paraId="24E72475" w14:textId="29693B5C"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w:t>
            </w:r>
            <w:r w:rsidR="48A74BEC" w:rsidRPr="003B11BD">
              <w:rPr>
                <w:rFonts w:ascii="Arial" w:eastAsia="Arial" w:hAnsi="Arial" w:cs="Arial"/>
                <w:noProof/>
                <w:color w:val="000000" w:themeColor="text1"/>
                <w:sz w:val="16"/>
                <w:szCs w:val="16"/>
                <w:lang w:val="en-IE"/>
              </w:rPr>
              <w:t>Four</w:t>
            </w:r>
            <w:r w:rsidRPr="003B11BD">
              <w:rPr>
                <w:rFonts w:ascii="Arial" w:eastAsia="Arial" w:hAnsi="Arial" w:cs="Arial"/>
                <w:noProof/>
                <w:color w:val="000000" w:themeColor="text1"/>
                <w:sz w:val="16"/>
                <w:szCs w:val="16"/>
                <w:lang w:val="en-IE"/>
              </w:rPr>
              <w:t xml:space="preserve"> years after application and three years after grant</w:t>
            </w:r>
            <w:r w:rsidR="340E2AB2" w:rsidRPr="003B11BD">
              <w:rPr>
                <w:rFonts w:ascii="Arial" w:eastAsia="Arial" w:hAnsi="Arial" w:cs="Arial"/>
                <w:noProof/>
                <w:color w:val="000000" w:themeColor="text1"/>
                <w:sz w:val="16"/>
                <w:szCs w:val="16"/>
                <w:lang w:val="en-IE"/>
              </w:rPr>
              <w:t xml:space="preserve"> if lack of effective exploitation by the patent owner</w:t>
            </w:r>
            <w:r w:rsidRPr="003B11BD">
              <w:rPr>
                <w:rFonts w:ascii="Arial" w:eastAsia="Arial" w:hAnsi="Arial" w:cs="Arial"/>
                <w:noProof/>
                <w:color w:val="000000" w:themeColor="text1"/>
                <w:sz w:val="16"/>
                <w:szCs w:val="16"/>
                <w:lang w:val="en-IE"/>
              </w:rPr>
              <w:t>).</w:t>
            </w:r>
          </w:p>
        </w:tc>
        <w:tc>
          <w:tcPr>
            <w:tcW w:w="2126" w:type="dxa"/>
            <w:vAlign w:val="center"/>
          </w:tcPr>
          <w:p w14:paraId="56E9AE6D" w14:textId="5811C3FD" w:rsidR="5F925C26" w:rsidRPr="003B11BD" w:rsidRDefault="5F925C26"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2222F27B" w14:textId="3B99FCA3"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Adequate remuneration, determined </w:t>
            </w:r>
            <w:r w:rsidR="4D0823CB" w:rsidRPr="003B11BD">
              <w:rPr>
                <w:rFonts w:ascii="Arial" w:eastAsia="Arial" w:hAnsi="Arial" w:cs="Arial"/>
                <w:noProof/>
                <w:color w:val="000000" w:themeColor="text1"/>
                <w:sz w:val="16"/>
                <w:szCs w:val="16"/>
                <w:lang w:val="en-IE"/>
              </w:rPr>
              <w:t>considering</w:t>
            </w:r>
            <w:r w:rsidRPr="003B11BD">
              <w:rPr>
                <w:rFonts w:ascii="Arial" w:eastAsia="Arial" w:hAnsi="Arial" w:cs="Arial"/>
                <w:noProof/>
                <w:color w:val="000000" w:themeColor="text1"/>
                <w:sz w:val="16"/>
                <w:szCs w:val="16"/>
                <w:lang w:val="en-IE"/>
              </w:rPr>
              <w:t xml:space="preserve"> the economic value</w:t>
            </w:r>
          </w:p>
          <w:p w14:paraId="3CA7CC85" w14:textId="118DBD2D"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of the authorization (Art. 70bis.2).</w:t>
            </w:r>
          </w:p>
        </w:tc>
      </w:tr>
      <w:tr w:rsidR="3D2B6CA7" w:rsidRPr="003B11BD" w14:paraId="6801675F" w14:textId="77777777" w:rsidTr="34EF0D43">
        <w:tc>
          <w:tcPr>
            <w:tcW w:w="1105" w:type="dxa"/>
            <w:vAlign w:val="center"/>
          </w:tcPr>
          <w:p w14:paraId="0C7018A9" w14:textId="7CC7C37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Latvia</w:t>
            </w:r>
          </w:p>
        </w:tc>
        <w:tc>
          <w:tcPr>
            <w:tcW w:w="1026" w:type="dxa"/>
            <w:vAlign w:val="center"/>
          </w:tcPr>
          <w:p w14:paraId="03EE0A81" w14:textId="633DDD05" w:rsidR="3D2B6CA7" w:rsidRPr="003B11BD" w:rsidRDefault="5B48C273"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151188F7" w14:textId="040FFD19" w:rsidR="3D2B6CA7" w:rsidRPr="003B11BD" w:rsidRDefault="5B48C273"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51AAD758" w14:textId="75F11163" w:rsidR="3D2B6CA7" w:rsidRPr="003B11BD" w:rsidRDefault="5B48C273"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29AB3EE4" w14:textId="3F52BFFA" w:rsidR="3D2B6CA7" w:rsidRPr="003B11BD" w:rsidRDefault="5B48C273"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22418156" w14:textId="05200A7F" w:rsidR="2B5FEB9B" w:rsidRPr="003B11BD" w:rsidRDefault="2B5FEB9B"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665CD489" w14:textId="00FF56D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Since the decision to grant a compulsory licence is taken by an administrative court of first instance, it may be appealed to the Administrative Court of Appeal. The rulings of the latter, in turn, may be appealed to the Supreme Court of Latvia.</w:t>
            </w:r>
          </w:p>
        </w:tc>
        <w:tc>
          <w:tcPr>
            <w:tcW w:w="2268" w:type="dxa"/>
            <w:vAlign w:val="center"/>
          </w:tcPr>
          <w:p w14:paraId="40C6186C" w14:textId="4621F374" w:rsidR="3D2B6CA7" w:rsidRPr="003B11BD" w:rsidRDefault="7757F77F" w:rsidP="00611FC5">
            <w:pPr>
              <w:spacing w:after="0"/>
              <w:jc w:val="center"/>
              <w:rPr>
                <w:rFonts w:ascii="Arial" w:hAnsi="Arial" w:cs="Arial"/>
                <w:noProof/>
                <w:sz w:val="16"/>
                <w:szCs w:val="16"/>
                <w:lang w:val="en-IE"/>
              </w:rPr>
            </w:pPr>
            <w:r w:rsidRPr="003B11BD">
              <w:rPr>
                <w:rFonts w:ascii="Arial" w:hAnsi="Arial" w:cs="Arial"/>
                <w:noProof/>
                <w:sz w:val="16"/>
                <w:szCs w:val="16"/>
                <w:lang w:val="en-IE"/>
              </w:rPr>
              <w:t>_ _</w:t>
            </w:r>
          </w:p>
        </w:tc>
        <w:tc>
          <w:tcPr>
            <w:tcW w:w="1985" w:type="dxa"/>
            <w:vAlign w:val="center"/>
          </w:tcPr>
          <w:p w14:paraId="22FCAE35" w14:textId="4D704DBB" w:rsidR="3D2B6CA7" w:rsidRPr="003B11BD" w:rsidRDefault="6D20E06B" w:rsidP="3AE64D6D">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1D501328" w14:textId="36623037" w:rsidR="3D2B6CA7" w:rsidRPr="003B11BD" w:rsidRDefault="6D20E06B"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(if a patented invention has not been used in Latvia or has been used to an insufficient degree within four years from the date of application or three years from the date on which the grant of a patent was published)</w:t>
            </w:r>
          </w:p>
        </w:tc>
        <w:tc>
          <w:tcPr>
            <w:tcW w:w="2126" w:type="dxa"/>
            <w:vAlign w:val="center"/>
          </w:tcPr>
          <w:p w14:paraId="15928AB1" w14:textId="226D1843" w:rsidR="2F6792F2" w:rsidRPr="003B11BD" w:rsidRDefault="2F6792F2"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5780A081" w14:textId="3F164F2C"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Determined by the court, observing the economic value of the licence, the extent of use of an invention and other circumstances (Section 54.9).</w:t>
            </w:r>
          </w:p>
        </w:tc>
      </w:tr>
      <w:tr w:rsidR="3D2B6CA7" w:rsidRPr="003B11BD" w14:paraId="0A07E7E9" w14:textId="77777777" w:rsidTr="34EF0D43">
        <w:tc>
          <w:tcPr>
            <w:tcW w:w="1105" w:type="dxa"/>
            <w:vAlign w:val="center"/>
          </w:tcPr>
          <w:p w14:paraId="588E60FA" w14:textId="55361350"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Lithuania</w:t>
            </w:r>
          </w:p>
        </w:tc>
        <w:tc>
          <w:tcPr>
            <w:tcW w:w="1026" w:type="dxa"/>
            <w:vAlign w:val="center"/>
          </w:tcPr>
          <w:p w14:paraId="38238A18" w14:textId="5F4137FA" w:rsidR="3D2B6CA7" w:rsidRPr="003B11BD" w:rsidRDefault="329CEDE8"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779C3351" w14:textId="1089634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40774B06" w14:textId="41B31E47" w:rsidR="3D2B6CA7" w:rsidRPr="003B11BD" w:rsidRDefault="2969E74C"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5F9DEA1C" w14:textId="30221789" w:rsidR="001423E4" w:rsidRPr="003B11BD" w:rsidRDefault="23346426" w:rsidP="4A48D95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r w:rsidR="001423E4" w:rsidRPr="003B11BD">
              <w:rPr>
                <w:rFonts w:ascii="Arial" w:eastAsia="Arial" w:hAnsi="Arial" w:cs="Arial"/>
                <w:noProof/>
                <w:color w:val="000000" w:themeColor="text1"/>
                <w:sz w:val="16"/>
                <w:szCs w:val="16"/>
                <w:lang w:val="en-IE"/>
              </w:rPr>
              <w:t xml:space="preserve"> </w:t>
            </w:r>
          </w:p>
          <w:p w14:paraId="2377EB64" w14:textId="48140C22" w:rsidR="3D2B6CA7" w:rsidRPr="003B11BD" w:rsidRDefault="020D8C55" w:rsidP="00611FC5">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w:t>
            </w:r>
            <w:r w:rsidR="40C23B81" w:rsidRPr="003B11BD">
              <w:rPr>
                <w:rFonts w:ascii="Arial" w:eastAsia="Arial" w:hAnsi="Arial" w:cs="Arial"/>
                <w:noProof/>
                <w:color w:val="000000" w:themeColor="text1"/>
                <w:sz w:val="16"/>
                <w:szCs w:val="16"/>
                <w:lang w:val="en-IE"/>
              </w:rPr>
              <w:t>However, t</w:t>
            </w:r>
            <w:r w:rsidRPr="003B11BD">
              <w:rPr>
                <w:rFonts w:ascii="Arial" w:eastAsia="Arial" w:hAnsi="Arial" w:cs="Arial"/>
                <w:noProof/>
                <w:color w:val="000000" w:themeColor="text1"/>
                <w:sz w:val="16"/>
                <w:szCs w:val="16"/>
                <w:lang w:val="en-IE"/>
              </w:rPr>
              <w:t>he laws of the Republic of Lithuania may establish obligation to trade secret holder to disclose information constituting trade secret for reasons of public interest to court, government, or public administration institution and (or) body.)</w:t>
            </w:r>
          </w:p>
        </w:tc>
        <w:tc>
          <w:tcPr>
            <w:tcW w:w="3853" w:type="dxa"/>
            <w:vAlign w:val="center"/>
          </w:tcPr>
          <w:p w14:paraId="5384DB76" w14:textId="2594C1FD" w:rsidR="5C29820E" w:rsidRPr="003B11BD" w:rsidRDefault="5C29820E"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7BF94B55" w14:textId="29E3887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All final decisions of a competent court or authority described in the above may be appealed to a Court of Appeal of Lithuania.</w:t>
            </w:r>
          </w:p>
        </w:tc>
        <w:tc>
          <w:tcPr>
            <w:tcW w:w="2268" w:type="dxa"/>
            <w:vAlign w:val="center"/>
          </w:tcPr>
          <w:p w14:paraId="28514B17" w14:textId="164F1DEC" w:rsidR="3D2B6CA7" w:rsidRPr="003B11BD" w:rsidRDefault="3A6146E6" w:rsidP="00611FC5">
            <w:pPr>
              <w:spacing w:after="0"/>
              <w:jc w:val="center"/>
              <w:rPr>
                <w:rFonts w:ascii="Arial" w:hAnsi="Arial" w:cs="Arial"/>
                <w:noProof/>
                <w:sz w:val="16"/>
                <w:szCs w:val="16"/>
                <w:lang w:val="en-IE"/>
              </w:rPr>
            </w:pPr>
            <w:r w:rsidRPr="003B11BD">
              <w:rPr>
                <w:rFonts w:ascii="Arial" w:hAnsi="Arial" w:cs="Arial"/>
                <w:noProof/>
                <w:sz w:val="16"/>
                <w:szCs w:val="16"/>
                <w:lang w:val="en-IE"/>
              </w:rPr>
              <w:t>_ _</w:t>
            </w:r>
          </w:p>
        </w:tc>
        <w:tc>
          <w:tcPr>
            <w:tcW w:w="1985" w:type="dxa"/>
            <w:vAlign w:val="center"/>
          </w:tcPr>
          <w:p w14:paraId="4DDFFD44" w14:textId="4CD45419" w:rsidR="3D2B6CA7" w:rsidRPr="003B11BD" w:rsidRDefault="127D5AB6"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No</w:t>
            </w:r>
            <w:r w:rsidR="0E4FB295" w:rsidRPr="003B11BD">
              <w:rPr>
                <w:rFonts w:ascii="Arial" w:eastAsia="Arial" w:hAnsi="Arial" w:cs="Arial"/>
                <w:noProof/>
                <w:color w:val="000000" w:themeColor="text1"/>
                <w:sz w:val="16"/>
                <w:szCs w:val="16"/>
                <w:lang w:val="en-IE"/>
              </w:rPr>
              <w:t xml:space="preserve"> </w:t>
            </w:r>
          </w:p>
        </w:tc>
        <w:tc>
          <w:tcPr>
            <w:tcW w:w="2126" w:type="dxa"/>
            <w:vAlign w:val="center"/>
          </w:tcPr>
          <w:p w14:paraId="786E61D0" w14:textId="14FB5B2B" w:rsidR="463A21AA" w:rsidRPr="003B11BD" w:rsidRDefault="463A21AA"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2A1F67C1" w14:textId="10E01905"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Fair remuneration, taking into consideration economic value of the invention (Art. 39.2).</w:t>
            </w:r>
          </w:p>
        </w:tc>
      </w:tr>
      <w:tr w:rsidR="3D2B6CA7" w:rsidRPr="003B11BD" w14:paraId="738CD423" w14:textId="77777777" w:rsidTr="34EF0D43">
        <w:tc>
          <w:tcPr>
            <w:tcW w:w="1105" w:type="dxa"/>
            <w:vAlign w:val="center"/>
          </w:tcPr>
          <w:p w14:paraId="6865B02B" w14:textId="44118173" w:rsidR="3D2B6CA7" w:rsidRPr="003B11BD" w:rsidRDefault="3D2B6CA7" w:rsidP="00C36F29">
            <w:pPr>
              <w:spacing w:after="0"/>
              <w:ind w:right="-11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Luxembourg</w:t>
            </w:r>
          </w:p>
        </w:tc>
        <w:tc>
          <w:tcPr>
            <w:tcW w:w="1026" w:type="dxa"/>
            <w:vAlign w:val="center"/>
          </w:tcPr>
          <w:p w14:paraId="71C56F10" w14:textId="1E3EB858" w:rsidR="3D2B6CA7" w:rsidRPr="003B11BD" w:rsidRDefault="786C2E38"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4C9EF529" w14:textId="10926549" w:rsidR="3D2B6CA7" w:rsidRPr="003B11BD" w:rsidRDefault="786C2E38"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0E5D96AF" w14:textId="1F5FD4DF" w:rsidR="3D2B6CA7" w:rsidRPr="003B11BD" w:rsidRDefault="786C2E38"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63856CC0" w14:textId="39457762" w:rsidR="3D2B6CA7" w:rsidRPr="003B11BD" w:rsidRDefault="786C2E38"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4E0125F4" w14:textId="05200A7F" w:rsidR="46AF7427" w:rsidRPr="003B11BD" w:rsidRDefault="46AF742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7693BD3A" w14:textId="5CC4153F"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Before the Luxembourg Court of Appeal.</w:t>
            </w:r>
          </w:p>
        </w:tc>
        <w:tc>
          <w:tcPr>
            <w:tcW w:w="2268" w:type="dxa"/>
            <w:vAlign w:val="center"/>
          </w:tcPr>
          <w:p w14:paraId="50F53B87" w14:textId="5017BCBD" w:rsidR="3D2B6CA7" w:rsidRPr="003B11BD" w:rsidRDefault="268A5ACC" w:rsidP="00611FC5">
            <w:pPr>
              <w:spacing w:after="0"/>
              <w:jc w:val="center"/>
              <w:rPr>
                <w:rFonts w:ascii="Arial" w:hAnsi="Arial" w:cs="Arial"/>
                <w:noProof/>
                <w:sz w:val="16"/>
                <w:szCs w:val="16"/>
                <w:lang w:val="en-IE"/>
              </w:rPr>
            </w:pPr>
            <w:r w:rsidRPr="003B11BD">
              <w:rPr>
                <w:rFonts w:ascii="Arial" w:hAnsi="Arial" w:cs="Arial"/>
                <w:noProof/>
                <w:sz w:val="16"/>
                <w:szCs w:val="16"/>
                <w:lang w:val="en-IE"/>
              </w:rPr>
              <w:t>_ _</w:t>
            </w:r>
          </w:p>
        </w:tc>
        <w:tc>
          <w:tcPr>
            <w:tcW w:w="1985" w:type="dxa"/>
            <w:vAlign w:val="center"/>
          </w:tcPr>
          <w:p w14:paraId="52C542BC" w14:textId="5CB6FF10" w:rsidR="3D2B6CA7" w:rsidRPr="003B11BD" w:rsidRDefault="545948F9" w:rsidP="3AE64D6D">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1637994E" w14:textId="3BCFB97B" w:rsidR="3D2B6CA7" w:rsidRPr="003B11BD" w:rsidRDefault="545948F9"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(Lack of exploitation: three years from the grant of a patent or four years from the filing date of the patent application)</w:t>
            </w:r>
          </w:p>
        </w:tc>
        <w:tc>
          <w:tcPr>
            <w:tcW w:w="2126" w:type="dxa"/>
            <w:vAlign w:val="center"/>
          </w:tcPr>
          <w:p w14:paraId="56BD291B" w14:textId="05200A7F" w:rsidR="7A58F0EF" w:rsidRPr="003B11BD" w:rsidRDefault="7A58F0E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01A713C7" w14:textId="0C4EA0EB"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Adequate remuneration, </w:t>
            </w:r>
            <w:r w:rsidR="074A31F0" w:rsidRPr="003B11BD">
              <w:rPr>
                <w:rFonts w:ascii="Arial" w:eastAsia="Arial" w:hAnsi="Arial" w:cs="Arial"/>
                <w:noProof/>
                <w:color w:val="000000" w:themeColor="text1"/>
                <w:sz w:val="16"/>
                <w:szCs w:val="16"/>
                <w:lang w:val="en-IE"/>
              </w:rPr>
              <w:t>considering</w:t>
            </w:r>
            <w:r w:rsidRPr="003B11BD">
              <w:rPr>
                <w:rFonts w:ascii="Arial" w:eastAsia="Arial" w:hAnsi="Arial" w:cs="Arial"/>
                <w:noProof/>
                <w:color w:val="000000" w:themeColor="text1"/>
                <w:sz w:val="16"/>
                <w:szCs w:val="16"/>
                <w:lang w:val="en-IE"/>
              </w:rPr>
              <w:t xml:space="preserve"> the economic value of the licence.</w:t>
            </w:r>
          </w:p>
        </w:tc>
      </w:tr>
      <w:tr w:rsidR="3D2B6CA7" w:rsidRPr="003B11BD" w14:paraId="2BBD5DA5" w14:textId="77777777" w:rsidTr="34EF0D43">
        <w:tc>
          <w:tcPr>
            <w:tcW w:w="1105" w:type="dxa"/>
            <w:vAlign w:val="center"/>
          </w:tcPr>
          <w:p w14:paraId="74C6FBD2" w14:textId="791DF9BB"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Malta</w:t>
            </w:r>
          </w:p>
        </w:tc>
        <w:tc>
          <w:tcPr>
            <w:tcW w:w="1026" w:type="dxa"/>
            <w:vAlign w:val="center"/>
          </w:tcPr>
          <w:p w14:paraId="02A7704F" w14:textId="233461B9" w:rsidR="3D2B6CA7" w:rsidRPr="003B11BD" w:rsidRDefault="7E412A3E" w:rsidP="44D584B8">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51AEFD83" w14:textId="2D40F442" w:rsidR="3D2B6CA7" w:rsidRPr="003B11BD" w:rsidRDefault="3D2B6CA7" w:rsidP="44D584B8">
            <w:pPr>
              <w:spacing w:after="0"/>
              <w:jc w:val="center"/>
              <w:rPr>
                <w:rFonts w:ascii="Arial" w:eastAsia="Arial" w:hAnsi="Arial" w:cs="Arial"/>
                <w:noProof/>
                <w:color w:val="000000" w:themeColor="text1"/>
                <w:sz w:val="16"/>
                <w:szCs w:val="16"/>
                <w:lang w:val="en-IE"/>
              </w:rPr>
            </w:pPr>
          </w:p>
          <w:p w14:paraId="2A2D73C6" w14:textId="0F7496AA" w:rsidR="3D2B6CA7" w:rsidRPr="003B11BD" w:rsidRDefault="7E412A3E" w:rsidP="44D584B8">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(Art. 40 Maltese Patent and Designs Act)</w:t>
            </w:r>
          </w:p>
        </w:tc>
        <w:tc>
          <w:tcPr>
            <w:tcW w:w="990" w:type="dxa"/>
            <w:vAlign w:val="center"/>
          </w:tcPr>
          <w:p w14:paraId="462ACCE3" w14:textId="116FBC2D" w:rsidR="3D2B6CA7" w:rsidRPr="003B11BD" w:rsidRDefault="6D523DC6"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3D15294C" w14:textId="5E7F17A2" w:rsidR="3D2B6CA7" w:rsidRPr="003B11BD" w:rsidRDefault="6D523DC6"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51308710" w14:textId="51446FD1" w:rsidR="3D2B6CA7" w:rsidRPr="003B11BD" w:rsidRDefault="6D523DC6"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2283CE1E" w14:textId="6AF23B33" w:rsidR="6D523DC6" w:rsidRPr="003B11BD" w:rsidRDefault="6D523DC6"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663F5878" w14:textId="7EE54F11"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For compulsory licences granted in the public interest the decision may be appealed to the relevant court of first instance indicated herein and, even if the Act is silent on this issue, in terms of general laws of procedure a further appeal from judgment thereof is possible by application filed before the Court of Appeal.</w:t>
            </w:r>
          </w:p>
          <w:p w14:paraId="2C4EFB55" w14:textId="5ED8D958"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The act is silence for the other situations of compulsory </w:t>
            </w:r>
            <w:r w:rsidR="00C55853" w:rsidRPr="003B11BD">
              <w:rPr>
                <w:rFonts w:ascii="Arial" w:eastAsia="Arial" w:hAnsi="Arial" w:cs="Arial"/>
                <w:noProof/>
                <w:color w:val="000000" w:themeColor="text1"/>
                <w:sz w:val="16"/>
                <w:szCs w:val="16"/>
                <w:lang w:val="en-IE"/>
              </w:rPr>
              <w:t>licensing</w:t>
            </w:r>
            <w:r w:rsidRPr="003B11BD">
              <w:rPr>
                <w:rFonts w:ascii="Arial" w:eastAsia="Arial" w:hAnsi="Arial" w:cs="Arial"/>
                <w:noProof/>
                <w:color w:val="000000" w:themeColor="text1"/>
                <w:sz w:val="16"/>
                <w:szCs w:val="16"/>
                <w:lang w:val="en-IE"/>
              </w:rPr>
              <w:t>.</w:t>
            </w:r>
          </w:p>
        </w:tc>
        <w:tc>
          <w:tcPr>
            <w:tcW w:w="2268" w:type="dxa"/>
            <w:vAlign w:val="center"/>
          </w:tcPr>
          <w:p w14:paraId="18EFE83C" w14:textId="478D3AB3" w:rsidR="3D2B6CA7" w:rsidRPr="003B11BD" w:rsidRDefault="65CD0150" w:rsidP="00611FC5">
            <w:pPr>
              <w:spacing w:after="0"/>
              <w:jc w:val="center"/>
              <w:rPr>
                <w:rFonts w:ascii="Arial" w:hAnsi="Arial" w:cs="Arial"/>
                <w:noProof/>
                <w:sz w:val="16"/>
                <w:szCs w:val="16"/>
                <w:lang w:val="en-IE"/>
              </w:rPr>
            </w:pPr>
            <w:r w:rsidRPr="003B11BD">
              <w:rPr>
                <w:rFonts w:ascii="Arial" w:hAnsi="Arial" w:cs="Arial"/>
                <w:noProof/>
                <w:sz w:val="16"/>
                <w:szCs w:val="16"/>
                <w:lang w:val="en-IE"/>
              </w:rPr>
              <w:t>_ _</w:t>
            </w:r>
          </w:p>
        </w:tc>
        <w:tc>
          <w:tcPr>
            <w:tcW w:w="1985" w:type="dxa"/>
            <w:vAlign w:val="center"/>
          </w:tcPr>
          <w:p w14:paraId="5EA9A291" w14:textId="7FBAE0D0" w:rsidR="3D2B6CA7" w:rsidRPr="003B11BD" w:rsidRDefault="0209A54F" w:rsidP="3AE64D6D">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00E088E5" w14:textId="3DEC51FF" w:rsidR="3D2B6CA7" w:rsidRPr="003B11BD" w:rsidRDefault="0209A54F"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(Expiration of a period of four years from the date of filing the application for the patent or three years from the grant of the patent) </w:t>
            </w:r>
          </w:p>
        </w:tc>
        <w:tc>
          <w:tcPr>
            <w:tcW w:w="2126" w:type="dxa"/>
            <w:vAlign w:val="center"/>
          </w:tcPr>
          <w:p w14:paraId="6965F747" w14:textId="05200A7F" w:rsidR="735410AC" w:rsidRPr="003B11BD" w:rsidRDefault="735410AC"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0DB20FB7" w14:textId="5E0D4275"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“Equitable remuneration” for a sworn application filed by any person who proves his ability to work the patented invention in Malta. Determined by the Court.</w:t>
            </w:r>
          </w:p>
          <w:p w14:paraId="41F83BE2" w14:textId="6276436B"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“Appropriate remuneration” for:</w:t>
            </w:r>
          </w:p>
          <w:p w14:paraId="2C81FFDC" w14:textId="707651A1" w:rsidR="3D2B6CA7" w:rsidRPr="003B11BD" w:rsidRDefault="5BFC2DD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Sworn application filed by the owner of the patent.</w:t>
            </w:r>
          </w:p>
          <w:p w14:paraId="769593EC" w14:textId="6276436B" w:rsidR="3D2B6CA7" w:rsidRPr="003B11BD" w:rsidRDefault="5BFC2DD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Application filed by a breeder.</w:t>
            </w:r>
          </w:p>
          <w:p w14:paraId="6E0C4A75" w14:textId="6276436B" w:rsidR="3D2B6CA7" w:rsidRPr="003B11BD" w:rsidRDefault="5BFC2DD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Application filed by the holder of a patent concerning a biotechnological invention who cannot exploit it without infringing a prior plant variety right.</w:t>
            </w:r>
          </w:p>
          <w:p w14:paraId="3798A040" w14:textId="6276436B" w:rsidR="3D2B6CA7" w:rsidRPr="003B11BD" w:rsidRDefault="5BFC2DD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National security or public safety.</w:t>
            </w:r>
          </w:p>
        </w:tc>
      </w:tr>
      <w:tr w:rsidR="3D2B6CA7" w:rsidRPr="003B11BD" w14:paraId="71C5BC54" w14:textId="77777777" w:rsidTr="34EF0D43">
        <w:tc>
          <w:tcPr>
            <w:tcW w:w="1105" w:type="dxa"/>
            <w:vAlign w:val="center"/>
          </w:tcPr>
          <w:p w14:paraId="0CEE29E7" w14:textId="427DC66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Netherlands</w:t>
            </w:r>
          </w:p>
        </w:tc>
        <w:tc>
          <w:tcPr>
            <w:tcW w:w="1026" w:type="dxa"/>
            <w:vAlign w:val="center"/>
          </w:tcPr>
          <w:p w14:paraId="5FAB34F1" w14:textId="1F65F4E0" w:rsidR="3D2B6CA7" w:rsidRPr="003B11BD" w:rsidRDefault="1FECD8DE"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No</w:t>
            </w:r>
          </w:p>
        </w:tc>
        <w:tc>
          <w:tcPr>
            <w:tcW w:w="990" w:type="dxa"/>
            <w:vAlign w:val="center"/>
          </w:tcPr>
          <w:p w14:paraId="5F83A204" w14:textId="63B51AAB"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36358514" w14:textId="1E1B1F6F" w:rsidR="3D2B6CA7" w:rsidRPr="003B11BD" w:rsidRDefault="00754955"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No </w:t>
            </w:r>
          </w:p>
        </w:tc>
        <w:tc>
          <w:tcPr>
            <w:tcW w:w="1382" w:type="dxa"/>
            <w:vAlign w:val="center"/>
          </w:tcPr>
          <w:p w14:paraId="14E4B6AF" w14:textId="63B84FCF" w:rsidR="41096468" w:rsidRPr="003B11BD" w:rsidRDefault="41096468" w:rsidP="6B867BA4">
            <w:pPr>
              <w:spacing w:after="0"/>
              <w:jc w:val="center"/>
              <w:rPr>
                <w:noProof/>
                <w:lang w:val="en-IE"/>
              </w:rPr>
            </w:pPr>
            <w:r w:rsidRPr="003B11BD">
              <w:rPr>
                <w:rFonts w:ascii="Arial" w:eastAsia="Arial" w:hAnsi="Arial" w:cs="Arial"/>
                <w:noProof/>
                <w:color w:val="000000" w:themeColor="text1"/>
                <w:sz w:val="16"/>
                <w:szCs w:val="16"/>
                <w:lang w:val="en-IE"/>
              </w:rPr>
              <w:t>No</w:t>
            </w:r>
          </w:p>
          <w:p w14:paraId="556D629B" w14:textId="44B4BDA6" w:rsidR="3D2B6CA7" w:rsidRPr="003B11BD" w:rsidRDefault="7C4BD525" w:rsidP="00611FC5">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(The Netherlands Trade Secrets Act do not contain any provisions on forced access to know-how. However, the Act leave open the possibility of such a statutory forced access regulation.)</w:t>
            </w:r>
          </w:p>
        </w:tc>
        <w:tc>
          <w:tcPr>
            <w:tcW w:w="3853" w:type="dxa"/>
            <w:vAlign w:val="center"/>
          </w:tcPr>
          <w:p w14:paraId="3C0C9B3D" w14:textId="3487A76C" w:rsidR="16B88D07" w:rsidRPr="003B11BD" w:rsidRDefault="16B88D0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7F65D99B" w14:textId="534F63DF"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After a decision by the Minister about a compulsory licence in the public interest, both parties (applicant and patentee) may lodge an objection,21 which is a complaint sent to the Minister himself to re-evaluate his previous decision. The term to submit an objection is six weeks.22 After the decision on objection, an appeal can be lodged to the administrative chamber of the District Court of The Hague.23 A final appeal may be lodged to the Council of State (Raad van State). Both the objection and the appeal have suspensive effect, unless the decision of the Minister provides otherwise on grounds of urgency.</w:t>
            </w:r>
          </w:p>
        </w:tc>
        <w:tc>
          <w:tcPr>
            <w:tcW w:w="2268" w:type="dxa"/>
            <w:vAlign w:val="center"/>
          </w:tcPr>
          <w:p w14:paraId="47215657" w14:textId="6BDB0E5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No</w:t>
            </w:r>
          </w:p>
        </w:tc>
        <w:tc>
          <w:tcPr>
            <w:tcW w:w="1985" w:type="dxa"/>
            <w:vAlign w:val="center"/>
          </w:tcPr>
          <w:p w14:paraId="6AF8BC5D" w14:textId="78050881"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4B18978D" w14:textId="682BE72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 (</w:t>
            </w:r>
            <w:r w:rsidR="7F0C71E4" w:rsidRPr="003B11BD">
              <w:rPr>
                <w:rFonts w:ascii="Arial" w:eastAsia="Arial" w:hAnsi="Arial" w:cs="Arial"/>
                <w:noProof/>
                <w:color w:val="000000" w:themeColor="text1"/>
                <w:sz w:val="16"/>
                <w:szCs w:val="16"/>
                <w:lang w:val="en-IE"/>
              </w:rPr>
              <w:t>Three</w:t>
            </w:r>
            <w:r w:rsidRPr="003B11BD">
              <w:rPr>
                <w:rFonts w:ascii="Arial" w:eastAsia="Arial" w:hAnsi="Arial" w:cs="Arial"/>
                <w:noProof/>
                <w:color w:val="000000" w:themeColor="text1"/>
                <w:sz w:val="16"/>
                <w:szCs w:val="16"/>
                <w:lang w:val="en-IE"/>
              </w:rPr>
              <w:t xml:space="preserve"> years of lack of use before a CL can be requested).</w:t>
            </w:r>
          </w:p>
        </w:tc>
        <w:tc>
          <w:tcPr>
            <w:tcW w:w="2126" w:type="dxa"/>
            <w:vAlign w:val="center"/>
          </w:tcPr>
          <w:p w14:paraId="4D640308" w14:textId="2294DDDC" w:rsidR="572B89E8" w:rsidRPr="003B11BD" w:rsidRDefault="572B89E8"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49461D31" w14:textId="18CCC03A"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In case of national defence, the Minister who is directly concerned shall determine, by agreement with the patent holder, the fee to be paid to the patent holder by the State (Art. 59).</w:t>
            </w:r>
          </w:p>
        </w:tc>
      </w:tr>
      <w:tr w:rsidR="3D2B6CA7" w:rsidRPr="003B11BD" w14:paraId="3E9505CA" w14:textId="77777777" w:rsidTr="34EF0D43">
        <w:tc>
          <w:tcPr>
            <w:tcW w:w="1105" w:type="dxa"/>
            <w:vAlign w:val="center"/>
          </w:tcPr>
          <w:p w14:paraId="0516FDA3" w14:textId="01985E0F"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Poland</w:t>
            </w:r>
          </w:p>
        </w:tc>
        <w:tc>
          <w:tcPr>
            <w:tcW w:w="1026" w:type="dxa"/>
            <w:vAlign w:val="center"/>
          </w:tcPr>
          <w:p w14:paraId="12175D55" w14:textId="4EFE639D" w:rsidR="3D2B6CA7" w:rsidRPr="003B11BD" w:rsidRDefault="360B8756"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2C789C88" w14:textId="0CC0B162" w:rsidR="3D2B6CA7" w:rsidRPr="003B11BD" w:rsidRDefault="28EB6B64"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No</w:t>
            </w:r>
          </w:p>
        </w:tc>
        <w:tc>
          <w:tcPr>
            <w:tcW w:w="708" w:type="dxa"/>
            <w:vAlign w:val="center"/>
          </w:tcPr>
          <w:p w14:paraId="2B911E21" w14:textId="459B78FC" w:rsidR="3D2B6CA7" w:rsidRPr="003B11BD" w:rsidRDefault="472F3B50"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6F3B1859" w14:textId="551670D7" w:rsidR="3D2B6CA7" w:rsidRPr="003B11BD" w:rsidRDefault="472F3B50"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1EEE0F81" w14:textId="1AEA0DCE" w:rsidR="66D62D36" w:rsidRPr="003B11BD" w:rsidRDefault="66D62D36"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7979948A" w14:textId="0A178B6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Parties to the proceedings are entitled to lodge a complaint with the Voivodeship Administrative Court in Warsaw. A decision rendered by the Voivodeship Administrative Court can be appealed before the Supreme Administrative Court.</w:t>
            </w:r>
          </w:p>
        </w:tc>
        <w:tc>
          <w:tcPr>
            <w:tcW w:w="2268" w:type="dxa"/>
            <w:vAlign w:val="center"/>
          </w:tcPr>
          <w:p w14:paraId="3FAF25B7" w14:textId="6D43E2C5"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No</w:t>
            </w:r>
          </w:p>
        </w:tc>
        <w:tc>
          <w:tcPr>
            <w:tcW w:w="1985" w:type="dxa"/>
            <w:vAlign w:val="center"/>
          </w:tcPr>
          <w:p w14:paraId="5CF6B94B" w14:textId="4A86BC88" w:rsidR="3D2B6CA7" w:rsidRPr="003B11BD" w:rsidRDefault="623D1D71"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No </w:t>
            </w:r>
          </w:p>
        </w:tc>
        <w:tc>
          <w:tcPr>
            <w:tcW w:w="2126" w:type="dxa"/>
            <w:vAlign w:val="center"/>
          </w:tcPr>
          <w:p w14:paraId="4585E522" w14:textId="497670EB" w:rsidR="191746AF" w:rsidRPr="003B11BD" w:rsidRDefault="191746AF"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6B38C152" w14:textId="0185CE3A" w:rsidR="3D2B6CA7" w:rsidRPr="003B11BD" w:rsidRDefault="488625CE"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Determined proportion</w:t>
            </w:r>
            <w:r w:rsidR="3D2B6CA7" w:rsidRPr="003B11BD">
              <w:rPr>
                <w:rFonts w:ascii="Arial" w:eastAsia="Arial" w:hAnsi="Arial" w:cs="Arial"/>
                <w:noProof/>
                <w:color w:val="000000" w:themeColor="text1"/>
                <w:sz w:val="16"/>
                <w:szCs w:val="16"/>
                <w:lang w:val="en-IE"/>
              </w:rPr>
              <w:t xml:space="preserve"> to the market value of the license, of the royalty and the manner and time limits of payment (Art. 84.2).</w:t>
            </w:r>
          </w:p>
        </w:tc>
      </w:tr>
      <w:tr w:rsidR="3D2B6CA7" w:rsidRPr="003B11BD" w14:paraId="5A6CE12A" w14:textId="77777777" w:rsidTr="34EF0D43">
        <w:tc>
          <w:tcPr>
            <w:tcW w:w="1105" w:type="dxa"/>
            <w:vAlign w:val="center"/>
          </w:tcPr>
          <w:p w14:paraId="35C2EED8" w14:textId="151E170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Portugal</w:t>
            </w:r>
          </w:p>
        </w:tc>
        <w:tc>
          <w:tcPr>
            <w:tcW w:w="1026" w:type="dxa"/>
            <w:vAlign w:val="center"/>
          </w:tcPr>
          <w:p w14:paraId="3C2FB883" w14:textId="378E97FB" w:rsidR="3D2B6CA7" w:rsidRPr="003B11BD" w:rsidRDefault="2B8129C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25E515C3" w14:textId="6F6AA100" w:rsidR="3D2B6CA7" w:rsidRPr="003B11BD" w:rsidRDefault="2B8129C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42E0F9A9" w14:textId="5F48FF7C" w:rsidR="3D2B6CA7" w:rsidRPr="003B11BD" w:rsidRDefault="2B8129C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0CD3DD89" w14:textId="175852E0" w:rsidR="3D2B6CA7" w:rsidRPr="003B11BD" w:rsidRDefault="2B8129C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0E39D961" w14:textId="6A7F4937" w:rsidR="6200A573" w:rsidRPr="003B11BD" w:rsidRDefault="6200A573"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4ED37A3D" w14:textId="40BD4CB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 to grant or not grant a compulsory licence can be appealed to the Intellectual Property Court. The expert panel’s decision on the terms and compensation of the compulsory licence may also be appealed to the Intellectual Property Court.</w:t>
            </w:r>
          </w:p>
        </w:tc>
        <w:tc>
          <w:tcPr>
            <w:tcW w:w="2268" w:type="dxa"/>
            <w:vAlign w:val="center"/>
          </w:tcPr>
          <w:p w14:paraId="333A6590" w14:textId="6F096A0F" w:rsidR="3D2B6CA7" w:rsidRPr="003B11BD" w:rsidRDefault="3D2B6CA7" w:rsidP="1E54F91A">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No</w:t>
            </w:r>
          </w:p>
          <w:p w14:paraId="5B7EBD76" w14:textId="4F62D6AF" w:rsidR="3D2B6CA7" w:rsidRPr="003B11BD" w:rsidRDefault="6647E43A"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(The law does not contemplate the possibility of obtaining a compulsory licence by way of a preliminary injunction.)</w:t>
            </w:r>
          </w:p>
        </w:tc>
        <w:tc>
          <w:tcPr>
            <w:tcW w:w="1985" w:type="dxa"/>
            <w:vAlign w:val="center"/>
          </w:tcPr>
          <w:p w14:paraId="55DB941D" w14:textId="28F1E335" w:rsidR="3D2B6CA7" w:rsidRPr="003B11BD" w:rsidRDefault="2B413D64" w:rsidP="3AE64D6D">
            <w:pPr>
              <w:spacing w:after="0"/>
              <w:jc w:val="center"/>
              <w:rPr>
                <w:rFonts w:ascii="Arial" w:hAnsi="Arial" w:cs="Arial"/>
                <w:noProof/>
                <w:sz w:val="16"/>
                <w:szCs w:val="16"/>
                <w:lang w:val="en-IE"/>
              </w:rPr>
            </w:pPr>
            <w:r w:rsidRPr="003B11BD">
              <w:rPr>
                <w:rFonts w:ascii="Arial" w:hAnsi="Arial" w:cs="Arial"/>
                <w:noProof/>
                <w:sz w:val="16"/>
                <w:szCs w:val="16"/>
                <w:lang w:val="en-IE"/>
              </w:rPr>
              <w:t>Yes</w:t>
            </w:r>
          </w:p>
          <w:p w14:paraId="4E818493" w14:textId="61E50C2E" w:rsidR="3D2B6CA7" w:rsidRPr="003B11BD" w:rsidRDefault="2B413D64" w:rsidP="00611FC5">
            <w:pPr>
              <w:spacing w:after="0"/>
              <w:jc w:val="center"/>
              <w:rPr>
                <w:rFonts w:ascii="Arial" w:hAnsi="Arial" w:cs="Arial"/>
                <w:noProof/>
                <w:sz w:val="16"/>
                <w:szCs w:val="16"/>
                <w:lang w:val="en-IE"/>
              </w:rPr>
            </w:pPr>
            <w:r w:rsidRPr="003B11BD">
              <w:rPr>
                <w:rFonts w:ascii="Arial" w:hAnsi="Arial" w:cs="Arial"/>
                <w:noProof/>
                <w:sz w:val="16"/>
                <w:szCs w:val="16"/>
                <w:lang w:val="en-IE"/>
              </w:rPr>
              <w:t xml:space="preserve">(Lack of exploitation: four years of the filing date or three years of the grant date) </w:t>
            </w:r>
          </w:p>
        </w:tc>
        <w:tc>
          <w:tcPr>
            <w:tcW w:w="2126" w:type="dxa"/>
            <w:vAlign w:val="center"/>
          </w:tcPr>
          <w:p w14:paraId="31624672" w14:textId="40F88351" w:rsidR="7815465E" w:rsidRPr="003B11BD" w:rsidRDefault="7815465E"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3C82895D" w14:textId="6EA5DEB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Adequate remuneration, taking into account the economic value of the licence (Art. 108.6).</w:t>
            </w:r>
          </w:p>
        </w:tc>
      </w:tr>
      <w:tr w:rsidR="3D2B6CA7" w:rsidRPr="003B11BD" w14:paraId="0C215ED2" w14:textId="77777777" w:rsidTr="34EF0D43">
        <w:tc>
          <w:tcPr>
            <w:tcW w:w="1105" w:type="dxa"/>
            <w:vAlign w:val="center"/>
          </w:tcPr>
          <w:p w14:paraId="3A659141" w14:textId="156100F1"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Romania</w:t>
            </w:r>
          </w:p>
        </w:tc>
        <w:tc>
          <w:tcPr>
            <w:tcW w:w="1026" w:type="dxa"/>
            <w:vAlign w:val="center"/>
          </w:tcPr>
          <w:p w14:paraId="1ACE33AA" w14:textId="635AF513"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990" w:type="dxa"/>
            <w:vAlign w:val="center"/>
          </w:tcPr>
          <w:p w14:paraId="2000F954" w14:textId="643FB588"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3EC4E21B" w14:textId="53F25B2D" w:rsidR="3D2B6CA7" w:rsidRPr="003B11BD" w:rsidRDefault="63D5D602" w:rsidP="00611FC5">
            <w:pPr>
              <w:spacing w:after="0"/>
              <w:jc w:val="center"/>
              <w:rPr>
                <w:rFonts w:ascii="Arial" w:eastAsia="Arial" w:hAnsi="Arial" w:cs="Arial"/>
                <w:noProof/>
                <w:sz w:val="16"/>
                <w:szCs w:val="16"/>
                <w:lang w:val="en-IE"/>
              </w:rPr>
            </w:pPr>
            <w:r w:rsidRPr="003B11BD">
              <w:rPr>
                <w:rFonts w:ascii="Arial" w:eastAsia="Arial" w:hAnsi="Arial" w:cs="Arial"/>
                <w:noProof/>
                <w:color w:val="000000" w:themeColor="text1"/>
                <w:sz w:val="16"/>
                <w:szCs w:val="16"/>
                <w:lang w:val="en-IE"/>
              </w:rPr>
              <w:t>No</w:t>
            </w:r>
          </w:p>
        </w:tc>
        <w:tc>
          <w:tcPr>
            <w:tcW w:w="1382" w:type="dxa"/>
            <w:vAlign w:val="center"/>
          </w:tcPr>
          <w:p w14:paraId="56019719" w14:textId="67C5DC87" w:rsidR="3D2B6CA7" w:rsidRPr="003B11BD" w:rsidRDefault="4507333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7E63AD46" w14:textId="3811581D" w:rsidR="111AE438" w:rsidRPr="003B11BD" w:rsidRDefault="111AE438"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3208412F" w14:textId="5FAB8973"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 may be appealed to the Bucharest Court of Appeal.</w:t>
            </w:r>
          </w:p>
        </w:tc>
        <w:tc>
          <w:tcPr>
            <w:tcW w:w="2268" w:type="dxa"/>
            <w:vAlign w:val="center"/>
          </w:tcPr>
          <w:p w14:paraId="047CB5A0" w14:textId="6ED4209A"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No </w:t>
            </w:r>
          </w:p>
          <w:p w14:paraId="7F28E65A" w14:textId="27B8EF3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(There is neither case law nor special statutory provisions relating to the possibility of obtaining a compulsory licence within a preliminary injunction procedure.)</w:t>
            </w:r>
          </w:p>
        </w:tc>
        <w:tc>
          <w:tcPr>
            <w:tcW w:w="1985" w:type="dxa"/>
            <w:vAlign w:val="center"/>
          </w:tcPr>
          <w:p w14:paraId="41DDEE1C" w14:textId="418B0FD6" w:rsidR="3D2B6CA7" w:rsidRPr="003B11BD" w:rsidRDefault="7E5CF087" w:rsidP="3AE64D6D">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7B41A0DE" w14:textId="5FFCF93E" w:rsidR="3D2B6CA7" w:rsidRPr="003B11BD" w:rsidRDefault="7E5CF08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(If the invention has not been used or has not been sufficiently used, four years from the filing date of the patent application or a period of three years after the grant of the patent) </w:t>
            </w:r>
          </w:p>
        </w:tc>
        <w:tc>
          <w:tcPr>
            <w:tcW w:w="2126" w:type="dxa"/>
            <w:vAlign w:val="center"/>
          </w:tcPr>
          <w:p w14:paraId="6DEBD63B" w14:textId="6D5A497E" w:rsidR="1EB6DF1E" w:rsidRPr="003B11BD" w:rsidRDefault="1EB6DF1E"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32BEFC2B" w14:textId="332A04F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Determined by the Bucharest Tribunal in relation to the commercial value of the licences granted.</w:t>
            </w:r>
          </w:p>
        </w:tc>
      </w:tr>
      <w:tr w:rsidR="3D2B6CA7" w:rsidRPr="003B11BD" w14:paraId="32C83FC9" w14:textId="77777777" w:rsidTr="34EF0D43">
        <w:tc>
          <w:tcPr>
            <w:tcW w:w="1105" w:type="dxa"/>
            <w:vAlign w:val="center"/>
          </w:tcPr>
          <w:p w14:paraId="30DE6E46" w14:textId="570B0E1E"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Slovakia</w:t>
            </w:r>
          </w:p>
        </w:tc>
        <w:tc>
          <w:tcPr>
            <w:tcW w:w="1026" w:type="dxa"/>
            <w:vAlign w:val="center"/>
          </w:tcPr>
          <w:p w14:paraId="2E3B90A9" w14:textId="030D3C42" w:rsidR="3D2B6CA7" w:rsidRPr="003B11BD" w:rsidRDefault="6337B189"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1533A14A" w14:textId="5127E14D"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192ED874" w14:textId="29D373D1" w:rsidR="3D2B6CA7" w:rsidRPr="003B11BD" w:rsidRDefault="12CBDC12"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3C814A12" w14:textId="7D4ED0EE" w:rsidR="3D2B6CA7" w:rsidRPr="003B11BD" w:rsidRDefault="12CBDC12"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0F1FAD9D" w14:textId="423B6FD2"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Decisions of the Court are subject to full judicial review with respect to all legal and factual aspects of the decision. The first instance decision of the Court, whether grant of the compulsory licence or rejection of an application, may be appealed within fifteen days to the Regional Court Banská Bystrica.</w:t>
            </w:r>
          </w:p>
        </w:tc>
        <w:tc>
          <w:tcPr>
            <w:tcW w:w="2268" w:type="dxa"/>
            <w:vAlign w:val="center"/>
          </w:tcPr>
          <w:p w14:paraId="3AF06B2B" w14:textId="70BA056C" w:rsidR="3D2B6CA7" w:rsidRPr="003B11BD" w:rsidRDefault="23320ECD"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_ _</w:t>
            </w:r>
          </w:p>
        </w:tc>
        <w:tc>
          <w:tcPr>
            <w:tcW w:w="1985" w:type="dxa"/>
            <w:vAlign w:val="center"/>
          </w:tcPr>
          <w:p w14:paraId="2645BD79" w14:textId="39991012" w:rsidR="3D2B6CA7" w:rsidRPr="003B11BD" w:rsidRDefault="3D8607DB" w:rsidP="3AE64D6D">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5F6047E2" w14:textId="022A0202" w:rsidR="3D2B6CA7" w:rsidRPr="003B11BD" w:rsidRDefault="3D8607DB"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(Lack of use: four-year period from the patent application filing date or three-year period from the date of grant)</w:t>
            </w:r>
          </w:p>
        </w:tc>
        <w:tc>
          <w:tcPr>
            <w:tcW w:w="2126" w:type="dxa"/>
            <w:vAlign w:val="center"/>
          </w:tcPr>
          <w:p w14:paraId="69610363" w14:textId="2ADB0133"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Adequate compensation as well as terms of payment shall be determined by a court on proposal of one of parties to licence agreement taking into consideration the importance of an invention and usual licence prices in a particular field.</w:t>
            </w:r>
          </w:p>
        </w:tc>
      </w:tr>
      <w:tr w:rsidR="3D2B6CA7" w:rsidRPr="003B11BD" w14:paraId="437C02FB" w14:textId="77777777" w:rsidTr="34EF0D43">
        <w:tc>
          <w:tcPr>
            <w:tcW w:w="1105" w:type="dxa"/>
            <w:vAlign w:val="center"/>
          </w:tcPr>
          <w:p w14:paraId="0410FBA8" w14:textId="786FA413"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Slovenia</w:t>
            </w:r>
          </w:p>
        </w:tc>
        <w:tc>
          <w:tcPr>
            <w:tcW w:w="1026" w:type="dxa"/>
            <w:vAlign w:val="center"/>
          </w:tcPr>
          <w:p w14:paraId="746F50D3" w14:textId="43D5CFA1" w:rsidR="3D2B6CA7" w:rsidRPr="003B11BD" w:rsidRDefault="5FE278B7"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0AEE2120" w14:textId="77295BA1" w:rsidR="3D2B6CA7" w:rsidRPr="003B11BD" w:rsidRDefault="5FE278B7"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0F28C6EB" w14:textId="33DE1577" w:rsidR="3D2B6CA7" w:rsidRPr="003B11BD" w:rsidRDefault="5FE278B7"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0C480CE2" w14:textId="4A96242F" w:rsidR="3D2B6CA7" w:rsidRPr="003B11BD" w:rsidRDefault="5FE278B7"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42B28017" w14:textId="29D90431" w:rsidR="5FE278B7" w:rsidRPr="003B11BD" w:rsidRDefault="5FE278B7"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016B0407" w14:textId="10AC57F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 may be appealed to the Court of Appeal of Ljubljana (Art. 31 Non-Contentious Civil Procedure Act, Official Gazette of SRS, No. 30/86 as amended).</w:t>
            </w:r>
          </w:p>
        </w:tc>
        <w:tc>
          <w:tcPr>
            <w:tcW w:w="2268" w:type="dxa"/>
            <w:vAlign w:val="center"/>
          </w:tcPr>
          <w:p w14:paraId="31CDD4BB" w14:textId="530A3542" w:rsidR="3D2B6CA7" w:rsidRPr="003B11BD" w:rsidRDefault="7EDAE41D"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_ _ </w:t>
            </w:r>
          </w:p>
        </w:tc>
        <w:tc>
          <w:tcPr>
            <w:tcW w:w="1985" w:type="dxa"/>
            <w:vAlign w:val="center"/>
          </w:tcPr>
          <w:p w14:paraId="6E970122" w14:textId="409785AF" w:rsidR="3D2B6CA7" w:rsidRPr="003B11BD" w:rsidRDefault="1E6C8CD6"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2126" w:type="dxa"/>
            <w:vAlign w:val="center"/>
          </w:tcPr>
          <w:p w14:paraId="39124416" w14:textId="248DBE4A"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 xml:space="preserve">Mandatory compensation, </w:t>
            </w:r>
            <w:r w:rsidRPr="003B11BD">
              <w:rPr>
                <w:rFonts w:ascii="Arial" w:eastAsia="Arial" w:hAnsi="Arial" w:cs="Arial"/>
                <w:noProof/>
                <w:color w:val="1A1A1A"/>
                <w:sz w:val="16"/>
                <w:szCs w:val="16"/>
                <w:lang w:val="en-IE"/>
              </w:rPr>
              <w:t>determined with regard to the circumstances of each case, while taking into account the economic value of the compulsory licence (Art. 127.2).</w:t>
            </w:r>
          </w:p>
        </w:tc>
      </w:tr>
      <w:tr w:rsidR="3D2B6CA7" w:rsidRPr="003B11BD" w14:paraId="7BBC6C14" w14:textId="77777777" w:rsidTr="34EF0D43">
        <w:tc>
          <w:tcPr>
            <w:tcW w:w="1105" w:type="dxa"/>
            <w:vAlign w:val="center"/>
          </w:tcPr>
          <w:p w14:paraId="65FCF051" w14:textId="5079E67E"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Spain</w:t>
            </w:r>
          </w:p>
        </w:tc>
        <w:tc>
          <w:tcPr>
            <w:tcW w:w="1026" w:type="dxa"/>
            <w:vAlign w:val="center"/>
          </w:tcPr>
          <w:p w14:paraId="6D585AD8" w14:textId="080B3326"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990" w:type="dxa"/>
            <w:vAlign w:val="center"/>
          </w:tcPr>
          <w:p w14:paraId="7A663A8A" w14:textId="5D59D359"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tc>
        <w:tc>
          <w:tcPr>
            <w:tcW w:w="708" w:type="dxa"/>
            <w:vAlign w:val="center"/>
          </w:tcPr>
          <w:p w14:paraId="4AA6F257" w14:textId="7A12CC40" w:rsidR="3D2B6CA7" w:rsidRPr="003B11BD" w:rsidRDefault="3D2B6CA7">
            <w:pPr>
              <w:spacing w:after="0"/>
              <w:jc w:val="center"/>
              <w:rPr>
                <w:rFonts w:ascii="Arial" w:eastAsia="Arial" w:hAnsi="Arial" w:cs="Arial"/>
                <w:noProof/>
                <w:sz w:val="16"/>
                <w:szCs w:val="16"/>
                <w:lang w:val="en-IE"/>
              </w:rPr>
            </w:pPr>
          </w:p>
          <w:p w14:paraId="4C815361" w14:textId="22F4EB9E" w:rsidR="3D2B6CA7" w:rsidRPr="003B11BD" w:rsidRDefault="7AC63D28" w:rsidP="00611FC5">
            <w:pPr>
              <w:spacing w:after="0"/>
              <w:jc w:val="center"/>
              <w:rPr>
                <w:rFonts w:ascii="Arial" w:eastAsia="Arial" w:hAnsi="Arial" w:cs="Arial"/>
                <w:noProof/>
                <w:sz w:val="16"/>
                <w:szCs w:val="16"/>
                <w:lang w:val="en-IE"/>
              </w:rPr>
            </w:pPr>
            <w:r w:rsidRPr="003B11BD">
              <w:rPr>
                <w:rFonts w:ascii="Arial" w:eastAsia="Arial" w:hAnsi="Arial" w:cs="Arial"/>
                <w:noProof/>
                <w:color w:val="000000" w:themeColor="text1"/>
                <w:sz w:val="16"/>
                <w:szCs w:val="16"/>
                <w:lang w:val="en-IE"/>
              </w:rPr>
              <w:t>No</w:t>
            </w:r>
          </w:p>
        </w:tc>
        <w:tc>
          <w:tcPr>
            <w:tcW w:w="1382" w:type="dxa"/>
            <w:vAlign w:val="center"/>
          </w:tcPr>
          <w:p w14:paraId="1C5E6C10" w14:textId="06122E0F" w:rsidR="3D2B6CA7" w:rsidRPr="003B11BD" w:rsidRDefault="0F186D0F" w:rsidP="59332BF4">
            <w:pPr>
              <w:spacing w:after="0"/>
              <w:jc w:val="center"/>
              <w:rPr>
                <w:rFonts w:ascii="Arial" w:hAnsi="Arial" w:cs="Arial"/>
                <w:noProof/>
                <w:sz w:val="16"/>
                <w:szCs w:val="16"/>
                <w:lang w:val="en-IE"/>
              </w:rPr>
            </w:pPr>
            <w:r w:rsidRPr="003B11BD">
              <w:rPr>
                <w:rFonts w:ascii="Arial" w:hAnsi="Arial" w:cs="Arial"/>
                <w:noProof/>
                <w:sz w:val="16"/>
                <w:szCs w:val="16"/>
                <w:lang w:val="en-IE"/>
              </w:rPr>
              <w:t>No</w:t>
            </w:r>
          </w:p>
          <w:p w14:paraId="5E66DC0A" w14:textId="67726ADD" w:rsidR="3D2B6CA7" w:rsidRPr="003B11BD" w:rsidRDefault="5B2B7691" w:rsidP="59332BF4">
            <w:pPr>
              <w:spacing w:after="0"/>
              <w:jc w:val="center"/>
              <w:rPr>
                <w:rFonts w:ascii="Arial" w:hAnsi="Arial" w:cs="Arial"/>
                <w:noProof/>
                <w:sz w:val="16"/>
                <w:szCs w:val="16"/>
                <w:lang w:val="en-IE"/>
              </w:rPr>
            </w:pPr>
            <w:r w:rsidRPr="003B11BD">
              <w:rPr>
                <w:rFonts w:ascii="Arial" w:hAnsi="Arial" w:cs="Arial"/>
                <w:noProof/>
                <w:sz w:val="16"/>
                <w:szCs w:val="16"/>
                <w:lang w:val="en-IE"/>
              </w:rPr>
              <w:t>(But the parties must act in good faith. For the patentee this means inter alia that it must disclose to the licensee the know-how in its possession that is necessary for an adequate exploitation of the invention</w:t>
            </w:r>
            <w:r w:rsidR="3EB0A2B1" w:rsidRPr="003B11BD">
              <w:rPr>
                <w:rFonts w:ascii="Arial" w:hAnsi="Arial" w:cs="Arial"/>
                <w:noProof/>
                <w:sz w:val="16"/>
                <w:szCs w:val="16"/>
                <w:lang w:val="en-IE"/>
              </w:rPr>
              <w:t xml:space="preserve"> - article 100.4 of the Spanish Patent Act</w:t>
            </w:r>
            <w:r w:rsidRPr="003B11BD">
              <w:rPr>
                <w:rFonts w:ascii="Arial" w:hAnsi="Arial" w:cs="Arial"/>
                <w:noProof/>
                <w:sz w:val="16"/>
                <w:szCs w:val="16"/>
                <w:lang w:val="en-IE"/>
              </w:rPr>
              <w:t>.)</w:t>
            </w:r>
          </w:p>
          <w:p w14:paraId="652AF102" w14:textId="1D29D1DF" w:rsidR="3D2B6CA7" w:rsidRPr="003B11BD" w:rsidRDefault="3D2B6CA7" w:rsidP="00611FC5">
            <w:pPr>
              <w:spacing w:after="0"/>
              <w:jc w:val="center"/>
              <w:rPr>
                <w:rFonts w:ascii="Arial" w:hAnsi="Arial" w:cs="Arial"/>
                <w:noProof/>
                <w:sz w:val="16"/>
                <w:szCs w:val="16"/>
                <w:lang w:val="en-IE"/>
              </w:rPr>
            </w:pPr>
          </w:p>
        </w:tc>
        <w:tc>
          <w:tcPr>
            <w:tcW w:w="3853" w:type="dxa"/>
            <w:vAlign w:val="center"/>
          </w:tcPr>
          <w:p w14:paraId="4A5BA96C" w14:textId="172086C4" w:rsidR="03B18008" w:rsidRPr="003B11BD" w:rsidRDefault="03B18008"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4FA063D8" w14:textId="7FA031A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The decision reached by the OEPM is appealable at an administrative level (i.e. to be resolved within the OEPM) and subsequently before the contentious-administrative courts, first to the Tribunal Superior de Justicia, then to the Contentious-Administrative Chamber of the Tribunal Supremo. The appeal will be heard by the Tribunal Supremo only if it deems the case to have a cassational interest for the formation of case law.</w:t>
            </w:r>
          </w:p>
        </w:tc>
        <w:tc>
          <w:tcPr>
            <w:tcW w:w="2268" w:type="dxa"/>
            <w:vAlign w:val="center"/>
          </w:tcPr>
          <w:p w14:paraId="478FF801" w14:textId="30F1B5C5" w:rsidR="78848A5A" w:rsidRPr="003B11BD" w:rsidRDefault="78848A5A"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Uncertain</w:t>
            </w:r>
          </w:p>
          <w:p w14:paraId="4196AB2D" w14:textId="79438EE5" w:rsidR="3D2B6CA7" w:rsidRPr="003B11BD" w:rsidRDefault="78848A5A"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w:t>
            </w:r>
            <w:r w:rsidR="3D2B6CA7" w:rsidRPr="003B11BD">
              <w:rPr>
                <w:rFonts w:ascii="Arial" w:eastAsia="Arial" w:hAnsi="Arial" w:cs="Arial"/>
                <w:noProof/>
                <w:color w:val="000000" w:themeColor="text1"/>
                <w:sz w:val="16"/>
                <w:szCs w:val="16"/>
                <w:lang w:val="en-IE"/>
              </w:rPr>
              <w:t>Not expressly, but the provisional measures that both courts and administrative bodies may adopt under general procedural law constitute an open list, and therefore in cases of urgency it might be theoretically possible.</w:t>
            </w:r>
            <w:r w:rsidR="2DB4CFB5" w:rsidRPr="003B11BD">
              <w:rPr>
                <w:rFonts w:ascii="Arial" w:eastAsia="Arial" w:hAnsi="Arial" w:cs="Arial"/>
                <w:noProof/>
                <w:color w:val="000000" w:themeColor="text1"/>
                <w:sz w:val="16"/>
                <w:szCs w:val="16"/>
                <w:lang w:val="en-IE"/>
              </w:rPr>
              <w:t>)</w:t>
            </w:r>
          </w:p>
        </w:tc>
        <w:tc>
          <w:tcPr>
            <w:tcW w:w="1985" w:type="dxa"/>
            <w:vAlign w:val="center"/>
          </w:tcPr>
          <w:p w14:paraId="3E06FCE8" w14:textId="032FC417" w:rsidR="3D2B6CA7" w:rsidRPr="003B11BD" w:rsidRDefault="062093DC" w:rsidP="5E59A079">
            <w:pPr>
              <w:spacing w:after="0"/>
              <w:jc w:val="center"/>
              <w:rPr>
                <w:rFonts w:ascii="Arial" w:eastAsia="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64E8233C" w14:textId="44B06D63" w:rsidR="3D2B6CA7" w:rsidRPr="003B11BD" w:rsidRDefault="062093DC" w:rsidP="00611FC5">
            <w:pPr>
              <w:spacing w:after="0"/>
              <w:jc w:val="center"/>
              <w:rPr>
                <w:rFonts w:ascii="Arial" w:eastAsia="Arial" w:hAnsi="Arial" w:cs="Arial"/>
                <w:noProof/>
                <w:sz w:val="16"/>
                <w:szCs w:val="16"/>
                <w:lang w:val="en-IE"/>
              </w:rPr>
            </w:pPr>
            <w:r w:rsidRPr="003B11BD">
              <w:rPr>
                <w:rFonts w:ascii="Arial" w:eastAsia="Arial" w:hAnsi="Arial" w:cs="Arial"/>
                <w:noProof/>
                <w:color w:val="000000" w:themeColor="text1"/>
                <w:sz w:val="16"/>
                <w:szCs w:val="16"/>
                <w:lang w:val="en-IE"/>
              </w:rPr>
              <w:t xml:space="preserve">(Failure to exploit or insufficient exploitation of the patented invention for more than four years after the filing of the patent application, or three years after the publication of the mention of grant) </w:t>
            </w:r>
          </w:p>
        </w:tc>
        <w:tc>
          <w:tcPr>
            <w:tcW w:w="2126" w:type="dxa"/>
            <w:vAlign w:val="center"/>
          </w:tcPr>
          <w:p w14:paraId="5435BA6E" w14:textId="0BEE98AB" w:rsidR="6B7AB49E" w:rsidRPr="003B11BD" w:rsidRDefault="6B7AB49E"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4AD3BCD2" w14:textId="6FE2FD30"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Based on the economic importance of the invention.</w:t>
            </w:r>
          </w:p>
        </w:tc>
      </w:tr>
      <w:tr w:rsidR="3D2B6CA7" w:rsidRPr="003B11BD" w14:paraId="3740EE1F" w14:textId="77777777" w:rsidTr="34EF0D43">
        <w:tc>
          <w:tcPr>
            <w:tcW w:w="1105" w:type="dxa"/>
            <w:vAlign w:val="center"/>
          </w:tcPr>
          <w:p w14:paraId="0ADBBA29" w14:textId="0E91EDBA"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Sweden</w:t>
            </w:r>
          </w:p>
        </w:tc>
        <w:tc>
          <w:tcPr>
            <w:tcW w:w="1026" w:type="dxa"/>
            <w:vAlign w:val="center"/>
          </w:tcPr>
          <w:p w14:paraId="7216B34E" w14:textId="478CDD15" w:rsidR="3D2B6CA7" w:rsidRPr="003B11BD" w:rsidRDefault="71AFBC8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990" w:type="dxa"/>
            <w:vAlign w:val="center"/>
          </w:tcPr>
          <w:p w14:paraId="5C92120F" w14:textId="56581811" w:rsidR="3D2B6CA7" w:rsidRPr="003B11BD" w:rsidRDefault="71AFBC8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708" w:type="dxa"/>
            <w:vAlign w:val="center"/>
          </w:tcPr>
          <w:p w14:paraId="51A050BD" w14:textId="5A39D7AE" w:rsidR="3D2B6CA7" w:rsidRPr="003B11BD" w:rsidRDefault="71AFBC8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1382" w:type="dxa"/>
            <w:vAlign w:val="center"/>
          </w:tcPr>
          <w:p w14:paraId="1BE64285" w14:textId="2B644A86" w:rsidR="3D2B6CA7" w:rsidRPr="003B11BD" w:rsidRDefault="71AFBC8B" w:rsidP="00611FC5">
            <w:pPr>
              <w:spacing w:after="0"/>
              <w:jc w:val="center"/>
              <w:rPr>
                <w:rFonts w:ascii="Arial" w:hAnsi="Arial" w:cs="Arial"/>
                <w:noProof/>
                <w:sz w:val="16"/>
                <w:szCs w:val="16"/>
                <w:lang w:val="en-IE"/>
              </w:rPr>
            </w:pPr>
            <w:r w:rsidRPr="003B11BD">
              <w:rPr>
                <w:rFonts w:ascii="Arial" w:hAnsi="Arial" w:cs="Arial"/>
                <w:noProof/>
                <w:sz w:val="16"/>
                <w:szCs w:val="16"/>
                <w:lang w:val="en-IE"/>
              </w:rPr>
              <w:t>No</w:t>
            </w:r>
          </w:p>
        </w:tc>
        <w:tc>
          <w:tcPr>
            <w:tcW w:w="3853" w:type="dxa"/>
            <w:vAlign w:val="center"/>
          </w:tcPr>
          <w:p w14:paraId="1279B71F" w14:textId="255EACB5" w:rsidR="0E75211E" w:rsidRPr="003B11BD" w:rsidRDefault="0E75211E" w:rsidP="0E75211E">
            <w:pPr>
              <w:spacing w:after="0"/>
              <w:jc w:val="center"/>
              <w:rPr>
                <w:rFonts w:ascii="Arial" w:eastAsia="Arial" w:hAnsi="Arial" w:cs="Arial"/>
                <w:noProof/>
                <w:color w:val="000000" w:themeColor="text1"/>
                <w:sz w:val="16"/>
                <w:szCs w:val="16"/>
                <w:lang w:val="en-IE"/>
              </w:rPr>
            </w:pPr>
          </w:p>
          <w:p w14:paraId="79FAF57C" w14:textId="51C33FD9" w:rsidR="3D2B6CA7" w:rsidRPr="003B11BD" w:rsidRDefault="20A8759D" w:rsidP="0E75211E">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4B6BD971" w14:textId="4492E167"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An appeal to the Patent and Market Court of Appeal is subject to the grant of leave to appeal. A further appeal to the Supreme Court is then subject to a double requirement for leave to appeal (i.e. first from the Patent and Market Court of Appeal and subsequently from the Supreme Court).</w:t>
            </w:r>
          </w:p>
        </w:tc>
        <w:tc>
          <w:tcPr>
            <w:tcW w:w="2268" w:type="dxa"/>
            <w:vAlign w:val="center"/>
          </w:tcPr>
          <w:p w14:paraId="5528D043" w14:textId="581BE859" w:rsidR="3D2B6CA7" w:rsidRPr="003B11BD" w:rsidRDefault="3D2B6CA7" w:rsidP="267239A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Uncertain</w:t>
            </w:r>
          </w:p>
          <w:p w14:paraId="09D6AEF1" w14:textId="0F976A9D" w:rsidR="3D2B6CA7" w:rsidRPr="003B11BD" w:rsidRDefault="2465C0A9" w:rsidP="00611FC5">
            <w:pPr>
              <w:spacing w:after="0"/>
              <w:jc w:val="center"/>
              <w:rPr>
                <w:rFonts w:ascii="Arial" w:eastAsia="Arial" w:hAnsi="Arial" w:cs="Arial"/>
                <w:noProof/>
                <w:sz w:val="16"/>
                <w:szCs w:val="16"/>
                <w:vertAlign w:val="superscript"/>
                <w:lang w:val="en-IE"/>
              </w:rPr>
            </w:pPr>
            <w:r w:rsidRPr="003B11BD">
              <w:rPr>
                <w:rFonts w:ascii="Arial" w:eastAsia="Arial" w:hAnsi="Arial" w:cs="Arial"/>
                <w:noProof/>
                <w:color w:val="000000" w:themeColor="text1"/>
                <w:sz w:val="16"/>
                <w:szCs w:val="16"/>
                <w:lang w:val="en-IE"/>
              </w:rPr>
              <w:t>(</w:t>
            </w:r>
            <w:r w:rsidR="0B2D789E" w:rsidRPr="003B11BD">
              <w:rPr>
                <w:rFonts w:ascii="Arial" w:eastAsia="Arial" w:hAnsi="Arial" w:cs="Arial"/>
                <w:noProof/>
                <w:color w:val="000000" w:themeColor="text1"/>
                <w:sz w:val="16"/>
                <w:szCs w:val="16"/>
                <w:lang w:val="en-IE"/>
              </w:rPr>
              <w:t>N</w:t>
            </w:r>
            <w:r w:rsidRPr="003B11BD">
              <w:rPr>
                <w:rFonts w:ascii="Arial" w:eastAsia="Arial" w:hAnsi="Arial" w:cs="Arial"/>
                <w:noProof/>
                <w:color w:val="000000" w:themeColor="text1"/>
                <w:sz w:val="16"/>
                <w:szCs w:val="16"/>
                <w:lang w:val="en-IE"/>
              </w:rPr>
              <w:t xml:space="preserve">o explicit provisions </w:t>
            </w:r>
            <w:r w:rsidR="2245CC0B" w:rsidRPr="003B11BD">
              <w:rPr>
                <w:rFonts w:ascii="Arial" w:eastAsia="Arial" w:hAnsi="Arial" w:cs="Arial"/>
                <w:noProof/>
                <w:color w:val="000000" w:themeColor="text1"/>
                <w:sz w:val="16"/>
                <w:szCs w:val="16"/>
                <w:lang w:val="en-IE"/>
              </w:rPr>
              <w:t>and</w:t>
            </w:r>
            <w:r w:rsidRPr="003B11BD">
              <w:rPr>
                <w:rFonts w:ascii="Arial" w:eastAsia="Arial" w:hAnsi="Arial" w:cs="Arial"/>
                <w:noProof/>
                <w:color w:val="000000" w:themeColor="text1"/>
                <w:sz w:val="16"/>
                <w:szCs w:val="16"/>
                <w:lang w:val="en-IE"/>
              </w:rPr>
              <w:t xml:space="preserve"> has not been done in practice. It is conceivable that the court would consider arguments concerning the right to a compulsory licence in deciding whether to grant preliminary injunctive relief against a defendant.)</w:t>
            </w:r>
          </w:p>
        </w:tc>
        <w:tc>
          <w:tcPr>
            <w:tcW w:w="1985" w:type="dxa"/>
            <w:vAlign w:val="center"/>
          </w:tcPr>
          <w:p w14:paraId="383C973C" w14:textId="019D89E5" w:rsidR="3D2B6CA7" w:rsidRPr="003B11BD" w:rsidRDefault="08C0BDB4">
            <w:pPr>
              <w:spacing w:after="0"/>
              <w:jc w:val="center"/>
              <w:rPr>
                <w:rFonts w:ascii="Arial" w:eastAsia="Arial" w:hAnsi="Arial" w:cs="Arial"/>
                <w:noProof/>
                <w:sz w:val="16"/>
                <w:szCs w:val="16"/>
                <w:lang w:val="en-IE"/>
              </w:rPr>
            </w:pPr>
            <w:r w:rsidRPr="003B11BD">
              <w:rPr>
                <w:rFonts w:ascii="Arial" w:eastAsia="Arial" w:hAnsi="Arial" w:cs="Arial"/>
                <w:noProof/>
                <w:color w:val="000000" w:themeColor="text1"/>
                <w:sz w:val="16"/>
                <w:szCs w:val="16"/>
                <w:lang w:val="en-IE"/>
              </w:rPr>
              <w:t>Yes</w:t>
            </w:r>
          </w:p>
          <w:p w14:paraId="5263D893" w14:textId="570BB834" w:rsidR="3D2B6CA7" w:rsidRPr="003B11BD" w:rsidRDefault="08C0BDB4"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(Lack of exploitation: three years have passed from the grant of the patent and four years from the date of filing of the patent application)</w:t>
            </w:r>
          </w:p>
        </w:tc>
        <w:tc>
          <w:tcPr>
            <w:tcW w:w="2126" w:type="dxa"/>
            <w:vAlign w:val="center"/>
          </w:tcPr>
          <w:p w14:paraId="7B215113" w14:textId="3F59E1ED" w:rsidR="0A02E792" w:rsidRPr="003B11BD" w:rsidRDefault="0A02E792" w:rsidP="00611FC5">
            <w:pPr>
              <w:spacing w:after="0"/>
              <w:jc w:val="center"/>
              <w:rPr>
                <w:rFonts w:ascii="Arial" w:eastAsia="Arial" w:hAnsi="Arial" w:cs="Arial"/>
                <w:noProof/>
                <w:color w:val="000000" w:themeColor="text1"/>
                <w:sz w:val="16"/>
                <w:szCs w:val="16"/>
                <w:lang w:val="en-IE"/>
              </w:rPr>
            </w:pPr>
            <w:r w:rsidRPr="003B11BD">
              <w:rPr>
                <w:rFonts w:ascii="Arial" w:eastAsia="Arial" w:hAnsi="Arial" w:cs="Arial"/>
                <w:noProof/>
                <w:color w:val="000000" w:themeColor="text1"/>
                <w:sz w:val="16"/>
                <w:szCs w:val="16"/>
                <w:lang w:val="en-IE"/>
              </w:rPr>
              <w:t>Yes</w:t>
            </w:r>
          </w:p>
          <w:p w14:paraId="74188E24" w14:textId="4122AA11" w:rsidR="3D2B6CA7" w:rsidRPr="003B11BD" w:rsidRDefault="3D2B6CA7" w:rsidP="00611FC5">
            <w:pPr>
              <w:spacing w:after="0"/>
              <w:jc w:val="center"/>
              <w:rPr>
                <w:rFonts w:ascii="Arial" w:hAnsi="Arial" w:cs="Arial"/>
                <w:noProof/>
                <w:sz w:val="16"/>
                <w:szCs w:val="16"/>
                <w:lang w:val="en-IE"/>
              </w:rPr>
            </w:pPr>
            <w:r w:rsidRPr="003B11BD">
              <w:rPr>
                <w:rFonts w:ascii="Arial" w:eastAsia="Arial" w:hAnsi="Arial" w:cs="Arial"/>
                <w:noProof/>
                <w:color w:val="000000" w:themeColor="text1"/>
                <w:sz w:val="16"/>
                <w:szCs w:val="16"/>
                <w:lang w:val="en-IE"/>
              </w:rPr>
              <w:t>Established by the Court.</w:t>
            </w:r>
          </w:p>
        </w:tc>
      </w:tr>
    </w:tbl>
    <w:p w14:paraId="774E174E" w14:textId="77777777" w:rsidR="000D1620" w:rsidRPr="003B11BD" w:rsidRDefault="000D1620">
      <w:pPr>
        <w:spacing w:after="200" w:line="276" w:lineRule="auto"/>
        <w:jc w:val="left"/>
        <w:rPr>
          <w:noProof/>
          <w:lang w:val="en-IE"/>
        </w:rPr>
      </w:pPr>
      <w:r w:rsidRPr="003B11BD">
        <w:rPr>
          <w:noProof/>
          <w:lang w:val="en-IE"/>
        </w:rPr>
        <w:br w:type="page"/>
      </w:r>
    </w:p>
    <w:p w14:paraId="5A0A32ED" w14:textId="621927C4" w:rsidR="000D1620" w:rsidRPr="003B11BD" w:rsidRDefault="000D1620" w:rsidP="000D1620">
      <w:pPr>
        <w:rPr>
          <w:noProof/>
          <w:lang w:val="en-IE"/>
        </w:rPr>
      </w:pPr>
      <w:r w:rsidRPr="003B11BD">
        <w:rPr>
          <w:noProof/>
          <w:lang w:val="en-IE"/>
        </w:rPr>
        <w:t>T</w:t>
      </w:r>
      <w:r w:rsidR="009C5959" w:rsidRPr="003B11BD">
        <w:rPr>
          <w:noProof/>
          <w:lang w:val="en-IE"/>
        </w:rPr>
        <w:t>he t</w:t>
      </w:r>
      <w:r w:rsidRPr="003B11BD">
        <w:rPr>
          <w:noProof/>
          <w:lang w:val="en-IE"/>
        </w:rPr>
        <w:t xml:space="preserve">able </w:t>
      </w:r>
      <w:r w:rsidR="009C5959" w:rsidRPr="003B11BD">
        <w:rPr>
          <w:noProof/>
          <w:lang w:val="en-IE"/>
        </w:rPr>
        <w:t>below</w:t>
      </w:r>
      <w:r w:rsidRPr="003B11BD">
        <w:rPr>
          <w:noProof/>
          <w:lang w:val="en-IE"/>
        </w:rPr>
        <w:t xml:space="preserve"> gives a</w:t>
      </w:r>
      <w:r w:rsidR="009C5959" w:rsidRPr="003B11BD">
        <w:rPr>
          <w:noProof/>
          <w:lang w:val="en-IE"/>
        </w:rPr>
        <w:t>n</w:t>
      </w:r>
      <w:r w:rsidRPr="003B11BD">
        <w:rPr>
          <w:noProof/>
          <w:lang w:val="en-IE"/>
        </w:rPr>
        <w:t xml:space="preserve"> overview on existing and upcoming Emergency Instruments and Responses in the </w:t>
      </w:r>
      <w:r w:rsidR="00E74439" w:rsidRPr="003B11BD">
        <w:rPr>
          <w:noProof/>
          <w:lang w:val="en-IE"/>
        </w:rPr>
        <w:t xml:space="preserve">EU, based </w:t>
      </w:r>
      <w:r w:rsidR="00C2149B" w:rsidRPr="003B11BD">
        <w:rPr>
          <w:noProof/>
          <w:lang w:val="en-IE"/>
        </w:rPr>
        <w:t xml:space="preserve">on </w:t>
      </w:r>
      <w:r w:rsidR="00E74439" w:rsidRPr="003B11BD">
        <w:rPr>
          <w:noProof/>
          <w:lang w:val="en-IE"/>
        </w:rPr>
        <w:t>Annex</w:t>
      </w:r>
      <w:r w:rsidR="009C5959" w:rsidRPr="003B11BD">
        <w:rPr>
          <w:noProof/>
          <w:lang w:val="en-IE"/>
        </w:rPr>
        <w:t xml:space="preserve"> </w:t>
      </w:r>
      <w:r w:rsidR="00E74439" w:rsidRPr="003B11BD">
        <w:rPr>
          <w:noProof/>
          <w:lang w:val="en-IE"/>
        </w:rPr>
        <w:t>9 of the impact a</w:t>
      </w:r>
      <w:r w:rsidR="009C5959" w:rsidRPr="003B11BD">
        <w:rPr>
          <w:noProof/>
          <w:lang w:val="en-IE"/>
        </w:rPr>
        <w:t>ssessment on SMEI</w:t>
      </w:r>
      <w:r w:rsidR="00E74439" w:rsidRPr="003B11BD">
        <w:rPr>
          <w:rStyle w:val="FootnoteReference"/>
          <w:noProof/>
          <w:lang w:val="en-IE"/>
        </w:rPr>
        <w:footnoteReference w:id="205"/>
      </w:r>
      <w:r w:rsidR="000D7D8F" w:rsidRPr="003B11BD">
        <w:rPr>
          <w:noProof/>
          <w:lang w:val="en-IE"/>
        </w:rPr>
        <w:t xml:space="preserve"> and </w:t>
      </w:r>
      <w:r w:rsidR="00E74439" w:rsidRPr="003B11BD">
        <w:rPr>
          <w:noProof/>
          <w:lang w:val="en-IE"/>
        </w:rPr>
        <w:t>complemented by an evaluation of</w:t>
      </w:r>
      <w:r w:rsidRPr="003B11BD">
        <w:rPr>
          <w:noProof/>
          <w:lang w:val="en-IE"/>
        </w:rPr>
        <w:t xml:space="preserve"> the relevance of these instruments for the initiative on compulsory licensing</w:t>
      </w:r>
      <w:r w:rsidR="006C428C" w:rsidRPr="003B11BD">
        <w:rPr>
          <w:noProof/>
          <w:lang w:val="en-IE"/>
        </w:rPr>
        <w:t xml:space="preserve"> for crisis management</w:t>
      </w:r>
      <w:r w:rsidR="000D7D8F" w:rsidRPr="003B11BD">
        <w:rPr>
          <w:noProof/>
          <w:lang w:val="en-IE"/>
        </w:rPr>
        <w:t>, marked as</w:t>
      </w:r>
      <w:r w:rsidRPr="003B11BD">
        <w:rPr>
          <w:noProof/>
          <w:lang w:val="en-IE"/>
        </w:rPr>
        <w:t>: highly relevant, relevant, less relevant.</w:t>
      </w:r>
    </w:p>
    <w:p w14:paraId="14C8BBD0" w14:textId="329C1A49" w:rsidR="000D1620" w:rsidRPr="003B11BD" w:rsidRDefault="000D1620" w:rsidP="000D1620">
      <w:pPr>
        <w:pStyle w:val="Caption"/>
        <w:rPr>
          <w:noProof/>
          <w:lang w:val="en-IE"/>
        </w:rPr>
      </w:pPr>
      <w:bookmarkStart w:id="1155" w:name="_Ref122285052"/>
      <w:r w:rsidRPr="003B11BD">
        <w:rPr>
          <w:noProof/>
          <w:lang w:val="en-IE"/>
        </w:rPr>
        <w:t xml:space="preserve">Table </w:t>
      </w:r>
      <w:r w:rsidR="00C6592A">
        <w:rPr>
          <w:noProof/>
          <w:lang w:val="en-IE"/>
        </w:rPr>
        <w:t>22</w:t>
      </w:r>
      <w:bookmarkEnd w:id="1155"/>
      <w:r w:rsidRPr="003B11BD">
        <w:rPr>
          <w:noProof/>
          <w:lang w:val="en-IE"/>
        </w:rPr>
        <w:t>: Detailed mapping of existing and upcoming Emergency Instruments and Responses</w:t>
      </w:r>
    </w:p>
    <w:tbl>
      <w:tblPr>
        <w:tblStyle w:val="TableGrid"/>
        <w:tblW w:w="14742"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410"/>
        <w:gridCol w:w="2126"/>
        <w:gridCol w:w="1276"/>
        <w:gridCol w:w="1701"/>
        <w:gridCol w:w="7229"/>
      </w:tblGrid>
      <w:tr w:rsidR="005048C9" w:rsidRPr="003B11BD" w14:paraId="374D7342" w14:textId="77777777" w:rsidTr="001163DA">
        <w:tc>
          <w:tcPr>
            <w:tcW w:w="2410" w:type="dxa"/>
            <w:shd w:val="clear" w:color="auto" w:fill="F2F2F2" w:themeFill="background1" w:themeFillShade="F2"/>
          </w:tcPr>
          <w:p w14:paraId="39F5FC11" w14:textId="77777777" w:rsidR="005048C9" w:rsidRPr="003B11BD" w:rsidRDefault="005048C9" w:rsidP="00F03230">
            <w:pPr>
              <w:pStyle w:val="Size10"/>
              <w:rPr>
                <w:noProof/>
              </w:rPr>
            </w:pPr>
            <w:r w:rsidRPr="003B11BD">
              <w:rPr>
                <w:noProof/>
              </w:rPr>
              <w:t>Emergency instrument/ measure</w:t>
            </w:r>
          </w:p>
        </w:tc>
        <w:tc>
          <w:tcPr>
            <w:tcW w:w="2126" w:type="dxa"/>
            <w:shd w:val="clear" w:color="auto" w:fill="F2F2F2" w:themeFill="background1" w:themeFillShade="F2"/>
          </w:tcPr>
          <w:p w14:paraId="2CD3E820" w14:textId="77777777" w:rsidR="005048C9" w:rsidRPr="003B11BD" w:rsidRDefault="005048C9" w:rsidP="00F03230">
            <w:pPr>
              <w:pStyle w:val="Size10"/>
              <w:rPr>
                <w:noProof/>
              </w:rPr>
            </w:pPr>
            <w:r w:rsidRPr="003B11BD">
              <w:rPr>
                <w:noProof/>
              </w:rPr>
              <w:t>Status</w:t>
            </w:r>
          </w:p>
        </w:tc>
        <w:tc>
          <w:tcPr>
            <w:tcW w:w="1276" w:type="dxa"/>
            <w:shd w:val="clear" w:color="auto" w:fill="F2F2F2" w:themeFill="background1" w:themeFillShade="F2"/>
          </w:tcPr>
          <w:p w14:paraId="587CE632" w14:textId="77777777" w:rsidR="005048C9" w:rsidRPr="003B11BD" w:rsidRDefault="005048C9" w:rsidP="00F03230">
            <w:pPr>
              <w:pStyle w:val="Size10"/>
              <w:rPr>
                <w:noProof/>
              </w:rPr>
            </w:pPr>
            <w:r w:rsidRPr="003B11BD">
              <w:rPr>
                <w:noProof/>
              </w:rPr>
              <w:t>Responsible DGs/bodies</w:t>
            </w:r>
          </w:p>
        </w:tc>
        <w:tc>
          <w:tcPr>
            <w:tcW w:w="1701" w:type="dxa"/>
            <w:shd w:val="clear" w:color="auto" w:fill="F2F2F2" w:themeFill="background1" w:themeFillShade="F2"/>
          </w:tcPr>
          <w:p w14:paraId="4A97EC72" w14:textId="77777777" w:rsidR="005048C9" w:rsidRPr="003B11BD" w:rsidRDefault="005048C9" w:rsidP="00F03230">
            <w:pPr>
              <w:pStyle w:val="Size10"/>
              <w:rPr>
                <w:noProof/>
              </w:rPr>
            </w:pPr>
            <w:r w:rsidRPr="003B11BD">
              <w:rPr>
                <w:noProof/>
              </w:rPr>
              <w:t>Relevance for CL</w:t>
            </w:r>
          </w:p>
        </w:tc>
        <w:tc>
          <w:tcPr>
            <w:tcW w:w="7229" w:type="dxa"/>
            <w:shd w:val="clear" w:color="auto" w:fill="F2F2F2" w:themeFill="background1" w:themeFillShade="F2"/>
          </w:tcPr>
          <w:p w14:paraId="4156BAEA" w14:textId="77777777" w:rsidR="005048C9" w:rsidRPr="003B11BD" w:rsidRDefault="005048C9" w:rsidP="00F03230">
            <w:pPr>
              <w:pStyle w:val="Size10"/>
              <w:rPr>
                <w:noProof/>
              </w:rPr>
            </w:pPr>
            <w:r w:rsidRPr="003B11BD">
              <w:rPr>
                <w:noProof/>
              </w:rPr>
              <w:t>Comment</w:t>
            </w:r>
          </w:p>
        </w:tc>
      </w:tr>
      <w:tr w:rsidR="005048C9" w:rsidRPr="003B11BD" w14:paraId="463175AB" w14:textId="77777777" w:rsidTr="001163DA">
        <w:tc>
          <w:tcPr>
            <w:tcW w:w="2410" w:type="dxa"/>
            <w:shd w:val="clear" w:color="auto" w:fill="F2F2F2" w:themeFill="background1" w:themeFillShade="F2"/>
          </w:tcPr>
          <w:p w14:paraId="314B730F" w14:textId="77777777" w:rsidR="005048C9" w:rsidRPr="003B11BD" w:rsidRDefault="005048C9" w:rsidP="00F03230">
            <w:pPr>
              <w:pStyle w:val="Size10"/>
              <w:rPr>
                <w:noProof/>
              </w:rPr>
            </w:pPr>
            <w:r w:rsidRPr="003B11BD">
              <w:rPr>
                <w:noProof/>
              </w:rPr>
              <w:t>Integrated Political Crisis Response (IPCR) Mechanism</w:t>
            </w:r>
          </w:p>
        </w:tc>
        <w:tc>
          <w:tcPr>
            <w:tcW w:w="2126" w:type="dxa"/>
            <w:shd w:val="clear" w:color="auto" w:fill="F2F2F2" w:themeFill="background1" w:themeFillShade="F2"/>
          </w:tcPr>
          <w:p w14:paraId="3689D640" w14:textId="77777777" w:rsidR="005048C9" w:rsidRPr="003B11BD" w:rsidRDefault="005048C9" w:rsidP="00F03230">
            <w:pPr>
              <w:pStyle w:val="Size10"/>
              <w:rPr>
                <w:noProof/>
              </w:rPr>
            </w:pPr>
            <w:r w:rsidRPr="003B11BD">
              <w:rPr>
                <w:noProof/>
              </w:rPr>
              <w:t>Council Implementing Decision; Existing mechanism</w:t>
            </w:r>
          </w:p>
        </w:tc>
        <w:tc>
          <w:tcPr>
            <w:tcW w:w="1276" w:type="dxa"/>
            <w:shd w:val="clear" w:color="auto" w:fill="F2F2F2" w:themeFill="background1" w:themeFillShade="F2"/>
          </w:tcPr>
          <w:p w14:paraId="60ED19E2" w14:textId="77777777" w:rsidR="005048C9" w:rsidRPr="003B11BD" w:rsidRDefault="005048C9" w:rsidP="00F03230">
            <w:pPr>
              <w:pStyle w:val="Size10"/>
              <w:rPr>
                <w:noProof/>
              </w:rPr>
            </w:pPr>
            <w:r w:rsidRPr="003B11BD">
              <w:rPr>
                <w:noProof/>
              </w:rPr>
              <w:t>Council</w:t>
            </w:r>
          </w:p>
        </w:tc>
        <w:tc>
          <w:tcPr>
            <w:tcW w:w="1701" w:type="dxa"/>
            <w:shd w:val="clear" w:color="auto" w:fill="00B050"/>
          </w:tcPr>
          <w:p w14:paraId="0306DBA1" w14:textId="77777777" w:rsidR="005048C9" w:rsidRPr="003B11BD" w:rsidRDefault="005048C9" w:rsidP="00F03230">
            <w:pPr>
              <w:pStyle w:val="Size10"/>
              <w:rPr>
                <w:noProof/>
              </w:rPr>
            </w:pPr>
            <w:r w:rsidRPr="003B11BD">
              <w:rPr>
                <w:noProof/>
              </w:rPr>
              <w:t>Highly relevant</w:t>
            </w:r>
          </w:p>
        </w:tc>
        <w:tc>
          <w:tcPr>
            <w:tcW w:w="7229" w:type="dxa"/>
            <w:shd w:val="clear" w:color="auto" w:fill="F2F2F2" w:themeFill="background1" w:themeFillShade="F2"/>
          </w:tcPr>
          <w:p w14:paraId="392471E0" w14:textId="77777777" w:rsidR="005048C9" w:rsidRPr="003B11BD" w:rsidRDefault="005048C9" w:rsidP="00F03230">
            <w:pPr>
              <w:pStyle w:val="Size10"/>
              <w:rPr>
                <w:noProof/>
              </w:rPr>
            </w:pPr>
            <w:r w:rsidRPr="003B11BD">
              <w:rPr>
                <w:noProof/>
              </w:rPr>
              <w:t>The activation decision (full activation mode) of the Presidency can trigger the CL granting process under Option 3 and 4.</w:t>
            </w:r>
          </w:p>
        </w:tc>
      </w:tr>
      <w:tr w:rsidR="005048C9" w:rsidRPr="003B11BD" w14:paraId="0160CD0D" w14:textId="77777777" w:rsidTr="001163DA">
        <w:tc>
          <w:tcPr>
            <w:tcW w:w="2410" w:type="dxa"/>
            <w:shd w:val="clear" w:color="auto" w:fill="F2F2F2" w:themeFill="background1" w:themeFillShade="F2"/>
          </w:tcPr>
          <w:p w14:paraId="727C030D" w14:textId="77777777" w:rsidR="005048C9" w:rsidRPr="003B11BD" w:rsidRDefault="005048C9" w:rsidP="00F03230">
            <w:pPr>
              <w:pStyle w:val="Size10"/>
              <w:rPr>
                <w:noProof/>
              </w:rPr>
            </w:pPr>
            <w:r w:rsidRPr="003B11BD">
              <w:rPr>
                <w:rFonts w:eastAsiaTheme="minorHAnsi"/>
                <w:noProof/>
              </w:rPr>
              <w:t>European Alliance Against Coronavirus</w:t>
            </w:r>
          </w:p>
        </w:tc>
        <w:tc>
          <w:tcPr>
            <w:tcW w:w="2126" w:type="dxa"/>
            <w:shd w:val="clear" w:color="auto" w:fill="F2F2F2" w:themeFill="background1" w:themeFillShade="F2"/>
          </w:tcPr>
          <w:p w14:paraId="1A8DF313" w14:textId="77777777" w:rsidR="005048C9" w:rsidRPr="003B11BD" w:rsidRDefault="005048C9" w:rsidP="00F03230">
            <w:pPr>
              <w:pStyle w:val="Size10"/>
              <w:rPr>
                <w:noProof/>
              </w:rPr>
            </w:pPr>
            <w:r w:rsidRPr="003B11BD">
              <w:rPr>
                <w:rFonts w:eastAsiaTheme="minorHAnsi"/>
                <w:noProof/>
              </w:rPr>
              <w:t>Ad-hoc group</w:t>
            </w:r>
          </w:p>
        </w:tc>
        <w:tc>
          <w:tcPr>
            <w:tcW w:w="1276" w:type="dxa"/>
            <w:shd w:val="clear" w:color="auto" w:fill="F2F2F2" w:themeFill="background1" w:themeFillShade="F2"/>
          </w:tcPr>
          <w:p w14:paraId="52B2E25D" w14:textId="77777777" w:rsidR="005048C9" w:rsidRPr="003B11BD" w:rsidRDefault="005048C9" w:rsidP="00F03230">
            <w:pPr>
              <w:pStyle w:val="Size10"/>
              <w:rPr>
                <w:noProof/>
              </w:rPr>
            </w:pPr>
            <w:r w:rsidRPr="003B11BD">
              <w:rPr>
                <w:rFonts w:eastAsiaTheme="minorHAnsi"/>
                <w:noProof/>
              </w:rPr>
              <w:t>GROW</w:t>
            </w:r>
          </w:p>
        </w:tc>
        <w:tc>
          <w:tcPr>
            <w:tcW w:w="1701" w:type="dxa"/>
            <w:shd w:val="clear" w:color="auto" w:fill="FFFF00"/>
          </w:tcPr>
          <w:p w14:paraId="33A2E80C" w14:textId="77777777" w:rsidR="005048C9" w:rsidRPr="003B11BD" w:rsidRDefault="005048C9" w:rsidP="00F03230">
            <w:pPr>
              <w:pStyle w:val="Size10"/>
              <w:rPr>
                <w:noProof/>
              </w:rPr>
            </w:pPr>
            <w:r w:rsidRPr="003B11BD">
              <w:rPr>
                <w:noProof/>
              </w:rPr>
              <w:t xml:space="preserve">Relevant </w:t>
            </w:r>
          </w:p>
        </w:tc>
        <w:tc>
          <w:tcPr>
            <w:tcW w:w="7229" w:type="dxa"/>
            <w:shd w:val="clear" w:color="auto" w:fill="F2F2F2" w:themeFill="background1" w:themeFillShade="F2"/>
          </w:tcPr>
          <w:p w14:paraId="0BACDB2C" w14:textId="77777777" w:rsidR="005048C9" w:rsidRPr="003B11BD" w:rsidRDefault="005048C9" w:rsidP="00F03230">
            <w:pPr>
              <w:pStyle w:val="Size10"/>
              <w:rPr>
                <w:noProof/>
              </w:rPr>
            </w:pPr>
            <w:r w:rsidRPr="003B11BD">
              <w:rPr>
                <w:noProof/>
              </w:rPr>
              <w:t>As a platform for collaboration (among others matchmaking events) the initiative aims at fostering voluntary solutions and therefore avoiding a CL.</w:t>
            </w:r>
          </w:p>
        </w:tc>
      </w:tr>
      <w:tr w:rsidR="005048C9" w:rsidRPr="003B11BD" w14:paraId="737C2158" w14:textId="77777777" w:rsidTr="001163DA">
        <w:tc>
          <w:tcPr>
            <w:tcW w:w="2410" w:type="dxa"/>
            <w:shd w:val="clear" w:color="auto" w:fill="F2F2F2" w:themeFill="background1" w:themeFillShade="F2"/>
          </w:tcPr>
          <w:p w14:paraId="79A729AF" w14:textId="77777777" w:rsidR="005048C9" w:rsidRPr="003B11BD" w:rsidRDefault="005048C9" w:rsidP="00F03230">
            <w:pPr>
              <w:pStyle w:val="Size10"/>
              <w:rPr>
                <w:noProof/>
              </w:rPr>
            </w:pPr>
            <w:r w:rsidRPr="003B11BD">
              <w:rPr>
                <w:noProof/>
              </w:rPr>
              <w:t>EU Rapid Alert Function</w:t>
            </w:r>
          </w:p>
        </w:tc>
        <w:tc>
          <w:tcPr>
            <w:tcW w:w="2126" w:type="dxa"/>
            <w:shd w:val="clear" w:color="auto" w:fill="F2F2F2" w:themeFill="background1" w:themeFillShade="F2"/>
          </w:tcPr>
          <w:p w14:paraId="1CF72719" w14:textId="77777777" w:rsidR="005048C9" w:rsidRPr="003B11BD" w:rsidRDefault="005048C9" w:rsidP="00F03230">
            <w:pPr>
              <w:pStyle w:val="Size10"/>
              <w:rPr>
                <w:noProof/>
              </w:rPr>
            </w:pPr>
            <w:r w:rsidRPr="003B11BD">
              <w:rPr>
                <w:noProof/>
              </w:rPr>
              <w:t>Ad-hoc solution Regulations</w:t>
            </w:r>
          </w:p>
        </w:tc>
        <w:tc>
          <w:tcPr>
            <w:tcW w:w="1276" w:type="dxa"/>
            <w:shd w:val="clear" w:color="auto" w:fill="F2F2F2" w:themeFill="background1" w:themeFillShade="F2"/>
          </w:tcPr>
          <w:p w14:paraId="50A3A726" w14:textId="77777777" w:rsidR="005048C9" w:rsidRPr="003B11BD" w:rsidRDefault="005048C9" w:rsidP="00F03230">
            <w:pPr>
              <w:pStyle w:val="Size10"/>
              <w:rPr>
                <w:noProof/>
              </w:rPr>
            </w:pPr>
            <w:r w:rsidRPr="003B11BD">
              <w:rPr>
                <w:rFonts w:eastAsiaTheme="minorHAnsi"/>
                <w:noProof/>
              </w:rPr>
              <w:t>GROW</w:t>
            </w:r>
          </w:p>
        </w:tc>
        <w:tc>
          <w:tcPr>
            <w:tcW w:w="1701" w:type="dxa"/>
            <w:shd w:val="clear" w:color="auto" w:fill="FFFF00"/>
          </w:tcPr>
          <w:p w14:paraId="31503812" w14:textId="77777777" w:rsidR="005048C9" w:rsidRPr="003B11BD" w:rsidRDefault="005048C9" w:rsidP="00F03230">
            <w:pPr>
              <w:pStyle w:val="Size10"/>
              <w:rPr>
                <w:noProof/>
              </w:rPr>
            </w:pPr>
            <w:r w:rsidRPr="003B11BD">
              <w:rPr>
                <w:noProof/>
              </w:rPr>
              <w:t xml:space="preserve">Relevant </w:t>
            </w:r>
          </w:p>
        </w:tc>
        <w:tc>
          <w:tcPr>
            <w:tcW w:w="7229" w:type="dxa"/>
            <w:shd w:val="clear" w:color="auto" w:fill="F2F2F2" w:themeFill="background1" w:themeFillShade="F2"/>
          </w:tcPr>
          <w:p w14:paraId="6D83C727" w14:textId="77777777" w:rsidR="005048C9" w:rsidRPr="003B11BD" w:rsidRDefault="005048C9" w:rsidP="00F03230">
            <w:pPr>
              <w:pStyle w:val="Size10"/>
              <w:rPr>
                <w:noProof/>
              </w:rPr>
            </w:pPr>
            <w:r w:rsidRPr="003B11BD">
              <w:rPr>
                <w:noProof/>
              </w:rPr>
              <w:t>The initiative aims at detecting disruptions in supply chains.</w:t>
            </w:r>
          </w:p>
        </w:tc>
      </w:tr>
      <w:tr w:rsidR="005048C9" w:rsidRPr="003B11BD" w14:paraId="72C78FEC" w14:textId="77777777" w:rsidTr="001163DA">
        <w:tc>
          <w:tcPr>
            <w:tcW w:w="2410" w:type="dxa"/>
            <w:shd w:val="clear" w:color="auto" w:fill="F2F2F2" w:themeFill="background1" w:themeFillShade="F2"/>
          </w:tcPr>
          <w:p w14:paraId="7C1828AC" w14:textId="77777777" w:rsidR="005048C9" w:rsidRPr="003B11BD" w:rsidRDefault="005048C9" w:rsidP="00F03230">
            <w:pPr>
              <w:pStyle w:val="Size10"/>
              <w:rPr>
                <w:noProof/>
              </w:rPr>
            </w:pPr>
            <w:r w:rsidRPr="003B11BD">
              <w:rPr>
                <w:noProof/>
              </w:rPr>
              <w:t>EU Rapid Alert system Function</w:t>
            </w:r>
          </w:p>
        </w:tc>
        <w:tc>
          <w:tcPr>
            <w:tcW w:w="2126" w:type="dxa"/>
            <w:shd w:val="clear" w:color="auto" w:fill="F2F2F2" w:themeFill="background1" w:themeFillShade="F2"/>
          </w:tcPr>
          <w:p w14:paraId="45DD4A7E" w14:textId="77777777" w:rsidR="005048C9" w:rsidRPr="003B11BD" w:rsidRDefault="005048C9" w:rsidP="00F03230">
            <w:pPr>
              <w:pStyle w:val="Size10"/>
              <w:rPr>
                <w:noProof/>
              </w:rPr>
            </w:pPr>
            <w:r w:rsidRPr="003B11BD">
              <w:rPr>
                <w:noProof/>
              </w:rPr>
              <w:t>Existing mechanism: European Union Rapid Information System (Safety Gate/RAPEX)</w:t>
            </w:r>
          </w:p>
        </w:tc>
        <w:tc>
          <w:tcPr>
            <w:tcW w:w="1276" w:type="dxa"/>
            <w:shd w:val="clear" w:color="auto" w:fill="F2F2F2" w:themeFill="background1" w:themeFillShade="F2"/>
          </w:tcPr>
          <w:p w14:paraId="557F8EED" w14:textId="77777777" w:rsidR="005048C9" w:rsidRPr="003B11BD" w:rsidRDefault="005048C9" w:rsidP="00F03230">
            <w:pPr>
              <w:pStyle w:val="Size10"/>
              <w:rPr>
                <w:noProof/>
              </w:rPr>
            </w:pPr>
            <w:r w:rsidRPr="003B11BD">
              <w:rPr>
                <w:noProof/>
              </w:rPr>
              <w:t>DG JUST</w:t>
            </w:r>
          </w:p>
        </w:tc>
        <w:tc>
          <w:tcPr>
            <w:tcW w:w="1701" w:type="dxa"/>
            <w:shd w:val="clear" w:color="auto" w:fill="FF0000"/>
          </w:tcPr>
          <w:p w14:paraId="199AFB0F"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699E2392" w14:textId="77777777" w:rsidR="005048C9" w:rsidRPr="003B11BD" w:rsidRDefault="005048C9" w:rsidP="00F03230">
            <w:pPr>
              <w:pStyle w:val="Size10"/>
              <w:rPr>
                <w:noProof/>
              </w:rPr>
            </w:pPr>
            <w:r w:rsidRPr="003B11BD">
              <w:rPr>
                <w:noProof/>
              </w:rPr>
              <w:t>The initiative is about an alert system for dangerous goods.</w:t>
            </w:r>
          </w:p>
        </w:tc>
      </w:tr>
      <w:tr w:rsidR="005048C9" w:rsidRPr="003B11BD" w14:paraId="392CDC78" w14:textId="77777777" w:rsidTr="001163DA">
        <w:tc>
          <w:tcPr>
            <w:tcW w:w="2410" w:type="dxa"/>
            <w:shd w:val="clear" w:color="auto" w:fill="F2F2F2" w:themeFill="background1" w:themeFillShade="F2"/>
          </w:tcPr>
          <w:p w14:paraId="6CE9428C" w14:textId="77777777" w:rsidR="005048C9" w:rsidRPr="003B11BD" w:rsidRDefault="005048C9" w:rsidP="00F03230">
            <w:pPr>
              <w:pStyle w:val="Size10"/>
              <w:rPr>
                <w:noProof/>
              </w:rPr>
            </w:pPr>
            <w:r w:rsidRPr="003B11BD">
              <w:rPr>
                <w:noProof/>
              </w:rPr>
              <w:t>EU Vaccines Strategy and Joint Vaccine Procurement</w:t>
            </w:r>
          </w:p>
        </w:tc>
        <w:tc>
          <w:tcPr>
            <w:tcW w:w="2126" w:type="dxa"/>
            <w:shd w:val="clear" w:color="auto" w:fill="F2F2F2" w:themeFill="background1" w:themeFillShade="F2"/>
          </w:tcPr>
          <w:p w14:paraId="4BAAF1C4" w14:textId="77777777" w:rsidR="005048C9" w:rsidRPr="003B11BD" w:rsidRDefault="005048C9" w:rsidP="00F03230">
            <w:pPr>
              <w:pStyle w:val="Size10"/>
              <w:rPr>
                <w:noProof/>
              </w:rPr>
            </w:pPr>
            <w:r w:rsidRPr="003B11BD">
              <w:rPr>
                <w:noProof/>
              </w:rPr>
              <w:t>Communication</w:t>
            </w:r>
          </w:p>
        </w:tc>
        <w:tc>
          <w:tcPr>
            <w:tcW w:w="1276" w:type="dxa"/>
            <w:shd w:val="clear" w:color="auto" w:fill="F2F2F2" w:themeFill="background1" w:themeFillShade="F2"/>
          </w:tcPr>
          <w:p w14:paraId="7809BE3F" w14:textId="77777777" w:rsidR="005048C9" w:rsidRPr="003B11BD" w:rsidRDefault="005048C9" w:rsidP="00F03230">
            <w:pPr>
              <w:pStyle w:val="Size10"/>
              <w:rPr>
                <w:noProof/>
              </w:rPr>
            </w:pPr>
            <w:r w:rsidRPr="003B11BD">
              <w:rPr>
                <w:noProof/>
              </w:rPr>
              <w:t>SANTE</w:t>
            </w:r>
          </w:p>
        </w:tc>
        <w:tc>
          <w:tcPr>
            <w:tcW w:w="1701" w:type="dxa"/>
            <w:shd w:val="clear" w:color="auto" w:fill="00B050"/>
          </w:tcPr>
          <w:p w14:paraId="28D4731F" w14:textId="77777777" w:rsidR="005048C9" w:rsidRPr="003B11BD" w:rsidRDefault="005048C9" w:rsidP="00F03230">
            <w:pPr>
              <w:pStyle w:val="Size10"/>
              <w:rPr>
                <w:noProof/>
              </w:rPr>
            </w:pPr>
            <w:r w:rsidRPr="003B11BD">
              <w:rPr>
                <w:noProof/>
              </w:rPr>
              <w:t>Highly relevant</w:t>
            </w:r>
          </w:p>
        </w:tc>
        <w:tc>
          <w:tcPr>
            <w:tcW w:w="7229" w:type="dxa"/>
            <w:shd w:val="clear" w:color="auto" w:fill="F2F2F2" w:themeFill="background1" w:themeFillShade="F2"/>
          </w:tcPr>
          <w:p w14:paraId="79512607" w14:textId="77777777" w:rsidR="005048C9" w:rsidRPr="003B11BD" w:rsidRDefault="005048C9" w:rsidP="00F03230">
            <w:pPr>
              <w:pStyle w:val="Size10"/>
              <w:rPr>
                <w:noProof/>
              </w:rPr>
            </w:pPr>
            <w:r w:rsidRPr="003B11BD">
              <w:rPr>
                <w:noProof/>
              </w:rPr>
              <w:t>The initiative refers to the public health emergency recognized under the European Health Union (see below).</w:t>
            </w:r>
          </w:p>
        </w:tc>
      </w:tr>
      <w:tr w:rsidR="005048C9" w:rsidRPr="003B11BD" w14:paraId="2BD45E44" w14:textId="77777777" w:rsidTr="001163DA">
        <w:tc>
          <w:tcPr>
            <w:tcW w:w="2410" w:type="dxa"/>
            <w:shd w:val="clear" w:color="auto" w:fill="F2F2F2" w:themeFill="background1" w:themeFillShade="F2"/>
          </w:tcPr>
          <w:p w14:paraId="0912C03D" w14:textId="521BE99D" w:rsidR="005048C9" w:rsidRPr="003B11BD" w:rsidRDefault="005048C9" w:rsidP="00F03230">
            <w:pPr>
              <w:pStyle w:val="Size10"/>
              <w:rPr>
                <w:noProof/>
              </w:rPr>
            </w:pPr>
            <w:r w:rsidRPr="003B11BD">
              <w:rPr>
                <w:noProof/>
              </w:rPr>
              <w:t>European Health Union</w:t>
            </w:r>
            <w:r w:rsidR="35146CDA" w:rsidRPr="003B11BD">
              <w:rPr>
                <w:noProof/>
              </w:rPr>
              <w:t xml:space="preserve"> (first key initiative : Serious Cross-Border Threats to Health Regulation)</w:t>
            </w:r>
          </w:p>
        </w:tc>
        <w:tc>
          <w:tcPr>
            <w:tcW w:w="2126" w:type="dxa"/>
            <w:shd w:val="clear" w:color="auto" w:fill="F2F2F2" w:themeFill="background1" w:themeFillShade="F2"/>
          </w:tcPr>
          <w:p w14:paraId="2F659311" w14:textId="53B221DF" w:rsidR="005048C9" w:rsidRPr="003B11BD" w:rsidRDefault="4978FF9B" w:rsidP="00F03230">
            <w:pPr>
              <w:pStyle w:val="Size10"/>
              <w:rPr>
                <w:noProof/>
              </w:rPr>
            </w:pPr>
            <w:r w:rsidRPr="003B11BD">
              <w:rPr>
                <w:noProof/>
              </w:rPr>
              <w:t>Regulation (EU) 2022/2371</w:t>
            </w:r>
          </w:p>
        </w:tc>
        <w:tc>
          <w:tcPr>
            <w:tcW w:w="1276" w:type="dxa"/>
            <w:shd w:val="clear" w:color="auto" w:fill="F2F2F2" w:themeFill="background1" w:themeFillShade="F2"/>
          </w:tcPr>
          <w:p w14:paraId="66C7C1C6" w14:textId="77777777" w:rsidR="005048C9" w:rsidRPr="003B11BD" w:rsidRDefault="005048C9" w:rsidP="00F03230">
            <w:pPr>
              <w:pStyle w:val="Size10"/>
              <w:rPr>
                <w:noProof/>
              </w:rPr>
            </w:pPr>
            <w:r w:rsidRPr="003B11BD">
              <w:rPr>
                <w:noProof/>
              </w:rPr>
              <w:t>SANTE</w:t>
            </w:r>
          </w:p>
        </w:tc>
        <w:tc>
          <w:tcPr>
            <w:tcW w:w="1701" w:type="dxa"/>
            <w:shd w:val="clear" w:color="auto" w:fill="00B050"/>
          </w:tcPr>
          <w:p w14:paraId="1861B787" w14:textId="77777777" w:rsidR="005048C9" w:rsidRPr="003B11BD" w:rsidRDefault="005048C9" w:rsidP="00F03230">
            <w:pPr>
              <w:pStyle w:val="Size10"/>
              <w:rPr>
                <w:noProof/>
              </w:rPr>
            </w:pPr>
            <w:r w:rsidRPr="003B11BD">
              <w:rPr>
                <w:noProof/>
              </w:rPr>
              <w:t>Highly relevant</w:t>
            </w:r>
          </w:p>
        </w:tc>
        <w:tc>
          <w:tcPr>
            <w:tcW w:w="7229" w:type="dxa"/>
            <w:shd w:val="clear" w:color="auto" w:fill="F2F2F2" w:themeFill="background1" w:themeFillShade="F2"/>
          </w:tcPr>
          <w:p w14:paraId="77CA6D69" w14:textId="77777777" w:rsidR="005048C9" w:rsidRPr="003B11BD" w:rsidRDefault="005048C9" w:rsidP="00F03230">
            <w:pPr>
              <w:pStyle w:val="Size10"/>
              <w:rPr>
                <w:noProof/>
              </w:rPr>
            </w:pPr>
            <w:r w:rsidRPr="003B11BD">
              <w:rPr>
                <w:noProof/>
              </w:rPr>
              <w:t xml:space="preserve">Recognition of public health emergency by COM Implementing Act can trigger the CL granting process under Options 3 and 4. </w:t>
            </w:r>
          </w:p>
        </w:tc>
      </w:tr>
      <w:tr w:rsidR="005048C9" w:rsidRPr="003B11BD" w14:paraId="40A486DD" w14:textId="77777777" w:rsidTr="001163DA">
        <w:tc>
          <w:tcPr>
            <w:tcW w:w="2410" w:type="dxa"/>
            <w:shd w:val="clear" w:color="auto" w:fill="F2F2F2" w:themeFill="background1" w:themeFillShade="F2"/>
          </w:tcPr>
          <w:p w14:paraId="0D3119C4" w14:textId="4D7758B4" w:rsidR="005048C9" w:rsidRPr="003B11BD" w:rsidRDefault="005048C9" w:rsidP="00F03230">
            <w:pPr>
              <w:pStyle w:val="Size10"/>
              <w:rPr>
                <w:noProof/>
              </w:rPr>
            </w:pPr>
            <w:r w:rsidRPr="003B11BD">
              <w:rPr>
                <w:noProof/>
              </w:rPr>
              <w:t>HERA</w:t>
            </w:r>
            <w:r w:rsidR="01D9E18E" w:rsidRPr="003B11BD">
              <w:rPr>
                <w:noProof/>
              </w:rPr>
              <w:t xml:space="preserve"> and the Emergency Framework Regulation (EU) 2022/2372</w:t>
            </w:r>
          </w:p>
        </w:tc>
        <w:tc>
          <w:tcPr>
            <w:tcW w:w="2126" w:type="dxa"/>
            <w:shd w:val="clear" w:color="auto" w:fill="F2F2F2" w:themeFill="background1" w:themeFillShade="F2"/>
          </w:tcPr>
          <w:p w14:paraId="67170248" w14:textId="72D3C360" w:rsidR="005048C9" w:rsidRPr="003B11BD" w:rsidRDefault="77DE23BC" w:rsidP="00F03230">
            <w:pPr>
              <w:pStyle w:val="Size10"/>
              <w:rPr>
                <w:noProof/>
              </w:rPr>
            </w:pPr>
            <w:r w:rsidRPr="003B11BD">
              <w:rPr>
                <w:noProof/>
              </w:rPr>
              <w:t>Commission DG established on 16 September 2021 with Commission Decision C(2021) 6712</w:t>
            </w:r>
          </w:p>
          <w:p w14:paraId="4F3BC810" w14:textId="7862C1C5" w:rsidR="005048C9" w:rsidRPr="003B11BD" w:rsidRDefault="77DE23BC" w:rsidP="00F03230">
            <w:pPr>
              <w:pStyle w:val="Size10"/>
              <w:rPr>
                <w:noProof/>
              </w:rPr>
            </w:pPr>
            <w:r w:rsidRPr="003B11BD">
              <w:rPr>
                <w:noProof/>
              </w:rPr>
              <w:t xml:space="preserve"> </w:t>
            </w:r>
          </w:p>
          <w:p w14:paraId="2FB63D7C" w14:textId="68715C9B" w:rsidR="005048C9" w:rsidRPr="003B11BD" w:rsidRDefault="77DE23BC" w:rsidP="00F03230">
            <w:pPr>
              <w:pStyle w:val="Size10"/>
              <w:rPr>
                <w:noProof/>
              </w:rPr>
            </w:pPr>
            <w:r w:rsidRPr="003B11BD">
              <w:rPr>
                <w:noProof/>
              </w:rPr>
              <w:t>-Regulation</w:t>
            </w:r>
          </w:p>
        </w:tc>
        <w:tc>
          <w:tcPr>
            <w:tcW w:w="1276" w:type="dxa"/>
            <w:shd w:val="clear" w:color="auto" w:fill="F2F2F2" w:themeFill="background1" w:themeFillShade="F2"/>
          </w:tcPr>
          <w:p w14:paraId="7D618A3F" w14:textId="7980EDC5" w:rsidR="005048C9" w:rsidRPr="003B11BD" w:rsidRDefault="77DE23BC" w:rsidP="00F03230">
            <w:pPr>
              <w:pStyle w:val="Size10"/>
              <w:rPr>
                <w:noProof/>
              </w:rPr>
            </w:pPr>
            <w:r w:rsidRPr="003B11BD">
              <w:rPr>
                <w:noProof/>
              </w:rPr>
              <w:t>HERA</w:t>
            </w:r>
          </w:p>
        </w:tc>
        <w:tc>
          <w:tcPr>
            <w:tcW w:w="1701" w:type="dxa"/>
            <w:shd w:val="clear" w:color="auto" w:fill="00B050"/>
          </w:tcPr>
          <w:p w14:paraId="220188AD" w14:textId="77777777" w:rsidR="005048C9" w:rsidRPr="003B11BD" w:rsidRDefault="005048C9" w:rsidP="00F03230">
            <w:pPr>
              <w:pStyle w:val="Size10"/>
              <w:rPr>
                <w:noProof/>
              </w:rPr>
            </w:pPr>
            <w:r w:rsidRPr="003B11BD">
              <w:rPr>
                <w:noProof/>
              </w:rPr>
              <w:t xml:space="preserve">Highly relevant </w:t>
            </w:r>
          </w:p>
        </w:tc>
        <w:tc>
          <w:tcPr>
            <w:tcW w:w="7229" w:type="dxa"/>
            <w:shd w:val="clear" w:color="auto" w:fill="F2F2F2" w:themeFill="background1" w:themeFillShade="F2"/>
          </w:tcPr>
          <w:p w14:paraId="03968622" w14:textId="7BA01140" w:rsidR="005048C9" w:rsidRPr="003B11BD" w:rsidRDefault="77B9FE69" w:rsidP="00F03230">
            <w:pPr>
              <w:pStyle w:val="Size10"/>
              <w:rPr>
                <w:noProof/>
              </w:rPr>
            </w:pPr>
            <w:r w:rsidRPr="003B11BD">
              <w:rPr>
                <w:noProof/>
              </w:rPr>
              <w:t>The Council Regulation on a framework of measures for ensuring the supply of crisis-relevant medical countermeasures in the event of a public health emergency at Union level, which should have been recognised under the serious cross-border threats to health regulation (see above), provides the framework for HERA’s proposed crisis mode and enables the Union to take necessary measures for sufficient and timely availability and supply of crisis-relevant medical countermeasures in case of future public health emergencies.</w:t>
            </w:r>
            <w:r w:rsidR="005048C9" w:rsidRPr="003B11BD">
              <w:rPr>
                <w:noProof/>
              </w:rPr>
              <w:t xml:space="preserve"> As the objective of the </w:t>
            </w:r>
            <w:r w:rsidR="0BBFE4D8" w:rsidRPr="003B11BD">
              <w:rPr>
                <w:noProof/>
              </w:rPr>
              <w:t>regulation</w:t>
            </w:r>
            <w:r w:rsidR="005048C9" w:rsidRPr="003B11BD">
              <w:rPr>
                <w:noProof/>
              </w:rPr>
              <w:t xml:space="preserve"> is to establish a framework of measures for ensuring the supply of crisis relevant medical counter-measures in the event of a public health emergency at Union level, a CL could give bargaining power when negotiating voluntary agreements, hence facilitating conclusions of voluntary agreements. CL could also serve as a last resort instrument for the supply of the Union with crisis relevant goods, in case voluntary solutions fail. </w:t>
            </w:r>
          </w:p>
        </w:tc>
      </w:tr>
      <w:tr w:rsidR="005048C9" w:rsidRPr="003B11BD" w14:paraId="39A9D4AA" w14:textId="77777777" w:rsidTr="001163DA">
        <w:tc>
          <w:tcPr>
            <w:tcW w:w="2410" w:type="dxa"/>
            <w:shd w:val="clear" w:color="auto" w:fill="F2F2F2" w:themeFill="background1" w:themeFillShade="F2"/>
          </w:tcPr>
          <w:p w14:paraId="02D6B530" w14:textId="77777777" w:rsidR="005048C9" w:rsidRPr="003B11BD" w:rsidRDefault="005048C9" w:rsidP="00F03230">
            <w:pPr>
              <w:pStyle w:val="Size10"/>
              <w:rPr>
                <w:noProof/>
              </w:rPr>
            </w:pPr>
            <w:r w:rsidRPr="003B11BD">
              <w:rPr>
                <w:noProof/>
              </w:rPr>
              <w:t>Emergency Assistance on Cross-Border Cooperation in Healthcare</w:t>
            </w:r>
          </w:p>
        </w:tc>
        <w:tc>
          <w:tcPr>
            <w:tcW w:w="2126" w:type="dxa"/>
            <w:shd w:val="clear" w:color="auto" w:fill="F2F2F2" w:themeFill="background1" w:themeFillShade="F2"/>
          </w:tcPr>
          <w:p w14:paraId="01F1B14E" w14:textId="77777777" w:rsidR="005048C9" w:rsidRPr="003B11BD" w:rsidRDefault="005048C9" w:rsidP="00F03230">
            <w:pPr>
              <w:pStyle w:val="Size10"/>
              <w:rPr>
                <w:noProof/>
              </w:rPr>
            </w:pPr>
            <w:r w:rsidRPr="003B11BD">
              <w:rPr>
                <w:noProof/>
              </w:rPr>
              <w:t>Communication</w:t>
            </w:r>
          </w:p>
        </w:tc>
        <w:tc>
          <w:tcPr>
            <w:tcW w:w="1276" w:type="dxa"/>
            <w:shd w:val="clear" w:color="auto" w:fill="F2F2F2" w:themeFill="background1" w:themeFillShade="F2"/>
          </w:tcPr>
          <w:p w14:paraId="302BC007" w14:textId="77777777" w:rsidR="005048C9" w:rsidRPr="003B11BD" w:rsidRDefault="005048C9" w:rsidP="00F03230">
            <w:pPr>
              <w:pStyle w:val="Size10"/>
              <w:rPr>
                <w:noProof/>
              </w:rPr>
            </w:pPr>
            <w:r w:rsidRPr="003B11BD">
              <w:rPr>
                <w:noProof/>
              </w:rPr>
              <w:t>DG Health and Food Safety</w:t>
            </w:r>
          </w:p>
        </w:tc>
        <w:tc>
          <w:tcPr>
            <w:tcW w:w="1701" w:type="dxa"/>
            <w:shd w:val="clear" w:color="auto" w:fill="00B050"/>
          </w:tcPr>
          <w:p w14:paraId="197289FB" w14:textId="77777777" w:rsidR="005048C9" w:rsidRPr="003B11BD" w:rsidRDefault="005048C9" w:rsidP="00F03230">
            <w:pPr>
              <w:pStyle w:val="Size10"/>
              <w:rPr>
                <w:noProof/>
              </w:rPr>
            </w:pPr>
            <w:r w:rsidRPr="003B11BD">
              <w:rPr>
                <w:noProof/>
              </w:rPr>
              <w:t>Highly relevant</w:t>
            </w:r>
          </w:p>
        </w:tc>
        <w:tc>
          <w:tcPr>
            <w:tcW w:w="7229" w:type="dxa"/>
            <w:shd w:val="clear" w:color="auto" w:fill="F2F2F2" w:themeFill="background1" w:themeFillShade="F2"/>
          </w:tcPr>
          <w:p w14:paraId="5A243248" w14:textId="77777777" w:rsidR="005048C9" w:rsidRPr="003B11BD" w:rsidRDefault="005048C9" w:rsidP="00F03230">
            <w:pPr>
              <w:pStyle w:val="Size10"/>
              <w:rPr>
                <w:noProof/>
              </w:rPr>
            </w:pPr>
            <w:r w:rsidRPr="003B11BD">
              <w:rPr>
                <w:noProof/>
              </w:rPr>
              <w:t xml:space="preserve">The initiative refers to the public health emergency recognized under the European Health Union (see above). </w:t>
            </w:r>
          </w:p>
        </w:tc>
      </w:tr>
      <w:tr w:rsidR="005048C9" w:rsidRPr="003B11BD" w14:paraId="36BFA4DD" w14:textId="77777777" w:rsidTr="001163DA">
        <w:tc>
          <w:tcPr>
            <w:tcW w:w="2410" w:type="dxa"/>
            <w:shd w:val="clear" w:color="auto" w:fill="F2F2F2" w:themeFill="background1" w:themeFillShade="F2"/>
          </w:tcPr>
          <w:p w14:paraId="435055CC" w14:textId="77777777" w:rsidR="005048C9" w:rsidRPr="003B11BD" w:rsidRDefault="005048C9" w:rsidP="00F03230">
            <w:pPr>
              <w:pStyle w:val="Size10"/>
              <w:rPr>
                <w:noProof/>
              </w:rPr>
            </w:pPr>
            <w:r w:rsidRPr="003B11BD">
              <w:rPr>
                <w:noProof/>
              </w:rPr>
              <w:t>COVAX Facility and Vaccine Sharing Mechanism</w:t>
            </w:r>
          </w:p>
        </w:tc>
        <w:tc>
          <w:tcPr>
            <w:tcW w:w="2126" w:type="dxa"/>
            <w:shd w:val="clear" w:color="auto" w:fill="F2F2F2" w:themeFill="background1" w:themeFillShade="F2"/>
          </w:tcPr>
          <w:p w14:paraId="7BF85D5B" w14:textId="77777777" w:rsidR="005048C9" w:rsidRPr="003B11BD" w:rsidRDefault="005048C9" w:rsidP="00F03230">
            <w:pPr>
              <w:pStyle w:val="Size10"/>
              <w:rPr>
                <w:noProof/>
              </w:rPr>
            </w:pPr>
            <w:r w:rsidRPr="003B11BD">
              <w:rPr>
                <w:noProof/>
              </w:rPr>
              <w:t>Global initiative</w:t>
            </w:r>
          </w:p>
        </w:tc>
        <w:tc>
          <w:tcPr>
            <w:tcW w:w="1276" w:type="dxa"/>
            <w:shd w:val="clear" w:color="auto" w:fill="F2F2F2" w:themeFill="background1" w:themeFillShade="F2"/>
          </w:tcPr>
          <w:p w14:paraId="02225BA2" w14:textId="77777777" w:rsidR="005048C9" w:rsidRPr="003B11BD" w:rsidRDefault="005048C9" w:rsidP="00F03230">
            <w:pPr>
              <w:pStyle w:val="Size10"/>
              <w:rPr>
                <w:noProof/>
              </w:rPr>
            </w:pPr>
            <w:r w:rsidRPr="003B11BD">
              <w:rPr>
                <w:noProof/>
              </w:rPr>
              <w:t>TRADE/ INTPA</w:t>
            </w:r>
          </w:p>
        </w:tc>
        <w:tc>
          <w:tcPr>
            <w:tcW w:w="1701" w:type="dxa"/>
            <w:shd w:val="clear" w:color="auto" w:fill="00B050"/>
          </w:tcPr>
          <w:p w14:paraId="7B21F4CB" w14:textId="77777777" w:rsidR="005048C9" w:rsidRPr="003B11BD" w:rsidRDefault="005048C9" w:rsidP="00F03230">
            <w:pPr>
              <w:pStyle w:val="Size10"/>
              <w:rPr>
                <w:noProof/>
              </w:rPr>
            </w:pPr>
            <w:r w:rsidRPr="003B11BD">
              <w:rPr>
                <w:noProof/>
              </w:rPr>
              <w:t xml:space="preserve">Highly relevant </w:t>
            </w:r>
          </w:p>
        </w:tc>
        <w:tc>
          <w:tcPr>
            <w:tcW w:w="7229" w:type="dxa"/>
            <w:shd w:val="clear" w:color="auto" w:fill="F2F2F2" w:themeFill="background1" w:themeFillShade="F2"/>
          </w:tcPr>
          <w:p w14:paraId="60B910A0" w14:textId="77777777" w:rsidR="005048C9" w:rsidRPr="003B11BD" w:rsidRDefault="005048C9" w:rsidP="00F03230">
            <w:pPr>
              <w:pStyle w:val="Size10"/>
              <w:rPr>
                <w:noProof/>
              </w:rPr>
            </w:pPr>
            <w:r w:rsidRPr="003B11BD">
              <w:rPr>
                <w:noProof/>
              </w:rPr>
              <w:t>A CL allows as a last resort instrument access to IP protected products, if there are suitable production capacities.</w:t>
            </w:r>
          </w:p>
        </w:tc>
      </w:tr>
      <w:tr w:rsidR="005048C9" w:rsidRPr="003B11BD" w14:paraId="055B1BD0" w14:textId="77777777" w:rsidTr="001163DA">
        <w:tc>
          <w:tcPr>
            <w:tcW w:w="2410" w:type="dxa"/>
            <w:shd w:val="clear" w:color="auto" w:fill="F2F2F2" w:themeFill="background1" w:themeFillShade="F2"/>
          </w:tcPr>
          <w:p w14:paraId="71248AD9" w14:textId="77777777" w:rsidR="005048C9" w:rsidRPr="003B11BD" w:rsidRDefault="005048C9" w:rsidP="00F03230">
            <w:pPr>
              <w:pStyle w:val="Size10"/>
              <w:rPr>
                <w:noProof/>
              </w:rPr>
            </w:pPr>
            <w:r w:rsidRPr="003B11BD">
              <w:rPr>
                <w:noProof/>
              </w:rPr>
              <w:t>Task Force for Industrial Scale-up of COVID-19 Vaccines</w:t>
            </w:r>
          </w:p>
        </w:tc>
        <w:tc>
          <w:tcPr>
            <w:tcW w:w="2126" w:type="dxa"/>
            <w:shd w:val="clear" w:color="auto" w:fill="F2F2F2" w:themeFill="background1" w:themeFillShade="F2"/>
          </w:tcPr>
          <w:p w14:paraId="21EF9B7F" w14:textId="77777777" w:rsidR="005048C9" w:rsidRPr="003B11BD" w:rsidRDefault="005048C9" w:rsidP="00F03230">
            <w:pPr>
              <w:pStyle w:val="Size10"/>
              <w:rPr>
                <w:noProof/>
              </w:rPr>
            </w:pPr>
            <w:r w:rsidRPr="003B11BD">
              <w:rPr>
                <w:noProof/>
              </w:rPr>
              <w:t>Ad hoc Task Force</w:t>
            </w:r>
          </w:p>
        </w:tc>
        <w:tc>
          <w:tcPr>
            <w:tcW w:w="1276" w:type="dxa"/>
            <w:shd w:val="clear" w:color="auto" w:fill="F2F2F2" w:themeFill="background1" w:themeFillShade="F2"/>
          </w:tcPr>
          <w:p w14:paraId="002D29F0" w14:textId="77777777" w:rsidR="005048C9" w:rsidRPr="003B11BD" w:rsidRDefault="005048C9" w:rsidP="00F03230">
            <w:pPr>
              <w:pStyle w:val="Size10"/>
              <w:rPr>
                <w:noProof/>
              </w:rPr>
            </w:pPr>
            <w:r w:rsidRPr="003B11BD">
              <w:rPr>
                <w:noProof/>
              </w:rPr>
              <w:t>GROW</w:t>
            </w:r>
          </w:p>
        </w:tc>
        <w:tc>
          <w:tcPr>
            <w:tcW w:w="1701" w:type="dxa"/>
            <w:shd w:val="clear" w:color="auto" w:fill="FFFF00"/>
          </w:tcPr>
          <w:p w14:paraId="5FAE84A6" w14:textId="77777777" w:rsidR="005048C9" w:rsidRPr="003B11BD" w:rsidRDefault="005048C9" w:rsidP="00F03230">
            <w:pPr>
              <w:pStyle w:val="Size10"/>
              <w:rPr>
                <w:noProof/>
              </w:rPr>
            </w:pPr>
            <w:r w:rsidRPr="003B11BD">
              <w:rPr>
                <w:noProof/>
              </w:rPr>
              <w:t xml:space="preserve">Relevant </w:t>
            </w:r>
          </w:p>
        </w:tc>
        <w:tc>
          <w:tcPr>
            <w:tcW w:w="7229" w:type="dxa"/>
            <w:shd w:val="clear" w:color="auto" w:fill="F2F2F2" w:themeFill="background1" w:themeFillShade="F2"/>
          </w:tcPr>
          <w:p w14:paraId="4523B171" w14:textId="77777777" w:rsidR="005048C9" w:rsidRPr="003B11BD" w:rsidRDefault="005048C9" w:rsidP="00F03230">
            <w:pPr>
              <w:pStyle w:val="Size10"/>
              <w:rPr>
                <w:noProof/>
              </w:rPr>
            </w:pPr>
            <w:r w:rsidRPr="003B11BD">
              <w:rPr>
                <w:noProof/>
              </w:rPr>
              <w:t>The initiative aims at avoiding the need of a CL (e.g. by promoting voluntary partnerships etc.)</w:t>
            </w:r>
          </w:p>
        </w:tc>
      </w:tr>
      <w:tr w:rsidR="005048C9" w:rsidRPr="003B11BD" w14:paraId="3E5CB7B7" w14:textId="77777777" w:rsidTr="001163DA">
        <w:tc>
          <w:tcPr>
            <w:tcW w:w="2410" w:type="dxa"/>
            <w:shd w:val="clear" w:color="auto" w:fill="F2F2F2" w:themeFill="background1" w:themeFillShade="F2"/>
          </w:tcPr>
          <w:p w14:paraId="1346B349" w14:textId="77777777" w:rsidR="005048C9" w:rsidRPr="003B11BD" w:rsidRDefault="005048C9" w:rsidP="00F03230">
            <w:pPr>
              <w:pStyle w:val="Size10"/>
              <w:rPr>
                <w:noProof/>
              </w:rPr>
            </w:pPr>
            <w:r w:rsidRPr="003B11BD">
              <w:rPr>
                <w:noProof/>
              </w:rPr>
              <w:t>Coronavirus Response in Relation to Personal Protective Equipment</w:t>
            </w:r>
          </w:p>
        </w:tc>
        <w:tc>
          <w:tcPr>
            <w:tcW w:w="2126" w:type="dxa"/>
            <w:shd w:val="clear" w:color="auto" w:fill="F2F2F2" w:themeFill="background1" w:themeFillShade="F2"/>
          </w:tcPr>
          <w:p w14:paraId="1A58BE41" w14:textId="77777777" w:rsidR="005048C9" w:rsidRPr="003B11BD" w:rsidRDefault="005048C9" w:rsidP="00F03230">
            <w:pPr>
              <w:pStyle w:val="Size10"/>
              <w:rPr>
                <w:noProof/>
              </w:rPr>
            </w:pPr>
            <w:r w:rsidRPr="003B11BD">
              <w:rPr>
                <w:noProof/>
              </w:rPr>
              <w:t>Commission Recommendation (13 March 2020) accompanied by guidance, followed by the introduction of temporary measures adjusting the PPE export authorisation scheme for 30 days</w:t>
            </w:r>
          </w:p>
        </w:tc>
        <w:tc>
          <w:tcPr>
            <w:tcW w:w="1276" w:type="dxa"/>
            <w:shd w:val="clear" w:color="auto" w:fill="F2F2F2" w:themeFill="background1" w:themeFillShade="F2"/>
          </w:tcPr>
          <w:p w14:paraId="59878912" w14:textId="77777777" w:rsidR="005048C9" w:rsidRPr="003B11BD" w:rsidRDefault="005048C9" w:rsidP="00F03230">
            <w:pPr>
              <w:pStyle w:val="Size10"/>
              <w:rPr>
                <w:noProof/>
              </w:rPr>
            </w:pPr>
            <w:r w:rsidRPr="003B11BD">
              <w:rPr>
                <w:noProof/>
              </w:rPr>
              <w:t>GROW</w:t>
            </w:r>
          </w:p>
        </w:tc>
        <w:tc>
          <w:tcPr>
            <w:tcW w:w="1701" w:type="dxa"/>
            <w:shd w:val="clear" w:color="auto" w:fill="FFFF00"/>
          </w:tcPr>
          <w:p w14:paraId="3FA25FFD" w14:textId="77777777" w:rsidR="005048C9" w:rsidRPr="003B11BD" w:rsidRDefault="005048C9" w:rsidP="00F03230">
            <w:pPr>
              <w:pStyle w:val="Size10"/>
              <w:rPr>
                <w:noProof/>
              </w:rPr>
            </w:pPr>
            <w:r w:rsidRPr="003B11BD">
              <w:rPr>
                <w:noProof/>
              </w:rPr>
              <w:t>Relevant</w:t>
            </w:r>
          </w:p>
        </w:tc>
        <w:tc>
          <w:tcPr>
            <w:tcW w:w="7229" w:type="dxa"/>
            <w:shd w:val="clear" w:color="auto" w:fill="F2F2F2" w:themeFill="background1" w:themeFillShade="F2"/>
          </w:tcPr>
          <w:p w14:paraId="53494EB1" w14:textId="77777777" w:rsidR="005048C9" w:rsidRPr="003B11BD" w:rsidRDefault="005048C9" w:rsidP="00F03230">
            <w:pPr>
              <w:pStyle w:val="Size10"/>
              <w:rPr>
                <w:noProof/>
              </w:rPr>
            </w:pPr>
            <w:r w:rsidRPr="003B11BD">
              <w:rPr>
                <w:noProof/>
              </w:rPr>
              <w:t>The initiative aims at speeding up the production of critical products in times of crisis.</w:t>
            </w:r>
          </w:p>
        </w:tc>
      </w:tr>
      <w:tr w:rsidR="005048C9" w:rsidRPr="003B11BD" w14:paraId="0045D502" w14:textId="77777777" w:rsidTr="001163DA">
        <w:tc>
          <w:tcPr>
            <w:tcW w:w="2410" w:type="dxa"/>
            <w:shd w:val="clear" w:color="auto" w:fill="F2F2F2" w:themeFill="background1" w:themeFillShade="F2"/>
          </w:tcPr>
          <w:p w14:paraId="0600B20A" w14:textId="77777777" w:rsidR="005048C9" w:rsidRPr="003B11BD" w:rsidRDefault="005048C9" w:rsidP="00F03230">
            <w:pPr>
              <w:pStyle w:val="Size10"/>
              <w:rPr>
                <w:noProof/>
              </w:rPr>
            </w:pPr>
            <w:r w:rsidRPr="003B11BD">
              <w:rPr>
                <w:noProof/>
              </w:rPr>
              <w:t>Extra-EU Export Authorisation Mechanism of Covid-19 Vaccines and their Active Substances</w:t>
            </w:r>
          </w:p>
        </w:tc>
        <w:tc>
          <w:tcPr>
            <w:tcW w:w="2126" w:type="dxa"/>
            <w:shd w:val="clear" w:color="auto" w:fill="F2F2F2" w:themeFill="background1" w:themeFillShade="F2"/>
          </w:tcPr>
          <w:p w14:paraId="63BAD2D7" w14:textId="77777777" w:rsidR="005048C9" w:rsidRPr="003B11BD" w:rsidRDefault="005048C9" w:rsidP="00F03230">
            <w:pPr>
              <w:pStyle w:val="Size10"/>
              <w:rPr>
                <w:noProof/>
              </w:rPr>
            </w:pPr>
            <w:r w:rsidRPr="003B11BD">
              <w:rPr>
                <w:noProof/>
              </w:rPr>
              <w:t>Commission Regulation</w:t>
            </w:r>
          </w:p>
        </w:tc>
        <w:tc>
          <w:tcPr>
            <w:tcW w:w="1276" w:type="dxa"/>
            <w:shd w:val="clear" w:color="auto" w:fill="F2F2F2" w:themeFill="background1" w:themeFillShade="F2"/>
          </w:tcPr>
          <w:p w14:paraId="11377E91" w14:textId="77777777" w:rsidR="005048C9" w:rsidRPr="003B11BD" w:rsidRDefault="005048C9" w:rsidP="00F03230">
            <w:pPr>
              <w:pStyle w:val="Size10"/>
              <w:rPr>
                <w:noProof/>
              </w:rPr>
            </w:pPr>
            <w:r w:rsidRPr="003B11BD">
              <w:rPr>
                <w:noProof/>
              </w:rPr>
              <w:t>SANTE/ TRADE</w:t>
            </w:r>
          </w:p>
        </w:tc>
        <w:tc>
          <w:tcPr>
            <w:tcW w:w="1701" w:type="dxa"/>
            <w:shd w:val="clear" w:color="auto" w:fill="FFFF00"/>
          </w:tcPr>
          <w:p w14:paraId="18FF28D7" w14:textId="77777777" w:rsidR="005048C9" w:rsidRPr="003B11BD" w:rsidRDefault="005048C9" w:rsidP="00F03230">
            <w:pPr>
              <w:pStyle w:val="Size10"/>
              <w:rPr>
                <w:noProof/>
              </w:rPr>
            </w:pPr>
            <w:r w:rsidRPr="003B11BD">
              <w:rPr>
                <w:noProof/>
              </w:rPr>
              <w:t>Relevant</w:t>
            </w:r>
          </w:p>
        </w:tc>
        <w:tc>
          <w:tcPr>
            <w:tcW w:w="7229" w:type="dxa"/>
            <w:shd w:val="clear" w:color="auto" w:fill="F2F2F2" w:themeFill="background1" w:themeFillShade="F2"/>
          </w:tcPr>
          <w:p w14:paraId="0FCE815F" w14:textId="77777777" w:rsidR="005048C9" w:rsidRPr="003B11BD" w:rsidRDefault="005048C9" w:rsidP="00F03230">
            <w:pPr>
              <w:pStyle w:val="Size10"/>
              <w:rPr>
                <w:noProof/>
              </w:rPr>
            </w:pPr>
            <w:r w:rsidRPr="003B11BD">
              <w:rPr>
                <w:noProof/>
              </w:rPr>
              <w:t>A CL can also, under certain circumstances, secure the continuous supply with crisis relevant products.</w:t>
            </w:r>
          </w:p>
        </w:tc>
      </w:tr>
      <w:tr w:rsidR="005048C9" w:rsidRPr="003B11BD" w14:paraId="4EB8005C" w14:textId="77777777" w:rsidTr="001163DA">
        <w:tc>
          <w:tcPr>
            <w:tcW w:w="2410" w:type="dxa"/>
            <w:shd w:val="clear" w:color="auto" w:fill="F2F2F2" w:themeFill="background1" w:themeFillShade="F2"/>
          </w:tcPr>
          <w:p w14:paraId="120969BF" w14:textId="77777777" w:rsidR="005048C9" w:rsidRPr="003B11BD" w:rsidRDefault="005048C9" w:rsidP="00F03230">
            <w:pPr>
              <w:pStyle w:val="Size10"/>
              <w:rPr>
                <w:noProof/>
              </w:rPr>
            </w:pPr>
            <w:r w:rsidRPr="003B11BD">
              <w:rPr>
                <w:noProof/>
              </w:rPr>
              <w:t>Joint Procurements for Medicinal Counter Measures</w:t>
            </w:r>
          </w:p>
        </w:tc>
        <w:tc>
          <w:tcPr>
            <w:tcW w:w="2126" w:type="dxa"/>
            <w:shd w:val="clear" w:color="auto" w:fill="F2F2F2" w:themeFill="background1" w:themeFillShade="F2"/>
          </w:tcPr>
          <w:p w14:paraId="0E2A8AD3" w14:textId="77777777" w:rsidR="005048C9" w:rsidRPr="003B11BD" w:rsidRDefault="005048C9" w:rsidP="00F03230">
            <w:pPr>
              <w:pStyle w:val="Size10"/>
              <w:rPr>
                <w:noProof/>
              </w:rPr>
            </w:pPr>
            <w:r w:rsidRPr="003B11BD">
              <w:rPr>
                <w:noProof/>
              </w:rPr>
              <w:t>Legislative Proposal</w:t>
            </w:r>
          </w:p>
        </w:tc>
        <w:tc>
          <w:tcPr>
            <w:tcW w:w="1276" w:type="dxa"/>
            <w:shd w:val="clear" w:color="auto" w:fill="F2F2F2" w:themeFill="background1" w:themeFillShade="F2"/>
          </w:tcPr>
          <w:p w14:paraId="111C789C" w14:textId="77777777" w:rsidR="005048C9" w:rsidRPr="003B11BD" w:rsidRDefault="005048C9" w:rsidP="00F03230">
            <w:pPr>
              <w:pStyle w:val="Size10"/>
              <w:rPr>
                <w:noProof/>
              </w:rPr>
            </w:pPr>
            <w:r w:rsidRPr="003B11BD">
              <w:rPr>
                <w:noProof/>
              </w:rPr>
              <w:t>SANTE</w:t>
            </w:r>
          </w:p>
        </w:tc>
        <w:tc>
          <w:tcPr>
            <w:tcW w:w="1701" w:type="dxa"/>
            <w:shd w:val="clear" w:color="auto" w:fill="00B050"/>
          </w:tcPr>
          <w:p w14:paraId="0C4BA7F0" w14:textId="77777777" w:rsidR="005048C9" w:rsidRPr="003B11BD" w:rsidRDefault="005048C9" w:rsidP="00F03230">
            <w:pPr>
              <w:pStyle w:val="Size10"/>
              <w:rPr>
                <w:noProof/>
              </w:rPr>
            </w:pPr>
            <w:r w:rsidRPr="003B11BD">
              <w:rPr>
                <w:noProof/>
              </w:rPr>
              <w:t>Highly relevant</w:t>
            </w:r>
          </w:p>
        </w:tc>
        <w:tc>
          <w:tcPr>
            <w:tcW w:w="7229" w:type="dxa"/>
            <w:shd w:val="clear" w:color="auto" w:fill="F2F2F2" w:themeFill="background1" w:themeFillShade="F2"/>
          </w:tcPr>
          <w:p w14:paraId="4D764EC0" w14:textId="77777777" w:rsidR="005048C9" w:rsidRPr="003B11BD" w:rsidRDefault="005048C9" w:rsidP="00F03230">
            <w:pPr>
              <w:pStyle w:val="Size10"/>
              <w:rPr>
                <w:noProof/>
              </w:rPr>
            </w:pPr>
            <w:r w:rsidRPr="003B11BD">
              <w:rPr>
                <w:noProof/>
              </w:rPr>
              <w:t xml:space="preserve">The initiative refers to the public health emergency recognized under the European Health Union (see above). </w:t>
            </w:r>
          </w:p>
        </w:tc>
      </w:tr>
      <w:tr w:rsidR="005048C9" w:rsidRPr="003B11BD" w14:paraId="2DC82AEC" w14:textId="77777777" w:rsidTr="001163DA">
        <w:tc>
          <w:tcPr>
            <w:tcW w:w="2410" w:type="dxa"/>
            <w:shd w:val="clear" w:color="auto" w:fill="F2F2F2" w:themeFill="background1" w:themeFillShade="F2"/>
          </w:tcPr>
          <w:p w14:paraId="03F2A8F6" w14:textId="77777777" w:rsidR="005048C9" w:rsidRPr="003B11BD" w:rsidRDefault="005048C9" w:rsidP="00F03230">
            <w:pPr>
              <w:pStyle w:val="Size10"/>
              <w:rPr>
                <w:noProof/>
              </w:rPr>
            </w:pPr>
            <w:r w:rsidRPr="003B11BD">
              <w:rPr>
                <w:noProof/>
              </w:rPr>
              <w:t>A New European Pandemic Information Gathering System &amp; New European Chief Epidemiologist &amp; European Health Data Space</w:t>
            </w:r>
          </w:p>
        </w:tc>
        <w:tc>
          <w:tcPr>
            <w:tcW w:w="2126" w:type="dxa"/>
            <w:shd w:val="clear" w:color="auto" w:fill="F2F2F2" w:themeFill="background1" w:themeFillShade="F2"/>
          </w:tcPr>
          <w:p w14:paraId="0F488930" w14:textId="77777777" w:rsidR="005048C9" w:rsidRPr="003B11BD" w:rsidRDefault="005048C9" w:rsidP="00F03230">
            <w:pPr>
              <w:pStyle w:val="Size10"/>
              <w:rPr>
                <w:noProof/>
              </w:rPr>
            </w:pPr>
            <w:r w:rsidRPr="003B11BD">
              <w:rPr>
                <w:noProof/>
              </w:rPr>
              <w:t>Proposal announced in the Lessons Learnt Communication</w:t>
            </w:r>
          </w:p>
        </w:tc>
        <w:tc>
          <w:tcPr>
            <w:tcW w:w="1276" w:type="dxa"/>
            <w:shd w:val="clear" w:color="auto" w:fill="F2F2F2" w:themeFill="background1" w:themeFillShade="F2"/>
          </w:tcPr>
          <w:p w14:paraId="6CC3A32B" w14:textId="77777777" w:rsidR="005048C9" w:rsidRPr="003B11BD" w:rsidRDefault="005048C9" w:rsidP="00F03230">
            <w:pPr>
              <w:pStyle w:val="Size10"/>
              <w:rPr>
                <w:noProof/>
              </w:rPr>
            </w:pPr>
            <w:r w:rsidRPr="003B11BD">
              <w:rPr>
                <w:noProof/>
              </w:rPr>
              <w:t>SANTE/ ECDC</w:t>
            </w:r>
          </w:p>
        </w:tc>
        <w:tc>
          <w:tcPr>
            <w:tcW w:w="1701" w:type="dxa"/>
            <w:shd w:val="clear" w:color="auto" w:fill="FF0000"/>
          </w:tcPr>
          <w:p w14:paraId="28579352"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42BB7D71" w14:textId="77777777" w:rsidR="005048C9" w:rsidRPr="003B11BD" w:rsidRDefault="005048C9" w:rsidP="00F03230">
            <w:pPr>
              <w:pStyle w:val="Size10"/>
              <w:rPr>
                <w:noProof/>
              </w:rPr>
            </w:pPr>
            <w:r w:rsidRPr="003B11BD">
              <w:rPr>
                <w:noProof/>
              </w:rPr>
              <w:t>The initiative already takes effect at a very early stage (No crisis yet, only early signals of potential threats). At this stage, a CL is not to be considered (last resort instrument).</w:t>
            </w:r>
          </w:p>
        </w:tc>
      </w:tr>
      <w:tr w:rsidR="005048C9" w:rsidRPr="003B11BD" w14:paraId="31D35926" w14:textId="77777777" w:rsidTr="001163DA">
        <w:tc>
          <w:tcPr>
            <w:tcW w:w="2410" w:type="dxa"/>
            <w:shd w:val="clear" w:color="auto" w:fill="F2F2F2" w:themeFill="background1" w:themeFillShade="F2"/>
          </w:tcPr>
          <w:p w14:paraId="73237586" w14:textId="77777777" w:rsidR="005048C9" w:rsidRPr="003B11BD" w:rsidRDefault="005048C9" w:rsidP="00F03230">
            <w:pPr>
              <w:pStyle w:val="Size10"/>
              <w:rPr>
                <w:noProof/>
              </w:rPr>
            </w:pPr>
            <w:r w:rsidRPr="003B11BD">
              <w:rPr>
                <w:noProof/>
              </w:rPr>
              <w:t>A Framework for the Activation of an EU Pandemic State of Emergency</w:t>
            </w:r>
          </w:p>
        </w:tc>
        <w:tc>
          <w:tcPr>
            <w:tcW w:w="2126" w:type="dxa"/>
            <w:shd w:val="clear" w:color="auto" w:fill="F2F2F2" w:themeFill="background1" w:themeFillShade="F2"/>
          </w:tcPr>
          <w:p w14:paraId="3260950F" w14:textId="77777777" w:rsidR="005048C9" w:rsidRPr="003B11BD" w:rsidRDefault="005048C9" w:rsidP="00F03230">
            <w:pPr>
              <w:pStyle w:val="Size10"/>
              <w:rPr>
                <w:noProof/>
              </w:rPr>
            </w:pPr>
            <w:r w:rsidRPr="003B11BD">
              <w:rPr>
                <w:noProof/>
              </w:rPr>
              <w:t>Proposal announced in the Lessons Learnt Communication</w:t>
            </w:r>
          </w:p>
        </w:tc>
        <w:tc>
          <w:tcPr>
            <w:tcW w:w="1276" w:type="dxa"/>
            <w:shd w:val="clear" w:color="auto" w:fill="F2F2F2" w:themeFill="background1" w:themeFillShade="F2"/>
          </w:tcPr>
          <w:p w14:paraId="3E433232" w14:textId="77777777" w:rsidR="005048C9" w:rsidRPr="003B11BD" w:rsidRDefault="005048C9" w:rsidP="00F03230">
            <w:pPr>
              <w:pStyle w:val="Size10"/>
              <w:rPr>
                <w:noProof/>
              </w:rPr>
            </w:pPr>
          </w:p>
        </w:tc>
        <w:tc>
          <w:tcPr>
            <w:tcW w:w="1701" w:type="dxa"/>
            <w:shd w:val="clear" w:color="auto" w:fill="FFFF00"/>
          </w:tcPr>
          <w:p w14:paraId="32E98886" w14:textId="77777777" w:rsidR="005048C9" w:rsidRPr="003B11BD" w:rsidRDefault="005048C9" w:rsidP="00F03230">
            <w:pPr>
              <w:pStyle w:val="Size10"/>
              <w:rPr>
                <w:noProof/>
              </w:rPr>
            </w:pPr>
            <w:r w:rsidRPr="003B11BD">
              <w:rPr>
                <w:noProof/>
              </w:rPr>
              <w:t xml:space="preserve">Relevant </w:t>
            </w:r>
          </w:p>
        </w:tc>
        <w:tc>
          <w:tcPr>
            <w:tcW w:w="7229" w:type="dxa"/>
            <w:shd w:val="clear" w:color="auto" w:fill="F2F2F2" w:themeFill="background1" w:themeFillShade="F2"/>
          </w:tcPr>
          <w:p w14:paraId="442746C9" w14:textId="77777777" w:rsidR="005048C9" w:rsidRPr="003B11BD" w:rsidRDefault="005048C9" w:rsidP="00F03230">
            <w:pPr>
              <w:pStyle w:val="Size10"/>
              <w:rPr>
                <w:noProof/>
              </w:rPr>
            </w:pPr>
            <w:r w:rsidRPr="003B11BD">
              <w:rPr>
                <w:noProof/>
              </w:rPr>
              <w:t>The initiative aims among others at supporting the manufacturing of essential counter-measures in times of crisis.</w:t>
            </w:r>
          </w:p>
        </w:tc>
      </w:tr>
      <w:tr w:rsidR="005048C9" w:rsidRPr="003B11BD" w14:paraId="11817778" w14:textId="77777777" w:rsidTr="001163DA">
        <w:tc>
          <w:tcPr>
            <w:tcW w:w="2410" w:type="dxa"/>
            <w:shd w:val="clear" w:color="auto" w:fill="F2F2F2" w:themeFill="background1" w:themeFillShade="F2"/>
          </w:tcPr>
          <w:p w14:paraId="140FCF43" w14:textId="77777777" w:rsidR="005048C9" w:rsidRPr="003B11BD" w:rsidRDefault="005048C9" w:rsidP="00F03230">
            <w:pPr>
              <w:pStyle w:val="Size10"/>
              <w:rPr>
                <w:noProof/>
              </w:rPr>
            </w:pPr>
            <w:r w:rsidRPr="003B11BD">
              <w:rPr>
                <w:noProof/>
              </w:rPr>
              <w:t>Short-term EU Health Preparedness for COVID-19 Outbreaks</w:t>
            </w:r>
          </w:p>
        </w:tc>
        <w:tc>
          <w:tcPr>
            <w:tcW w:w="2126" w:type="dxa"/>
            <w:shd w:val="clear" w:color="auto" w:fill="F2F2F2" w:themeFill="background1" w:themeFillShade="F2"/>
          </w:tcPr>
          <w:p w14:paraId="3D8F099E" w14:textId="77777777" w:rsidR="005048C9" w:rsidRPr="003B11BD" w:rsidRDefault="005048C9" w:rsidP="00F03230">
            <w:pPr>
              <w:pStyle w:val="Size10"/>
              <w:rPr>
                <w:noProof/>
              </w:rPr>
            </w:pPr>
            <w:r w:rsidRPr="003B11BD">
              <w:rPr>
                <w:noProof/>
              </w:rPr>
              <w:t>Communication</w:t>
            </w:r>
          </w:p>
        </w:tc>
        <w:tc>
          <w:tcPr>
            <w:tcW w:w="1276" w:type="dxa"/>
            <w:shd w:val="clear" w:color="auto" w:fill="F2F2F2" w:themeFill="background1" w:themeFillShade="F2"/>
          </w:tcPr>
          <w:p w14:paraId="3370C8CB" w14:textId="77777777" w:rsidR="005048C9" w:rsidRPr="003B11BD" w:rsidRDefault="005048C9" w:rsidP="00F03230">
            <w:pPr>
              <w:pStyle w:val="Size10"/>
              <w:rPr>
                <w:noProof/>
              </w:rPr>
            </w:pPr>
          </w:p>
        </w:tc>
        <w:tc>
          <w:tcPr>
            <w:tcW w:w="1701" w:type="dxa"/>
            <w:shd w:val="clear" w:color="auto" w:fill="FFFF00"/>
          </w:tcPr>
          <w:p w14:paraId="08D3D7C9" w14:textId="77777777" w:rsidR="005048C9" w:rsidRPr="003B11BD" w:rsidRDefault="005048C9" w:rsidP="00F03230">
            <w:pPr>
              <w:pStyle w:val="Size10"/>
              <w:rPr>
                <w:noProof/>
              </w:rPr>
            </w:pPr>
            <w:r w:rsidRPr="003B11BD">
              <w:rPr>
                <w:noProof/>
              </w:rPr>
              <w:t>Relevant</w:t>
            </w:r>
          </w:p>
        </w:tc>
        <w:tc>
          <w:tcPr>
            <w:tcW w:w="7229" w:type="dxa"/>
            <w:shd w:val="clear" w:color="auto" w:fill="F2F2F2" w:themeFill="background1" w:themeFillShade="F2"/>
          </w:tcPr>
          <w:p w14:paraId="4209EACC" w14:textId="77777777" w:rsidR="005048C9" w:rsidRPr="003B11BD" w:rsidRDefault="005048C9" w:rsidP="00F03230">
            <w:pPr>
              <w:pStyle w:val="Size10"/>
              <w:rPr>
                <w:noProof/>
              </w:rPr>
            </w:pPr>
            <w:r w:rsidRPr="003B11BD">
              <w:rPr>
                <w:noProof/>
              </w:rPr>
              <w:t>The initiative aims at ensuring free movement of essential critical supplies in the EU and concluding agreements with vaccine producers.</w:t>
            </w:r>
          </w:p>
        </w:tc>
      </w:tr>
      <w:tr w:rsidR="005048C9" w:rsidRPr="003B11BD" w14:paraId="5D5C4855" w14:textId="77777777" w:rsidTr="001163DA">
        <w:tc>
          <w:tcPr>
            <w:tcW w:w="2410" w:type="dxa"/>
            <w:shd w:val="clear" w:color="auto" w:fill="F2F2F2" w:themeFill="background1" w:themeFillShade="F2"/>
          </w:tcPr>
          <w:p w14:paraId="2ED0E487" w14:textId="77777777" w:rsidR="005048C9" w:rsidRPr="003B11BD" w:rsidRDefault="005048C9" w:rsidP="00F03230">
            <w:pPr>
              <w:pStyle w:val="Size10"/>
              <w:rPr>
                <w:noProof/>
              </w:rPr>
            </w:pPr>
            <w:r w:rsidRPr="003B11BD">
              <w:rPr>
                <w:noProof/>
              </w:rPr>
              <w:t>Union Civil Protection Mechanism (UCPM)</w:t>
            </w:r>
          </w:p>
        </w:tc>
        <w:tc>
          <w:tcPr>
            <w:tcW w:w="2126" w:type="dxa"/>
            <w:shd w:val="clear" w:color="auto" w:fill="F2F2F2" w:themeFill="background1" w:themeFillShade="F2"/>
          </w:tcPr>
          <w:p w14:paraId="1EDBCFC9" w14:textId="1210A6E1" w:rsidR="005048C9" w:rsidRPr="003B11BD" w:rsidRDefault="005048C9" w:rsidP="00F03230">
            <w:pPr>
              <w:pStyle w:val="Size10"/>
              <w:rPr>
                <w:noProof/>
              </w:rPr>
            </w:pPr>
            <w:r w:rsidRPr="003B11BD">
              <w:rPr>
                <w:noProof/>
              </w:rPr>
              <w:t>Based on a n</w:t>
            </w:r>
            <w:r w:rsidR="001163DA" w:rsidRPr="003B11BD">
              <w:rPr>
                <w:noProof/>
              </w:rPr>
              <w:t>umber of legal acts, including</w:t>
            </w:r>
            <w:r w:rsidRPr="003B11BD">
              <w:rPr>
                <w:noProof/>
              </w:rPr>
              <w:t xml:space="preserve"> </w:t>
            </w:r>
            <w:r w:rsidR="001163DA" w:rsidRPr="003B11BD">
              <w:rPr>
                <w:noProof/>
              </w:rPr>
              <w:t xml:space="preserve">Decision 1313/2013, </w:t>
            </w:r>
            <w:r w:rsidRPr="003B11BD">
              <w:rPr>
                <w:noProof/>
              </w:rPr>
              <w:t>as</w:t>
            </w:r>
            <w:r w:rsidR="001163DA" w:rsidRPr="003B11BD">
              <w:rPr>
                <w:noProof/>
              </w:rPr>
              <w:t xml:space="preserve"> amended by </w:t>
            </w:r>
            <w:r w:rsidRPr="003B11BD">
              <w:rPr>
                <w:noProof/>
              </w:rPr>
              <w:t xml:space="preserve"> Regulation 2021/836</w:t>
            </w:r>
          </w:p>
        </w:tc>
        <w:tc>
          <w:tcPr>
            <w:tcW w:w="1276" w:type="dxa"/>
            <w:shd w:val="clear" w:color="auto" w:fill="F2F2F2" w:themeFill="background1" w:themeFillShade="F2"/>
          </w:tcPr>
          <w:p w14:paraId="71BF0318" w14:textId="77777777" w:rsidR="005048C9" w:rsidRPr="003B11BD" w:rsidRDefault="005048C9" w:rsidP="00F03230">
            <w:pPr>
              <w:pStyle w:val="Size10"/>
              <w:rPr>
                <w:noProof/>
              </w:rPr>
            </w:pPr>
            <w:r w:rsidRPr="003B11BD">
              <w:rPr>
                <w:noProof/>
              </w:rPr>
              <w:t>ECHO</w:t>
            </w:r>
          </w:p>
        </w:tc>
        <w:tc>
          <w:tcPr>
            <w:tcW w:w="1701" w:type="dxa"/>
            <w:shd w:val="clear" w:color="auto" w:fill="00B050"/>
          </w:tcPr>
          <w:p w14:paraId="47E6AEF2" w14:textId="77777777" w:rsidR="005048C9" w:rsidRPr="003B11BD" w:rsidRDefault="005048C9" w:rsidP="00F03230">
            <w:pPr>
              <w:pStyle w:val="Size10"/>
              <w:rPr>
                <w:noProof/>
              </w:rPr>
            </w:pPr>
            <w:r w:rsidRPr="003B11BD">
              <w:rPr>
                <w:noProof/>
              </w:rPr>
              <w:t xml:space="preserve">Highly relevant </w:t>
            </w:r>
          </w:p>
        </w:tc>
        <w:tc>
          <w:tcPr>
            <w:tcW w:w="7229" w:type="dxa"/>
            <w:shd w:val="clear" w:color="auto" w:fill="F2F2F2" w:themeFill="background1" w:themeFillShade="F2"/>
          </w:tcPr>
          <w:p w14:paraId="77D2643C" w14:textId="77777777" w:rsidR="005048C9" w:rsidRPr="003B11BD" w:rsidRDefault="005048C9" w:rsidP="00F03230">
            <w:pPr>
              <w:pStyle w:val="Size10"/>
              <w:rPr>
                <w:noProof/>
              </w:rPr>
            </w:pPr>
            <w:r w:rsidRPr="003B11BD">
              <w:rPr>
                <w:noProof/>
              </w:rPr>
              <w:t>In the event of a disaster within the Union a patent protected technology could be needed. A CL could help in case voluntary solutions fail</w:t>
            </w:r>
          </w:p>
        </w:tc>
      </w:tr>
      <w:tr w:rsidR="005048C9" w:rsidRPr="003B11BD" w14:paraId="71CEBC35" w14:textId="77777777" w:rsidTr="001163DA">
        <w:tc>
          <w:tcPr>
            <w:tcW w:w="2410" w:type="dxa"/>
            <w:shd w:val="clear" w:color="auto" w:fill="F2F2F2" w:themeFill="background1" w:themeFillShade="F2"/>
          </w:tcPr>
          <w:p w14:paraId="384FCC81" w14:textId="77777777" w:rsidR="005048C9" w:rsidRPr="003B11BD" w:rsidRDefault="005048C9" w:rsidP="00F03230">
            <w:pPr>
              <w:pStyle w:val="Size10"/>
              <w:rPr>
                <w:noProof/>
              </w:rPr>
            </w:pPr>
            <w:r w:rsidRPr="003B11BD">
              <w:rPr>
                <w:noProof/>
              </w:rPr>
              <w:t>RescEU</w:t>
            </w:r>
          </w:p>
        </w:tc>
        <w:tc>
          <w:tcPr>
            <w:tcW w:w="2126" w:type="dxa"/>
            <w:shd w:val="clear" w:color="auto" w:fill="F2F2F2" w:themeFill="background1" w:themeFillShade="F2"/>
          </w:tcPr>
          <w:p w14:paraId="686552B8" w14:textId="77777777" w:rsidR="005048C9" w:rsidRPr="003B11BD" w:rsidRDefault="005048C9" w:rsidP="00F03230">
            <w:pPr>
              <w:pStyle w:val="Size10"/>
              <w:rPr>
                <w:noProof/>
              </w:rPr>
            </w:pPr>
            <w:r w:rsidRPr="003B11BD">
              <w:rPr>
                <w:noProof/>
              </w:rPr>
              <w:t>See above</w:t>
            </w:r>
          </w:p>
        </w:tc>
        <w:tc>
          <w:tcPr>
            <w:tcW w:w="1276" w:type="dxa"/>
            <w:shd w:val="clear" w:color="auto" w:fill="F2F2F2" w:themeFill="background1" w:themeFillShade="F2"/>
          </w:tcPr>
          <w:p w14:paraId="12233F3A" w14:textId="77777777" w:rsidR="005048C9" w:rsidRPr="003B11BD" w:rsidRDefault="005048C9" w:rsidP="00F03230">
            <w:pPr>
              <w:pStyle w:val="Size10"/>
              <w:rPr>
                <w:noProof/>
              </w:rPr>
            </w:pPr>
            <w:r w:rsidRPr="003B11BD">
              <w:rPr>
                <w:noProof/>
              </w:rPr>
              <w:t>ECHO</w:t>
            </w:r>
          </w:p>
        </w:tc>
        <w:tc>
          <w:tcPr>
            <w:tcW w:w="1701" w:type="dxa"/>
            <w:shd w:val="clear" w:color="auto" w:fill="00B050"/>
          </w:tcPr>
          <w:p w14:paraId="6D3D5A80" w14:textId="77777777" w:rsidR="005048C9" w:rsidRPr="003B11BD" w:rsidRDefault="005048C9" w:rsidP="00F03230">
            <w:pPr>
              <w:pStyle w:val="Size10"/>
              <w:rPr>
                <w:noProof/>
              </w:rPr>
            </w:pPr>
            <w:r w:rsidRPr="003B11BD">
              <w:rPr>
                <w:noProof/>
              </w:rPr>
              <w:t xml:space="preserve">Highly relevant </w:t>
            </w:r>
          </w:p>
        </w:tc>
        <w:tc>
          <w:tcPr>
            <w:tcW w:w="7229" w:type="dxa"/>
            <w:shd w:val="clear" w:color="auto" w:fill="F2F2F2" w:themeFill="background1" w:themeFillShade="F2"/>
          </w:tcPr>
          <w:p w14:paraId="65C5D6CF" w14:textId="77777777" w:rsidR="005048C9" w:rsidRPr="003B11BD" w:rsidRDefault="005048C9" w:rsidP="00F03230">
            <w:pPr>
              <w:pStyle w:val="Size10"/>
              <w:rPr>
                <w:noProof/>
              </w:rPr>
            </w:pPr>
            <w:r w:rsidRPr="003B11BD">
              <w:rPr>
                <w:noProof/>
              </w:rPr>
              <w:t>The initiative refers to the UCPM (see above).</w:t>
            </w:r>
          </w:p>
        </w:tc>
      </w:tr>
      <w:tr w:rsidR="005048C9" w:rsidRPr="003B11BD" w14:paraId="45C46D37" w14:textId="77777777" w:rsidTr="001163DA">
        <w:tc>
          <w:tcPr>
            <w:tcW w:w="2410" w:type="dxa"/>
            <w:shd w:val="clear" w:color="auto" w:fill="F2F2F2" w:themeFill="background1" w:themeFillShade="F2"/>
          </w:tcPr>
          <w:p w14:paraId="23172482" w14:textId="77777777" w:rsidR="005048C9" w:rsidRPr="003B11BD" w:rsidRDefault="005048C9" w:rsidP="00F03230">
            <w:pPr>
              <w:pStyle w:val="Size10"/>
              <w:rPr>
                <w:noProof/>
              </w:rPr>
            </w:pPr>
            <w:r w:rsidRPr="003B11BD">
              <w:rPr>
                <w:noProof/>
              </w:rPr>
              <w:t>Humanitarian Air Bridge</w:t>
            </w:r>
          </w:p>
        </w:tc>
        <w:tc>
          <w:tcPr>
            <w:tcW w:w="2126" w:type="dxa"/>
            <w:shd w:val="clear" w:color="auto" w:fill="F2F2F2" w:themeFill="background1" w:themeFillShade="F2"/>
          </w:tcPr>
          <w:p w14:paraId="49E04E64" w14:textId="77777777" w:rsidR="005048C9" w:rsidRPr="003B11BD" w:rsidRDefault="005048C9" w:rsidP="00F03230">
            <w:pPr>
              <w:pStyle w:val="Size10"/>
              <w:rPr>
                <w:noProof/>
              </w:rPr>
            </w:pPr>
            <w:r w:rsidRPr="003B11BD">
              <w:rPr>
                <w:noProof/>
              </w:rPr>
              <w:t>See above</w:t>
            </w:r>
          </w:p>
        </w:tc>
        <w:tc>
          <w:tcPr>
            <w:tcW w:w="1276" w:type="dxa"/>
            <w:shd w:val="clear" w:color="auto" w:fill="F2F2F2" w:themeFill="background1" w:themeFillShade="F2"/>
          </w:tcPr>
          <w:p w14:paraId="3D2C30E3" w14:textId="77777777" w:rsidR="005048C9" w:rsidRPr="003B11BD" w:rsidRDefault="005048C9" w:rsidP="00F03230">
            <w:pPr>
              <w:pStyle w:val="Size10"/>
              <w:rPr>
                <w:noProof/>
              </w:rPr>
            </w:pPr>
            <w:r w:rsidRPr="003B11BD">
              <w:rPr>
                <w:noProof/>
              </w:rPr>
              <w:t>ECHO</w:t>
            </w:r>
          </w:p>
        </w:tc>
        <w:tc>
          <w:tcPr>
            <w:tcW w:w="1701" w:type="dxa"/>
            <w:shd w:val="clear" w:color="auto" w:fill="FF0000"/>
          </w:tcPr>
          <w:p w14:paraId="635C5725"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688808BF" w14:textId="77777777" w:rsidR="005048C9" w:rsidRPr="003B11BD" w:rsidRDefault="005048C9" w:rsidP="00F03230">
            <w:pPr>
              <w:pStyle w:val="Size10"/>
              <w:rPr>
                <w:noProof/>
              </w:rPr>
            </w:pPr>
            <w:r w:rsidRPr="003B11BD">
              <w:rPr>
                <w:noProof/>
              </w:rPr>
              <w:t>The initiative provides for a transport service.</w:t>
            </w:r>
          </w:p>
        </w:tc>
      </w:tr>
      <w:tr w:rsidR="005048C9" w:rsidRPr="003B11BD" w14:paraId="3319BFC6" w14:textId="77777777" w:rsidTr="001163DA">
        <w:tc>
          <w:tcPr>
            <w:tcW w:w="2410" w:type="dxa"/>
            <w:shd w:val="clear" w:color="auto" w:fill="F2F2F2" w:themeFill="background1" w:themeFillShade="F2"/>
          </w:tcPr>
          <w:p w14:paraId="1B9EAB0D" w14:textId="77777777" w:rsidR="005048C9" w:rsidRPr="003B11BD" w:rsidRDefault="005048C9" w:rsidP="00F03230">
            <w:pPr>
              <w:pStyle w:val="Size10"/>
              <w:rPr>
                <w:noProof/>
              </w:rPr>
            </w:pPr>
            <w:r w:rsidRPr="003B11BD">
              <w:rPr>
                <w:noProof/>
              </w:rPr>
              <w:t>European Civil Protection Pool (ECPP)</w:t>
            </w:r>
          </w:p>
        </w:tc>
        <w:tc>
          <w:tcPr>
            <w:tcW w:w="2126" w:type="dxa"/>
            <w:shd w:val="clear" w:color="auto" w:fill="F2F2F2" w:themeFill="background1" w:themeFillShade="F2"/>
          </w:tcPr>
          <w:p w14:paraId="3114E3EC" w14:textId="77777777" w:rsidR="005048C9" w:rsidRPr="003B11BD" w:rsidRDefault="005048C9" w:rsidP="00F03230">
            <w:pPr>
              <w:pStyle w:val="Size10"/>
              <w:rPr>
                <w:noProof/>
              </w:rPr>
            </w:pPr>
            <w:r w:rsidRPr="003B11BD">
              <w:rPr>
                <w:noProof/>
              </w:rPr>
              <w:t>See above</w:t>
            </w:r>
          </w:p>
        </w:tc>
        <w:tc>
          <w:tcPr>
            <w:tcW w:w="1276" w:type="dxa"/>
            <w:shd w:val="clear" w:color="auto" w:fill="F2F2F2" w:themeFill="background1" w:themeFillShade="F2"/>
          </w:tcPr>
          <w:p w14:paraId="0978922E" w14:textId="77777777" w:rsidR="005048C9" w:rsidRPr="003B11BD" w:rsidRDefault="005048C9" w:rsidP="00F03230">
            <w:pPr>
              <w:pStyle w:val="Size10"/>
              <w:rPr>
                <w:noProof/>
              </w:rPr>
            </w:pPr>
            <w:r w:rsidRPr="003B11BD">
              <w:rPr>
                <w:noProof/>
              </w:rPr>
              <w:t>ECHO</w:t>
            </w:r>
          </w:p>
        </w:tc>
        <w:tc>
          <w:tcPr>
            <w:tcW w:w="1701" w:type="dxa"/>
            <w:shd w:val="clear" w:color="auto" w:fill="00B050"/>
          </w:tcPr>
          <w:p w14:paraId="718CA016" w14:textId="77777777" w:rsidR="005048C9" w:rsidRPr="003B11BD" w:rsidRDefault="005048C9" w:rsidP="00F03230">
            <w:pPr>
              <w:pStyle w:val="Size10"/>
              <w:rPr>
                <w:noProof/>
              </w:rPr>
            </w:pPr>
            <w:r w:rsidRPr="003B11BD">
              <w:rPr>
                <w:noProof/>
              </w:rPr>
              <w:t xml:space="preserve">Highly relevant </w:t>
            </w:r>
          </w:p>
        </w:tc>
        <w:tc>
          <w:tcPr>
            <w:tcW w:w="7229" w:type="dxa"/>
            <w:shd w:val="clear" w:color="auto" w:fill="F2F2F2" w:themeFill="background1" w:themeFillShade="F2"/>
          </w:tcPr>
          <w:p w14:paraId="3AE660BB" w14:textId="77777777" w:rsidR="005048C9" w:rsidRPr="003B11BD" w:rsidRDefault="005048C9" w:rsidP="00F03230">
            <w:pPr>
              <w:pStyle w:val="Size10"/>
              <w:rPr>
                <w:noProof/>
              </w:rPr>
            </w:pPr>
            <w:r w:rsidRPr="003B11BD">
              <w:rPr>
                <w:noProof/>
              </w:rPr>
              <w:t>The initiative refers to the UCPM (see above)</w:t>
            </w:r>
          </w:p>
        </w:tc>
      </w:tr>
      <w:tr w:rsidR="005048C9" w:rsidRPr="003B11BD" w14:paraId="0251F2CA" w14:textId="77777777" w:rsidTr="001163DA">
        <w:tc>
          <w:tcPr>
            <w:tcW w:w="2410" w:type="dxa"/>
            <w:shd w:val="clear" w:color="auto" w:fill="F2F2F2" w:themeFill="background1" w:themeFillShade="F2"/>
          </w:tcPr>
          <w:p w14:paraId="7DDEE099" w14:textId="77777777" w:rsidR="005048C9" w:rsidRPr="003B11BD" w:rsidRDefault="005048C9" w:rsidP="00F03230">
            <w:pPr>
              <w:pStyle w:val="Size10"/>
              <w:rPr>
                <w:noProof/>
              </w:rPr>
            </w:pPr>
            <w:r w:rsidRPr="003B11BD">
              <w:rPr>
                <w:noProof/>
              </w:rPr>
              <w:t>EU Solidarity Corps</w:t>
            </w:r>
          </w:p>
        </w:tc>
        <w:tc>
          <w:tcPr>
            <w:tcW w:w="2126" w:type="dxa"/>
            <w:shd w:val="clear" w:color="auto" w:fill="F2F2F2" w:themeFill="background1" w:themeFillShade="F2"/>
          </w:tcPr>
          <w:p w14:paraId="6A5B4D55" w14:textId="77777777" w:rsidR="005048C9" w:rsidRPr="003B11BD" w:rsidRDefault="005048C9" w:rsidP="00F03230">
            <w:pPr>
              <w:pStyle w:val="Size10"/>
              <w:rPr>
                <w:noProof/>
              </w:rPr>
            </w:pPr>
            <w:r w:rsidRPr="003B11BD">
              <w:rPr>
                <w:noProof/>
              </w:rPr>
              <w:t>Regulation</w:t>
            </w:r>
          </w:p>
        </w:tc>
        <w:tc>
          <w:tcPr>
            <w:tcW w:w="1276" w:type="dxa"/>
            <w:shd w:val="clear" w:color="auto" w:fill="F2F2F2" w:themeFill="background1" w:themeFillShade="F2"/>
          </w:tcPr>
          <w:p w14:paraId="4BB2AA8B" w14:textId="77777777" w:rsidR="005048C9" w:rsidRPr="003B11BD" w:rsidRDefault="005048C9" w:rsidP="00F03230">
            <w:pPr>
              <w:pStyle w:val="Size10"/>
              <w:rPr>
                <w:noProof/>
              </w:rPr>
            </w:pPr>
          </w:p>
        </w:tc>
        <w:tc>
          <w:tcPr>
            <w:tcW w:w="1701" w:type="dxa"/>
            <w:shd w:val="clear" w:color="auto" w:fill="FF0000"/>
          </w:tcPr>
          <w:p w14:paraId="20456938"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21E25134" w14:textId="77777777" w:rsidR="005048C9" w:rsidRPr="003B11BD" w:rsidRDefault="005048C9" w:rsidP="00F03230">
            <w:pPr>
              <w:pStyle w:val="Size10"/>
              <w:rPr>
                <w:noProof/>
              </w:rPr>
            </w:pPr>
            <w:r w:rsidRPr="003B11BD">
              <w:rPr>
                <w:noProof/>
              </w:rPr>
              <w:t>The initiative aims at promoting solidarity and visibility of humanitarian aid among Union citizens</w:t>
            </w:r>
          </w:p>
        </w:tc>
      </w:tr>
      <w:tr w:rsidR="005048C9" w:rsidRPr="003B11BD" w14:paraId="326FE1F8" w14:textId="77777777" w:rsidTr="001163DA">
        <w:tc>
          <w:tcPr>
            <w:tcW w:w="2410" w:type="dxa"/>
            <w:shd w:val="clear" w:color="auto" w:fill="F2F2F2" w:themeFill="background1" w:themeFillShade="F2"/>
          </w:tcPr>
          <w:p w14:paraId="1CDBDA05" w14:textId="77777777" w:rsidR="005048C9" w:rsidRPr="003B11BD" w:rsidRDefault="005048C9" w:rsidP="00F03230">
            <w:pPr>
              <w:pStyle w:val="Size10"/>
              <w:rPr>
                <w:noProof/>
              </w:rPr>
            </w:pPr>
            <w:r w:rsidRPr="003B11BD">
              <w:rPr>
                <w:noProof/>
              </w:rPr>
              <w:t>The Seveso Directive Technological Disaster Risk Reduction</w:t>
            </w:r>
          </w:p>
        </w:tc>
        <w:tc>
          <w:tcPr>
            <w:tcW w:w="2126" w:type="dxa"/>
            <w:shd w:val="clear" w:color="auto" w:fill="F2F2F2" w:themeFill="background1" w:themeFillShade="F2"/>
          </w:tcPr>
          <w:p w14:paraId="3947B2DB" w14:textId="77777777" w:rsidR="005048C9" w:rsidRPr="003B11BD" w:rsidRDefault="005048C9" w:rsidP="00F03230">
            <w:pPr>
              <w:pStyle w:val="Size10"/>
              <w:rPr>
                <w:noProof/>
              </w:rPr>
            </w:pPr>
            <w:r w:rsidRPr="003B11BD">
              <w:rPr>
                <w:noProof/>
              </w:rPr>
              <w:t>Directive</w:t>
            </w:r>
          </w:p>
        </w:tc>
        <w:tc>
          <w:tcPr>
            <w:tcW w:w="1276" w:type="dxa"/>
            <w:shd w:val="clear" w:color="auto" w:fill="F2F2F2" w:themeFill="background1" w:themeFillShade="F2"/>
          </w:tcPr>
          <w:p w14:paraId="0EA55F84" w14:textId="77777777" w:rsidR="005048C9" w:rsidRPr="003B11BD" w:rsidRDefault="005048C9" w:rsidP="00F03230">
            <w:pPr>
              <w:pStyle w:val="Size10"/>
              <w:rPr>
                <w:noProof/>
              </w:rPr>
            </w:pPr>
            <w:r w:rsidRPr="003B11BD">
              <w:rPr>
                <w:noProof/>
              </w:rPr>
              <w:t>ENV</w:t>
            </w:r>
          </w:p>
        </w:tc>
        <w:tc>
          <w:tcPr>
            <w:tcW w:w="1701" w:type="dxa"/>
            <w:shd w:val="clear" w:color="auto" w:fill="00B050"/>
          </w:tcPr>
          <w:p w14:paraId="794E0A44" w14:textId="77777777" w:rsidR="005048C9" w:rsidRPr="003B11BD" w:rsidRDefault="005048C9" w:rsidP="00F03230">
            <w:pPr>
              <w:pStyle w:val="Size10"/>
              <w:rPr>
                <w:noProof/>
              </w:rPr>
            </w:pPr>
            <w:r w:rsidRPr="003B11BD">
              <w:rPr>
                <w:noProof/>
              </w:rPr>
              <w:t xml:space="preserve">Highly relevant </w:t>
            </w:r>
          </w:p>
        </w:tc>
        <w:tc>
          <w:tcPr>
            <w:tcW w:w="7229" w:type="dxa"/>
            <w:shd w:val="clear" w:color="auto" w:fill="F2F2F2" w:themeFill="background1" w:themeFillShade="F2"/>
          </w:tcPr>
          <w:p w14:paraId="41ECBF33" w14:textId="77777777" w:rsidR="005048C9" w:rsidRPr="003B11BD" w:rsidRDefault="005048C9" w:rsidP="00F03230">
            <w:pPr>
              <w:pStyle w:val="Size10"/>
              <w:rPr>
                <w:noProof/>
              </w:rPr>
            </w:pPr>
            <w:r w:rsidRPr="003B11BD">
              <w:rPr>
                <w:noProof/>
              </w:rPr>
              <w:t>In the event of a major accident within the Union a patent protected technology could be needed. A CL could help in case voluntary solutions fail.</w:t>
            </w:r>
          </w:p>
        </w:tc>
      </w:tr>
      <w:tr w:rsidR="005048C9" w:rsidRPr="003B11BD" w14:paraId="565B4B88" w14:textId="77777777" w:rsidTr="001163DA">
        <w:tc>
          <w:tcPr>
            <w:tcW w:w="2410" w:type="dxa"/>
            <w:shd w:val="clear" w:color="auto" w:fill="F2F2F2" w:themeFill="background1" w:themeFillShade="F2"/>
          </w:tcPr>
          <w:p w14:paraId="093CA3CA" w14:textId="77777777" w:rsidR="005048C9" w:rsidRPr="003B11BD" w:rsidRDefault="005048C9" w:rsidP="00F03230">
            <w:pPr>
              <w:pStyle w:val="Size10"/>
              <w:rPr>
                <w:noProof/>
              </w:rPr>
            </w:pPr>
            <w:r w:rsidRPr="003B11BD">
              <w:rPr>
                <w:noProof/>
              </w:rPr>
              <w:t>Proposal for a Directive to Enhance the Resilience of Critical Entities Providing Essential Services in the EU</w:t>
            </w:r>
          </w:p>
        </w:tc>
        <w:tc>
          <w:tcPr>
            <w:tcW w:w="2126" w:type="dxa"/>
            <w:shd w:val="clear" w:color="auto" w:fill="F2F2F2" w:themeFill="background1" w:themeFillShade="F2"/>
          </w:tcPr>
          <w:p w14:paraId="766434CD" w14:textId="77777777" w:rsidR="005048C9" w:rsidRPr="003B11BD" w:rsidRDefault="005048C9" w:rsidP="00F03230">
            <w:pPr>
              <w:pStyle w:val="Size10"/>
              <w:rPr>
                <w:noProof/>
              </w:rPr>
            </w:pPr>
            <w:r w:rsidRPr="003B11BD">
              <w:rPr>
                <w:noProof/>
              </w:rPr>
              <w:t>Proposal for a Directive</w:t>
            </w:r>
          </w:p>
        </w:tc>
        <w:tc>
          <w:tcPr>
            <w:tcW w:w="1276" w:type="dxa"/>
            <w:shd w:val="clear" w:color="auto" w:fill="F2F2F2" w:themeFill="background1" w:themeFillShade="F2"/>
          </w:tcPr>
          <w:p w14:paraId="7D4A940E" w14:textId="77777777" w:rsidR="005048C9" w:rsidRPr="003B11BD" w:rsidRDefault="005048C9" w:rsidP="00F03230">
            <w:pPr>
              <w:pStyle w:val="Size10"/>
              <w:rPr>
                <w:noProof/>
              </w:rPr>
            </w:pPr>
            <w:r w:rsidRPr="003B11BD">
              <w:rPr>
                <w:noProof/>
              </w:rPr>
              <w:t>HOME</w:t>
            </w:r>
          </w:p>
        </w:tc>
        <w:tc>
          <w:tcPr>
            <w:tcW w:w="1701" w:type="dxa"/>
            <w:shd w:val="clear" w:color="auto" w:fill="FF0000"/>
          </w:tcPr>
          <w:p w14:paraId="311ED965"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0786B85C" w14:textId="77777777" w:rsidR="005048C9" w:rsidRPr="003B11BD" w:rsidRDefault="005048C9" w:rsidP="00F03230">
            <w:pPr>
              <w:pStyle w:val="Size10"/>
              <w:rPr>
                <w:noProof/>
              </w:rPr>
            </w:pPr>
            <w:r w:rsidRPr="003B11BD">
              <w:rPr>
                <w:noProof/>
              </w:rPr>
              <w:t>The initiative is about critical entities rather than critical products.</w:t>
            </w:r>
          </w:p>
        </w:tc>
      </w:tr>
      <w:tr w:rsidR="005048C9" w:rsidRPr="003B11BD" w14:paraId="1A155F67" w14:textId="77777777" w:rsidTr="001163DA">
        <w:tc>
          <w:tcPr>
            <w:tcW w:w="2410" w:type="dxa"/>
            <w:shd w:val="clear" w:color="auto" w:fill="F2F2F2" w:themeFill="background1" w:themeFillShade="F2"/>
          </w:tcPr>
          <w:p w14:paraId="076D7D65" w14:textId="77777777" w:rsidR="005048C9" w:rsidRPr="003B11BD" w:rsidRDefault="005048C9" w:rsidP="00F03230">
            <w:pPr>
              <w:pStyle w:val="Size10"/>
              <w:rPr>
                <w:noProof/>
              </w:rPr>
            </w:pPr>
            <w:r w:rsidRPr="003B11BD">
              <w:rPr>
                <w:noProof/>
              </w:rPr>
              <w:t>Emergency Support Instrument</w:t>
            </w:r>
          </w:p>
        </w:tc>
        <w:tc>
          <w:tcPr>
            <w:tcW w:w="2126" w:type="dxa"/>
            <w:shd w:val="clear" w:color="auto" w:fill="F2F2F2" w:themeFill="background1" w:themeFillShade="F2"/>
          </w:tcPr>
          <w:p w14:paraId="0E704F21" w14:textId="77777777" w:rsidR="005048C9" w:rsidRPr="003B11BD" w:rsidRDefault="005048C9" w:rsidP="00F03230">
            <w:pPr>
              <w:pStyle w:val="Size10"/>
              <w:rPr>
                <w:noProof/>
              </w:rPr>
            </w:pPr>
            <w:r w:rsidRPr="003B11BD">
              <w:rPr>
                <w:noProof/>
              </w:rPr>
              <w:t>Financial instrument (set up by Council Regulation 2016/369 and activated by a separate Council Regulation)</w:t>
            </w:r>
          </w:p>
        </w:tc>
        <w:tc>
          <w:tcPr>
            <w:tcW w:w="1276" w:type="dxa"/>
            <w:shd w:val="clear" w:color="auto" w:fill="F2F2F2" w:themeFill="background1" w:themeFillShade="F2"/>
          </w:tcPr>
          <w:p w14:paraId="05986AC0" w14:textId="77777777" w:rsidR="005048C9" w:rsidRPr="003B11BD" w:rsidRDefault="005048C9" w:rsidP="00F03230">
            <w:pPr>
              <w:pStyle w:val="Size10"/>
              <w:rPr>
                <w:noProof/>
              </w:rPr>
            </w:pPr>
            <w:r w:rsidRPr="003B11BD">
              <w:rPr>
                <w:noProof/>
              </w:rPr>
              <w:t>BUDG</w:t>
            </w:r>
          </w:p>
        </w:tc>
        <w:tc>
          <w:tcPr>
            <w:tcW w:w="1701" w:type="dxa"/>
            <w:shd w:val="clear" w:color="auto" w:fill="00B050"/>
          </w:tcPr>
          <w:p w14:paraId="4343FF59" w14:textId="77777777" w:rsidR="005048C9" w:rsidRPr="003B11BD" w:rsidRDefault="005048C9" w:rsidP="00F03230">
            <w:pPr>
              <w:pStyle w:val="Size10"/>
              <w:rPr>
                <w:noProof/>
              </w:rPr>
            </w:pPr>
            <w:r w:rsidRPr="003B11BD">
              <w:rPr>
                <w:noProof/>
              </w:rPr>
              <w:t xml:space="preserve">Highly relevant </w:t>
            </w:r>
          </w:p>
        </w:tc>
        <w:tc>
          <w:tcPr>
            <w:tcW w:w="7229" w:type="dxa"/>
            <w:shd w:val="clear" w:color="auto" w:fill="F2F2F2" w:themeFill="background1" w:themeFillShade="F2"/>
          </w:tcPr>
          <w:p w14:paraId="22A7CAA2" w14:textId="77777777" w:rsidR="005048C9" w:rsidRPr="003B11BD" w:rsidRDefault="005048C9" w:rsidP="00F03230">
            <w:pPr>
              <w:pStyle w:val="Size10"/>
              <w:rPr>
                <w:noProof/>
              </w:rPr>
            </w:pPr>
            <w:r w:rsidRPr="003B11BD">
              <w:rPr>
                <w:noProof/>
              </w:rPr>
              <w:t xml:space="preserve">Council decision activating the Emergency Support can trigger the CL granting process under Options 3 and 4. </w:t>
            </w:r>
          </w:p>
        </w:tc>
      </w:tr>
      <w:tr w:rsidR="005048C9" w:rsidRPr="003B11BD" w14:paraId="30E412C8" w14:textId="77777777" w:rsidTr="001163DA">
        <w:tc>
          <w:tcPr>
            <w:tcW w:w="2410" w:type="dxa"/>
            <w:shd w:val="clear" w:color="auto" w:fill="F2F2F2" w:themeFill="background1" w:themeFillShade="F2"/>
          </w:tcPr>
          <w:p w14:paraId="40F9AEE3" w14:textId="77777777" w:rsidR="005048C9" w:rsidRPr="003B11BD" w:rsidRDefault="005048C9" w:rsidP="00F03230">
            <w:pPr>
              <w:pStyle w:val="Size10"/>
              <w:rPr>
                <w:noProof/>
              </w:rPr>
            </w:pPr>
            <w:r w:rsidRPr="003B11BD">
              <w:rPr>
                <w:noProof/>
              </w:rPr>
              <w:t>Repair and Prepare for the Next Generation</w:t>
            </w:r>
          </w:p>
        </w:tc>
        <w:tc>
          <w:tcPr>
            <w:tcW w:w="2126" w:type="dxa"/>
            <w:shd w:val="clear" w:color="auto" w:fill="F2F2F2" w:themeFill="background1" w:themeFillShade="F2"/>
          </w:tcPr>
          <w:p w14:paraId="45B70458" w14:textId="77777777" w:rsidR="005048C9" w:rsidRPr="003B11BD" w:rsidRDefault="005048C9" w:rsidP="00F03230">
            <w:pPr>
              <w:pStyle w:val="Size10"/>
              <w:rPr>
                <w:noProof/>
              </w:rPr>
            </w:pPr>
            <w:r w:rsidRPr="003B11BD">
              <w:rPr>
                <w:noProof/>
              </w:rPr>
              <w:t>Communication</w:t>
            </w:r>
          </w:p>
        </w:tc>
        <w:tc>
          <w:tcPr>
            <w:tcW w:w="1276" w:type="dxa"/>
            <w:shd w:val="clear" w:color="auto" w:fill="F2F2F2" w:themeFill="background1" w:themeFillShade="F2"/>
          </w:tcPr>
          <w:p w14:paraId="192E818F" w14:textId="77777777" w:rsidR="005048C9" w:rsidRPr="003B11BD" w:rsidRDefault="005048C9" w:rsidP="00F03230">
            <w:pPr>
              <w:pStyle w:val="Size10"/>
              <w:rPr>
                <w:noProof/>
              </w:rPr>
            </w:pPr>
          </w:p>
        </w:tc>
        <w:tc>
          <w:tcPr>
            <w:tcW w:w="1701" w:type="dxa"/>
            <w:shd w:val="clear" w:color="auto" w:fill="FF0000"/>
          </w:tcPr>
          <w:p w14:paraId="282CF968"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6068D5EF" w14:textId="77777777" w:rsidR="005048C9" w:rsidRPr="003B11BD" w:rsidRDefault="005048C9" w:rsidP="00F03230">
            <w:pPr>
              <w:pStyle w:val="Size10"/>
              <w:rPr>
                <w:noProof/>
              </w:rPr>
            </w:pPr>
            <w:r w:rsidRPr="003B11BD">
              <w:rPr>
                <w:noProof/>
              </w:rPr>
              <w:t>The initiative is a recovery instrument embedded in a long-term EU budget.</w:t>
            </w:r>
          </w:p>
        </w:tc>
      </w:tr>
      <w:tr w:rsidR="005048C9" w:rsidRPr="003B11BD" w14:paraId="34273B06" w14:textId="77777777" w:rsidTr="001163DA">
        <w:tc>
          <w:tcPr>
            <w:tcW w:w="2410" w:type="dxa"/>
            <w:shd w:val="clear" w:color="auto" w:fill="F2F2F2" w:themeFill="background1" w:themeFillShade="F2"/>
          </w:tcPr>
          <w:p w14:paraId="38B15E25" w14:textId="367F9980" w:rsidR="005048C9" w:rsidRPr="003B11BD" w:rsidRDefault="005048C9" w:rsidP="00F03230">
            <w:pPr>
              <w:pStyle w:val="Size10"/>
              <w:rPr>
                <w:noProof/>
              </w:rPr>
            </w:pPr>
            <w:r w:rsidRPr="003B11BD">
              <w:rPr>
                <w:noProof/>
              </w:rPr>
              <w:t xml:space="preserve">The </w:t>
            </w:r>
            <w:r w:rsidR="00D43F3F" w:rsidRPr="003B11BD">
              <w:rPr>
                <w:noProof/>
              </w:rPr>
              <w:t>Single Market</w:t>
            </w:r>
            <w:r w:rsidRPr="003B11BD">
              <w:rPr>
                <w:noProof/>
              </w:rPr>
              <w:t xml:space="preserve"> Emergency Instrument (SMEI)</w:t>
            </w:r>
          </w:p>
        </w:tc>
        <w:tc>
          <w:tcPr>
            <w:tcW w:w="2126" w:type="dxa"/>
            <w:shd w:val="clear" w:color="auto" w:fill="F2F2F2" w:themeFill="background1" w:themeFillShade="F2"/>
          </w:tcPr>
          <w:p w14:paraId="077582F8" w14:textId="77777777" w:rsidR="005048C9" w:rsidRPr="003B11BD" w:rsidRDefault="005048C9" w:rsidP="00F03230">
            <w:pPr>
              <w:pStyle w:val="Size10"/>
              <w:rPr>
                <w:noProof/>
              </w:rPr>
            </w:pPr>
            <w:r w:rsidRPr="003B11BD">
              <w:rPr>
                <w:noProof/>
              </w:rPr>
              <w:t>Legislative Proposal</w:t>
            </w:r>
          </w:p>
        </w:tc>
        <w:tc>
          <w:tcPr>
            <w:tcW w:w="1276" w:type="dxa"/>
            <w:shd w:val="clear" w:color="auto" w:fill="F2F2F2" w:themeFill="background1" w:themeFillShade="F2"/>
          </w:tcPr>
          <w:p w14:paraId="422E092F" w14:textId="77777777" w:rsidR="005048C9" w:rsidRPr="003B11BD" w:rsidRDefault="005048C9" w:rsidP="00F03230">
            <w:pPr>
              <w:pStyle w:val="Size10"/>
              <w:rPr>
                <w:noProof/>
              </w:rPr>
            </w:pPr>
            <w:r w:rsidRPr="003B11BD">
              <w:rPr>
                <w:noProof/>
              </w:rPr>
              <w:t>GROW</w:t>
            </w:r>
          </w:p>
        </w:tc>
        <w:tc>
          <w:tcPr>
            <w:tcW w:w="1701" w:type="dxa"/>
            <w:shd w:val="clear" w:color="auto" w:fill="00B050"/>
          </w:tcPr>
          <w:p w14:paraId="7B23268A" w14:textId="77777777" w:rsidR="005048C9" w:rsidRPr="003B11BD" w:rsidRDefault="005048C9" w:rsidP="00F03230">
            <w:pPr>
              <w:pStyle w:val="Size10"/>
              <w:rPr>
                <w:noProof/>
              </w:rPr>
            </w:pPr>
            <w:r w:rsidRPr="003B11BD">
              <w:rPr>
                <w:noProof/>
              </w:rPr>
              <w:t>Highly relevant</w:t>
            </w:r>
          </w:p>
          <w:p w14:paraId="0E8A6D81" w14:textId="77777777" w:rsidR="005048C9" w:rsidRPr="003B11BD" w:rsidRDefault="005048C9" w:rsidP="00F03230">
            <w:pPr>
              <w:pStyle w:val="Size10"/>
              <w:rPr>
                <w:noProof/>
              </w:rPr>
            </w:pPr>
          </w:p>
        </w:tc>
        <w:tc>
          <w:tcPr>
            <w:tcW w:w="7229" w:type="dxa"/>
            <w:shd w:val="clear" w:color="auto" w:fill="F2F2F2" w:themeFill="background1" w:themeFillShade="F2"/>
          </w:tcPr>
          <w:p w14:paraId="6F979A98" w14:textId="75E88FE2" w:rsidR="005048C9" w:rsidRPr="003B11BD" w:rsidRDefault="005048C9" w:rsidP="00F03230">
            <w:pPr>
              <w:pStyle w:val="Size10"/>
              <w:rPr>
                <w:noProof/>
              </w:rPr>
            </w:pPr>
            <w:r w:rsidRPr="003B11BD">
              <w:rPr>
                <w:noProof/>
              </w:rPr>
              <w:t xml:space="preserve">The declaration of the </w:t>
            </w:r>
            <w:r w:rsidR="00D43F3F" w:rsidRPr="003B11BD">
              <w:rPr>
                <w:noProof/>
              </w:rPr>
              <w:t>Single Market</w:t>
            </w:r>
            <w:r w:rsidRPr="003B11BD">
              <w:rPr>
                <w:noProof/>
              </w:rPr>
              <w:t xml:space="preserve"> Emergency Mode can trigger the CL granting Process under Options 3 and 4. </w:t>
            </w:r>
          </w:p>
          <w:p w14:paraId="2612A3EB" w14:textId="77777777" w:rsidR="005048C9" w:rsidRPr="003B11BD" w:rsidRDefault="005048C9" w:rsidP="00F03230">
            <w:pPr>
              <w:pStyle w:val="Size10"/>
              <w:rPr>
                <w:noProof/>
              </w:rPr>
            </w:pPr>
          </w:p>
        </w:tc>
      </w:tr>
      <w:tr w:rsidR="005048C9" w:rsidRPr="003B11BD" w14:paraId="1C1EDA56" w14:textId="77777777" w:rsidTr="001163DA">
        <w:tc>
          <w:tcPr>
            <w:tcW w:w="2410" w:type="dxa"/>
            <w:shd w:val="clear" w:color="auto" w:fill="F2F2F2" w:themeFill="background1" w:themeFillShade="F2"/>
          </w:tcPr>
          <w:p w14:paraId="6010280C" w14:textId="77777777" w:rsidR="005048C9" w:rsidRPr="003B11BD" w:rsidRDefault="005048C9" w:rsidP="00F03230">
            <w:pPr>
              <w:pStyle w:val="Size10"/>
              <w:rPr>
                <w:bCs/>
                <w:noProof/>
              </w:rPr>
            </w:pPr>
            <w:r w:rsidRPr="003B11BD">
              <w:rPr>
                <w:noProof/>
              </w:rPr>
              <w:t>Border Management Measures to Protect Health and Ensure Availability of Goods</w:t>
            </w:r>
          </w:p>
        </w:tc>
        <w:tc>
          <w:tcPr>
            <w:tcW w:w="2126" w:type="dxa"/>
            <w:shd w:val="clear" w:color="auto" w:fill="F2F2F2" w:themeFill="background1" w:themeFillShade="F2"/>
          </w:tcPr>
          <w:p w14:paraId="66DD5083" w14:textId="77777777" w:rsidR="005048C9" w:rsidRPr="003B11BD" w:rsidRDefault="005048C9" w:rsidP="00F03230">
            <w:pPr>
              <w:pStyle w:val="Size10"/>
              <w:rPr>
                <w:noProof/>
              </w:rPr>
            </w:pPr>
            <w:r w:rsidRPr="003B11BD">
              <w:rPr>
                <w:noProof/>
              </w:rPr>
              <w:t>Guidelines</w:t>
            </w:r>
          </w:p>
        </w:tc>
        <w:tc>
          <w:tcPr>
            <w:tcW w:w="1276" w:type="dxa"/>
            <w:shd w:val="clear" w:color="auto" w:fill="F2F2F2" w:themeFill="background1" w:themeFillShade="F2"/>
          </w:tcPr>
          <w:p w14:paraId="5366B0F8" w14:textId="77777777" w:rsidR="005048C9" w:rsidRPr="003B11BD" w:rsidRDefault="005048C9" w:rsidP="00F03230">
            <w:pPr>
              <w:pStyle w:val="Size10"/>
              <w:rPr>
                <w:noProof/>
              </w:rPr>
            </w:pPr>
          </w:p>
        </w:tc>
        <w:tc>
          <w:tcPr>
            <w:tcW w:w="1701" w:type="dxa"/>
            <w:shd w:val="clear" w:color="auto" w:fill="FFFF00"/>
          </w:tcPr>
          <w:p w14:paraId="259FEBD8" w14:textId="77777777" w:rsidR="005048C9" w:rsidRPr="003B11BD" w:rsidRDefault="005048C9" w:rsidP="00F03230">
            <w:pPr>
              <w:pStyle w:val="Size10"/>
              <w:rPr>
                <w:noProof/>
              </w:rPr>
            </w:pPr>
            <w:r w:rsidRPr="003B11BD">
              <w:rPr>
                <w:noProof/>
              </w:rPr>
              <w:t>Relevant</w:t>
            </w:r>
          </w:p>
        </w:tc>
        <w:tc>
          <w:tcPr>
            <w:tcW w:w="7229" w:type="dxa"/>
            <w:shd w:val="clear" w:color="auto" w:fill="F2F2F2" w:themeFill="background1" w:themeFillShade="F2"/>
          </w:tcPr>
          <w:p w14:paraId="03277778" w14:textId="36BC30C9" w:rsidR="005048C9" w:rsidRPr="003B11BD" w:rsidRDefault="005048C9" w:rsidP="00F03230">
            <w:pPr>
              <w:pStyle w:val="Size10"/>
              <w:rPr>
                <w:noProof/>
              </w:rPr>
            </w:pPr>
            <w:r w:rsidRPr="003B11BD">
              <w:rPr>
                <w:noProof/>
              </w:rPr>
              <w:t xml:space="preserve">The initiative aims at addressing disruptions to the delivery of goods. </w:t>
            </w:r>
          </w:p>
        </w:tc>
      </w:tr>
      <w:tr w:rsidR="005048C9" w:rsidRPr="003B11BD" w14:paraId="783D29D9" w14:textId="77777777" w:rsidTr="001163DA">
        <w:tc>
          <w:tcPr>
            <w:tcW w:w="2410" w:type="dxa"/>
            <w:shd w:val="clear" w:color="auto" w:fill="F2F2F2" w:themeFill="background1" w:themeFillShade="F2"/>
          </w:tcPr>
          <w:p w14:paraId="66AAE15F" w14:textId="77777777" w:rsidR="005048C9" w:rsidRPr="003B11BD" w:rsidRDefault="005048C9" w:rsidP="00F03230">
            <w:pPr>
              <w:pStyle w:val="Size10"/>
              <w:rPr>
                <w:noProof/>
              </w:rPr>
            </w:pPr>
            <w:r w:rsidRPr="003B11BD">
              <w:rPr>
                <w:noProof/>
              </w:rPr>
              <w:t>‘Green Lanes’ System and the Forthcoming Transport Mobility Contingency Plan</w:t>
            </w:r>
          </w:p>
        </w:tc>
        <w:tc>
          <w:tcPr>
            <w:tcW w:w="2126" w:type="dxa"/>
            <w:shd w:val="clear" w:color="auto" w:fill="F2F2F2" w:themeFill="background1" w:themeFillShade="F2"/>
          </w:tcPr>
          <w:p w14:paraId="4494D8F8" w14:textId="77777777" w:rsidR="005048C9" w:rsidRPr="003B11BD" w:rsidRDefault="005048C9" w:rsidP="00F03230">
            <w:pPr>
              <w:pStyle w:val="Size10"/>
              <w:rPr>
                <w:noProof/>
              </w:rPr>
            </w:pPr>
            <w:r w:rsidRPr="003B11BD">
              <w:rPr>
                <w:noProof/>
              </w:rPr>
              <w:t>Communication and a planned Communication</w:t>
            </w:r>
          </w:p>
        </w:tc>
        <w:tc>
          <w:tcPr>
            <w:tcW w:w="1276" w:type="dxa"/>
            <w:shd w:val="clear" w:color="auto" w:fill="F2F2F2" w:themeFill="background1" w:themeFillShade="F2"/>
          </w:tcPr>
          <w:p w14:paraId="1D548BAC" w14:textId="77777777" w:rsidR="005048C9" w:rsidRPr="003B11BD" w:rsidRDefault="005048C9" w:rsidP="00F03230">
            <w:pPr>
              <w:pStyle w:val="Size10"/>
              <w:rPr>
                <w:noProof/>
              </w:rPr>
            </w:pPr>
            <w:r w:rsidRPr="003B11BD">
              <w:rPr>
                <w:noProof/>
              </w:rPr>
              <w:t>MOVE</w:t>
            </w:r>
          </w:p>
        </w:tc>
        <w:tc>
          <w:tcPr>
            <w:tcW w:w="1701" w:type="dxa"/>
            <w:shd w:val="clear" w:color="auto" w:fill="FFFF00"/>
          </w:tcPr>
          <w:p w14:paraId="4F7EF656" w14:textId="77777777" w:rsidR="005048C9" w:rsidRPr="003B11BD" w:rsidRDefault="005048C9" w:rsidP="00F03230">
            <w:pPr>
              <w:pStyle w:val="Size10"/>
              <w:rPr>
                <w:noProof/>
              </w:rPr>
            </w:pPr>
            <w:r w:rsidRPr="003B11BD">
              <w:rPr>
                <w:noProof/>
              </w:rPr>
              <w:t>Relevant</w:t>
            </w:r>
          </w:p>
        </w:tc>
        <w:tc>
          <w:tcPr>
            <w:tcW w:w="7229" w:type="dxa"/>
            <w:shd w:val="clear" w:color="auto" w:fill="F2F2F2" w:themeFill="background1" w:themeFillShade="F2"/>
          </w:tcPr>
          <w:p w14:paraId="54BD2B91" w14:textId="77777777" w:rsidR="005048C9" w:rsidRPr="003B11BD" w:rsidRDefault="005048C9" w:rsidP="00F03230">
            <w:pPr>
              <w:pStyle w:val="Size10"/>
              <w:rPr>
                <w:noProof/>
              </w:rPr>
            </w:pPr>
            <w:r w:rsidRPr="003B11BD">
              <w:rPr>
                <w:noProof/>
              </w:rPr>
              <w:t>A CL could be considered (as a last resort instrument) where a certain patent protected technology is needed to overcome the disruption in the EU transport and mobility system.</w:t>
            </w:r>
          </w:p>
        </w:tc>
      </w:tr>
      <w:tr w:rsidR="005048C9" w:rsidRPr="003B11BD" w14:paraId="186B3374" w14:textId="77777777" w:rsidTr="001163DA">
        <w:tc>
          <w:tcPr>
            <w:tcW w:w="2410" w:type="dxa"/>
            <w:shd w:val="clear" w:color="auto" w:fill="F2F2F2" w:themeFill="background1" w:themeFillShade="F2"/>
          </w:tcPr>
          <w:p w14:paraId="5D7B514E" w14:textId="77777777" w:rsidR="005048C9" w:rsidRPr="003B11BD" w:rsidRDefault="005048C9" w:rsidP="00F03230">
            <w:pPr>
              <w:pStyle w:val="Size10"/>
              <w:rPr>
                <w:noProof/>
              </w:rPr>
            </w:pPr>
            <w:r w:rsidRPr="003B11BD">
              <w:rPr>
                <w:noProof/>
              </w:rPr>
              <w:t>COVID-19 Clearing House for Medical Equipment (CCH)</w:t>
            </w:r>
          </w:p>
        </w:tc>
        <w:tc>
          <w:tcPr>
            <w:tcW w:w="2126" w:type="dxa"/>
            <w:shd w:val="clear" w:color="auto" w:fill="F2F2F2" w:themeFill="background1" w:themeFillShade="F2"/>
          </w:tcPr>
          <w:p w14:paraId="5EEB17B1" w14:textId="77777777" w:rsidR="005048C9" w:rsidRPr="003B11BD" w:rsidRDefault="005048C9" w:rsidP="00F03230">
            <w:pPr>
              <w:pStyle w:val="Size10"/>
              <w:rPr>
                <w:noProof/>
              </w:rPr>
            </w:pPr>
            <w:r w:rsidRPr="003B11BD">
              <w:rPr>
                <w:noProof/>
              </w:rPr>
              <w:t>Ad hoc group</w:t>
            </w:r>
          </w:p>
        </w:tc>
        <w:tc>
          <w:tcPr>
            <w:tcW w:w="1276" w:type="dxa"/>
            <w:shd w:val="clear" w:color="auto" w:fill="F2F2F2" w:themeFill="background1" w:themeFillShade="F2"/>
          </w:tcPr>
          <w:p w14:paraId="7BF8D2E4" w14:textId="77777777" w:rsidR="005048C9" w:rsidRPr="003B11BD" w:rsidRDefault="005048C9" w:rsidP="00F03230">
            <w:pPr>
              <w:pStyle w:val="Size10"/>
              <w:rPr>
                <w:noProof/>
              </w:rPr>
            </w:pPr>
            <w:r w:rsidRPr="003B11BD">
              <w:rPr>
                <w:noProof/>
              </w:rPr>
              <w:t>SG</w:t>
            </w:r>
          </w:p>
        </w:tc>
        <w:tc>
          <w:tcPr>
            <w:tcW w:w="1701" w:type="dxa"/>
            <w:shd w:val="clear" w:color="auto" w:fill="FFFF00"/>
          </w:tcPr>
          <w:p w14:paraId="13BF5CC2" w14:textId="77777777" w:rsidR="005048C9" w:rsidRPr="003B11BD" w:rsidRDefault="005048C9" w:rsidP="00F03230">
            <w:pPr>
              <w:pStyle w:val="Size10"/>
              <w:rPr>
                <w:noProof/>
              </w:rPr>
            </w:pPr>
            <w:r w:rsidRPr="003B11BD">
              <w:rPr>
                <w:noProof/>
              </w:rPr>
              <w:t xml:space="preserve">Relevant </w:t>
            </w:r>
          </w:p>
        </w:tc>
        <w:tc>
          <w:tcPr>
            <w:tcW w:w="7229" w:type="dxa"/>
            <w:shd w:val="clear" w:color="auto" w:fill="F2F2F2" w:themeFill="background1" w:themeFillShade="F2"/>
          </w:tcPr>
          <w:p w14:paraId="2F562F8E" w14:textId="48E40220" w:rsidR="005048C9" w:rsidRPr="003B11BD" w:rsidRDefault="005048C9" w:rsidP="00F03230">
            <w:pPr>
              <w:pStyle w:val="Size10"/>
              <w:rPr>
                <w:noProof/>
              </w:rPr>
            </w:pPr>
            <w:r w:rsidRPr="003B11BD">
              <w:rPr>
                <w:noProof/>
              </w:rPr>
              <w:t>The Clearing House Serves among others as a platform for dialogue and information sharing between Member States and h industry. Its Matchmaking Platform aims at facilitating voluntary solutions. With this objective the initiative aims at avoiding the need for a CL.</w:t>
            </w:r>
          </w:p>
        </w:tc>
      </w:tr>
      <w:tr w:rsidR="005048C9" w:rsidRPr="003B11BD" w14:paraId="0176F4E3" w14:textId="77777777" w:rsidTr="001163DA">
        <w:tc>
          <w:tcPr>
            <w:tcW w:w="2410" w:type="dxa"/>
            <w:shd w:val="clear" w:color="auto" w:fill="F2F2F2" w:themeFill="background1" w:themeFillShade="F2"/>
          </w:tcPr>
          <w:p w14:paraId="63A1ACF3" w14:textId="77777777" w:rsidR="005048C9" w:rsidRPr="003B11BD" w:rsidRDefault="005048C9" w:rsidP="00F03230">
            <w:pPr>
              <w:pStyle w:val="Size10"/>
              <w:rPr>
                <w:noProof/>
              </w:rPr>
            </w:pPr>
            <w:r w:rsidRPr="003B11BD">
              <w:rPr>
                <w:noProof/>
              </w:rPr>
              <w:t>Council Recommendation on Coordinated Approach to the Restriction of Free Movement</w:t>
            </w:r>
          </w:p>
        </w:tc>
        <w:tc>
          <w:tcPr>
            <w:tcW w:w="2126" w:type="dxa"/>
            <w:shd w:val="clear" w:color="auto" w:fill="F2F2F2" w:themeFill="background1" w:themeFillShade="F2"/>
          </w:tcPr>
          <w:p w14:paraId="4C74CEE0" w14:textId="77777777" w:rsidR="005048C9" w:rsidRPr="003B11BD" w:rsidRDefault="005048C9" w:rsidP="00F03230">
            <w:pPr>
              <w:pStyle w:val="Size10"/>
              <w:rPr>
                <w:noProof/>
              </w:rPr>
            </w:pPr>
            <w:r w:rsidRPr="003B11BD">
              <w:rPr>
                <w:noProof/>
              </w:rPr>
              <w:t>Council Recommendation</w:t>
            </w:r>
          </w:p>
        </w:tc>
        <w:tc>
          <w:tcPr>
            <w:tcW w:w="1276" w:type="dxa"/>
            <w:shd w:val="clear" w:color="auto" w:fill="F2F2F2" w:themeFill="background1" w:themeFillShade="F2"/>
          </w:tcPr>
          <w:p w14:paraId="38315718" w14:textId="77777777" w:rsidR="005048C9" w:rsidRPr="003B11BD" w:rsidRDefault="005048C9" w:rsidP="00F03230">
            <w:pPr>
              <w:pStyle w:val="Size10"/>
              <w:rPr>
                <w:noProof/>
              </w:rPr>
            </w:pPr>
            <w:r w:rsidRPr="003B11BD">
              <w:rPr>
                <w:noProof/>
              </w:rPr>
              <w:t>JUST HOME</w:t>
            </w:r>
          </w:p>
        </w:tc>
        <w:tc>
          <w:tcPr>
            <w:tcW w:w="1701" w:type="dxa"/>
            <w:shd w:val="clear" w:color="auto" w:fill="FF0000"/>
          </w:tcPr>
          <w:p w14:paraId="57E706E3"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55002421" w14:textId="77777777" w:rsidR="005048C9" w:rsidRPr="003B11BD" w:rsidRDefault="005048C9" w:rsidP="00F03230">
            <w:pPr>
              <w:pStyle w:val="Size10"/>
              <w:rPr>
                <w:noProof/>
              </w:rPr>
            </w:pPr>
            <w:r w:rsidRPr="003B11BD">
              <w:rPr>
                <w:noProof/>
              </w:rPr>
              <w:t>The initiative is about the free movement of persons in times of crisis.</w:t>
            </w:r>
          </w:p>
        </w:tc>
      </w:tr>
      <w:tr w:rsidR="005048C9" w:rsidRPr="003B11BD" w14:paraId="0E5ED229" w14:textId="77777777" w:rsidTr="001163DA">
        <w:tc>
          <w:tcPr>
            <w:tcW w:w="2410" w:type="dxa"/>
            <w:shd w:val="clear" w:color="auto" w:fill="F2F2F2" w:themeFill="background1" w:themeFillShade="F2"/>
          </w:tcPr>
          <w:p w14:paraId="4B9D5559" w14:textId="77777777" w:rsidR="005048C9" w:rsidRPr="003B11BD" w:rsidRDefault="005048C9" w:rsidP="00F03230">
            <w:pPr>
              <w:pStyle w:val="Size10"/>
              <w:rPr>
                <w:noProof/>
              </w:rPr>
            </w:pPr>
            <w:r w:rsidRPr="003B11BD">
              <w:rPr>
                <w:noProof/>
              </w:rPr>
              <w:t>Free Movement of Workers, Posted Workers, Service Providers</w:t>
            </w:r>
          </w:p>
        </w:tc>
        <w:tc>
          <w:tcPr>
            <w:tcW w:w="2126" w:type="dxa"/>
            <w:shd w:val="clear" w:color="auto" w:fill="F2F2F2" w:themeFill="background1" w:themeFillShade="F2"/>
          </w:tcPr>
          <w:p w14:paraId="6DE0099A" w14:textId="77777777" w:rsidR="005048C9" w:rsidRPr="003B11BD" w:rsidRDefault="005048C9" w:rsidP="00F03230">
            <w:pPr>
              <w:pStyle w:val="Size10"/>
              <w:rPr>
                <w:noProof/>
              </w:rPr>
            </w:pPr>
            <w:r w:rsidRPr="003B11BD">
              <w:rPr>
                <w:noProof/>
              </w:rPr>
              <w:t>Communications</w:t>
            </w:r>
          </w:p>
        </w:tc>
        <w:tc>
          <w:tcPr>
            <w:tcW w:w="1276" w:type="dxa"/>
            <w:shd w:val="clear" w:color="auto" w:fill="F2F2F2" w:themeFill="background1" w:themeFillShade="F2"/>
          </w:tcPr>
          <w:p w14:paraId="46DD4F2F" w14:textId="77777777" w:rsidR="005048C9" w:rsidRPr="003B11BD" w:rsidRDefault="005048C9" w:rsidP="00F03230">
            <w:pPr>
              <w:pStyle w:val="Size10"/>
              <w:rPr>
                <w:noProof/>
              </w:rPr>
            </w:pPr>
            <w:r w:rsidRPr="003B11BD">
              <w:rPr>
                <w:noProof/>
              </w:rPr>
              <w:t>EMPL</w:t>
            </w:r>
          </w:p>
        </w:tc>
        <w:tc>
          <w:tcPr>
            <w:tcW w:w="1701" w:type="dxa"/>
            <w:shd w:val="clear" w:color="auto" w:fill="FF0000"/>
          </w:tcPr>
          <w:p w14:paraId="333389D4"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5B3B55FE" w14:textId="77777777" w:rsidR="005048C9" w:rsidRPr="003B11BD" w:rsidRDefault="005048C9" w:rsidP="00F03230">
            <w:pPr>
              <w:pStyle w:val="Size10"/>
              <w:rPr>
                <w:noProof/>
              </w:rPr>
            </w:pPr>
            <w:r w:rsidRPr="003B11BD">
              <w:rPr>
                <w:noProof/>
              </w:rPr>
              <w:t>The initiative is about the free movement of workers in times of crisis.</w:t>
            </w:r>
          </w:p>
        </w:tc>
      </w:tr>
      <w:tr w:rsidR="005048C9" w:rsidRPr="003B11BD" w14:paraId="6BCBFC98" w14:textId="77777777" w:rsidTr="001163DA">
        <w:tc>
          <w:tcPr>
            <w:tcW w:w="2410" w:type="dxa"/>
            <w:shd w:val="clear" w:color="auto" w:fill="F2F2F2" w:themeFill="background1" w:themeFillShade="F2"/>
          </w:tcPr>
          <w:p w14:paraId="66B11D0C" w14:textId="77777777" w:rsidR="005048C9" w:rsidRPr="003B11BD" w:rsidRDefault="005048C9" w:rsidP="00F03230">
            <w:pPr>
              <w:pStyle w:val="Size10"/>
              <w:rPr>
                <w:noProof/>
              </w:rPr>
            </w:pPr>
            <w:r w:rsidRPr="003B11BD">
              <w:rPr>
                <w:noProof/>
              </w:rPr>
              <w:t>Schengen Strategy and Foreseen Revision of Schengen Border Code as Regards Border Closures</w:t>
            </w:r>
          </w:p>
        </w:tc>
        <w:tc>
          <w:tcPr>
            <w:tcW w:w="2126" w:type="dxa"/>
            <w:shd w:val="clear" w:color="auto" w:fill="F2F2F2" w:themeFill="background1" w:themeFillShade="F2"/>
          </w:tcPr>
          <w:p w14:paraId="33B4515E" w14:textId="77777777" w:rsidR="005048C9" w:rsidRPr="003B11BD" w:rsidRDefault="005048C9" w:rsidP="00F03230">
            <w:pPr>
              <w:pStyle w:val="Size10"/>
              <w:rPr>
                <w:noProof/>
              </w:rPr>
            </w:pPr>
            <w:r w:rsidRPr="003B11BD">
              <w:rPr>
                <w:noProof/>
              </w:rPr>
              <w:t>Communication; planned proposal for a regulation and changes in Practical Handbook for Border Guards</w:t>
            </w:r>
          </w:p>
        </w:tc>
        <w:tc>
          <w:tcPr>
            <w:tcW w:w="1276" w:type="dxa"/>
            <w:shd w:val="clear" w:color="auto" w:fill="F2F2F2" w:themeFill="background1" w:themeFillShade="F2"/>
          </w:tcPr>
          <w:p w14:paraId="27A24E3A" w14:textId="77777777" w:rsidR="005048C9" w:rsidRPr="003B11BD" w:rsidRDefault="005048C9" w:rsidP="00F03230">
            <w:pPr>
              <w:pStyle w:val="Size10"/>
              <w:rPr>
                <w:noProof/>
              </w:rPr>
            </w:pPr>
            <w:r w:rsidRPr="003B11BD">
              <w:rPr>
                <w:noProof/>
              </w:rPr>
              <w:t>HOME</w:t>
            </w:r>
          </w:p>
        </w:tc>
        <w:tc>
          <w:tcPr>
            <w:tcW w:w="1701" w:type="dxa"/>
            <w:shd w:val="clear" w:color="auto" w:fill="FF0000"/>
          </w:tcPr>
          <w:p w14:paraId="189FE110"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4889DC0F" w14:textId="77777777" w:rsidR="005048C9" w:rsidRPr="003B11BD" w:rsidRDefault="005048C9" w:rsidP="00F03230">
            <w:pPr>
              <w:pStyle w:val="Size10"/>
              <w:rPr>
                <w:noProof/>
              </w:rPr>
            </w:pPr>
            <w:r w:rsidRPr="003B11BD">
              <w:rPr>
                <w:noProof/>
              </w:rPr>
              <w:t>The initiative is about introducing internal border controls in times of crisis.</w:t>
            </w:r>
          </w:p>
        </w:tc>
      </w:tr>
      <w:tr w:rsidR="005048C9" w:rsidRPr="003B11BD" w14:paraId="169BE7E0" w14:textId="77777777" w:rsidTr="001163DA">
        <w:tc>
          <w:tcPr>
            <w:tcW w:w="2410" w:type="dxa"/>
            <w:shd w:val="clear" w:color="auto" w:fill="F2F2F2" w:themeFill="background1" w:themeFillShade="F2"/>
          </w:tcPr>
          <w:p w14:paraId="0BA6488F" w14:textId="77777777" w:rsidR="005048C9" w:rsidRPr="003B11BD" w:rsidRDefault="005048C9" w:rsidP="00F03230">
            <w:pPr>
              <w:pStyle w:val="Size10"/>
              <w:rPr>
                <w:noProof/>
              </w:rPr>
            </w:pPr>
            <w:r w:rsidRPr="003B11BD">
              <w:rPr>
                <w:noProof/>
              </w:rPr>
              <w:t>Guidance on Free Movement of Health Professionals and Minimum Harmonisation of Training in Relation to COVID- 19 Emergency Measures</w:t>
            </w:r>
          </w:p>
        </w:tc>
        <w:tc>
          <w:tcPr>
            <w:tcW w:w="2126" w:type="dxa"/>
            <w:shd w:val="clear" w:color="auto" w:fill="F2F2F2" w:themeFill="background1" w:themeFillShade="F2"/>
          </w:tcPr>
          <w:p w14:paraId="053A5AD0" w14:textId="77777777" w:rsidR="005048C9" w:rsidRPr="003B11BD" w:rsidRDefault="005048C9" w:rsidP="00F03230">
            <w:pPr>
              <w:pStyle w:val="Size10"/>
              <w:rPr>
                <w:noProof/>
              </w:rPr>
            </w:pPr>
            <w:r w:rsidRPr="003B11BD">
              <w:rPr>
                <w:noProof/>
              </w:rPr>
              <w:t>Communication</w:t>
            </w:r>
          </w:p>
        </w:tc>
        <w:tc>
          <w:tcPr>
            <w:tcW w:w="1276" w:type="dxa"/>
            <w:shd w:val="clear" w:color="auto" w:fill="F2F2F2" w:themeFill="background1" w:themeFillShade="F2"/>
          </w:tcPr>
          <w:p w14:paraId="2ABA8E44" w14:textId="77777777" w:rsidR="005048C9" w:rsidRPr="003B11BD" w:rsidRDefault="005048C9" w:rsidP="00F03230">
            <w:pPr>
              <w:pStyle w:val="Size10"/>
              <w:rPr>
                <w:noProof/>
              </w:rPr>
            </w:pPr>
            <w:r w:rsidRPr="003B11BD">
              <w:rPr>
                <w:noProof/>
              </w:rPr>
              <w:t>GROW</w:t>
            </w:r>
          </w:p>
        </w:tc>
        <w:tc>
          <w:tcPr>
            <w:tcW w:w="1701" w:type="dxa"/>
            <w:shd w:val="clear" w:color="auto" w:fill="FF0000"/>
          </w:tcPr>
          <w:p w14:paraId="51F0A317" w14:textId="77777777" w:rsidR="005048C9" w:rsidRPr="003B11BD" w:rsidRDefault="005048C9" w:rsidP="00F03230">
            <w:pPr>
              <w:pStyle w:val="Size10"/>
              <w:rPr>
                <w:noProof/>
              </w:rPr>
            </w:pPr>
            <w:r w:rsidRPr="003B11BD">
              <w:rPr>
                <w:noProof/>
              </w:rPr>
              <w:t>Less relevant</w:t>
            </w:r>
          </w:p>
          <w:p w14:paraId="17AD81C6" w14:textId="77777777" w:rsidR="005048C9" w:rsidRPr="003B11BD" w:rsidRDefault="005048C9" w:rsidP="00F03230">
            <w:pPr>
              <w:pStyle w:val="Size10"/>
              <w:rPr>
                <w:noProof/>
              </w:rPr>
            </w:pPr>
          </w:p>
        </w:tc>
        <w:tc>
          <w:tcPr>
            <w:tcW w:w="7229" w:type="dxa"/>
            <w:shd w:val="clear" w:color="auto" w:fill="F2F2F2" w:themeFill="background1" w:themeFillShade="F2"/>
          </w:tcPr>
          <w:p w14:paraId="7658494A" w14:textId="77777777" w:rsidR="005048C9" w:rsidRPr="003B11BD" w:rsidRDefault="005048C9" w:rsidP="00F03230">
            <w:pPr>
              <w:pStyle w:val="Size10"/>
              <w:rPr>
                <w:noProof/>
              </w:rPr>
            </w:pPr>
            <w:r w:rsidRPr="003B11BD">
              <w:rPr>
                <w:noProof/>
              </w:rPr>
              <w:t>The initiative focuses on the allocation of skilled persons (health care workers) rather than the supply with products.</w:t>
            </w:r>
          </w:p>
          <w:p w14:paraId="34009D36" w14:textId="77777777" w:rsidR="005048C9" w:rsidRPr="003B11BD" w:rsidRDefault="005048C9" w:rsidP="00F03230">
            <w:pPr>
              <w:pStyle w:val="Size10"/>
              <w:rPr>
                <w:noProof/>
              </w:rPr>
            </w:pPr>
          </w:p>
        </w:tc>
      </w:tr>
      <w:tr w:rsidR="005048C9" w:rsidRPr="003B11BD" w14:paraId="3E88B7A5" w14:textId="77777777" w:rsidTr="001163DA">
        <w:tc>
          <w:tcPr>
            <w:tcW w:w="2410" w:type="dxa"/>
            <w:shd w:val="clear" w:color="auto" w:fill="F2F2F2" w:themeFill="background1" w:themeFillShade="F2"/>
          </w:tcPr>
          <w:p w14:paraId="761B4C3F" w14:textId="77777777" w:rsidR="005048C9" w:rsidRPr="003B11BD" w:rsidRDefault="005048C9" w:rsidP="00F03230">
            <w:pPr>
              <w:pStyle w:val="Size10"/>
              <w:rPr>
                <w:noProof/>
              </w:rPr>
            </w:pPr>
            <w:r w:rsidRPr="003B11BD">
              <w:rPr>
                <w:noProof/>
              </w:rPr>
              <w:t xml:space="preserve">Temporary Restriction on Non-essential Travel in the EU </w:t>
            </w:r>
          </w:p>
        </w:tc>
        <w:tc>
          <w:tcPr>
            <w:tcW w:w="2126" w:type="dxa"/>
            <w:shd w:val="clear" w:color="auto" w:fill="F2F2F2" w:themeFill="background1" w:themeFillShade="F2"/>
          </w:tcPr>
          <w:p w14:paraId="1048FEDB" w14:textId="77777777" w:rsidR="005048C9" w:rsidRPr="003B11BD" w:rsidRDefault="005048C9" w:rsidP="00F03230">
            <w:pPr>
              <w:pStyle w:val="Size10"/>
              <w:rPr>
                <w:noProof/>
              </w:rPr>
            </w:pPr>
            <w:r w:rsidRPr="003B11BD">
              <w:rPr>
                <w:noProof/>
              </w:rPr>
              <w:t>Communications</w:t>
            </w:r>
          </w:p>
        </w:tc>
        <w:tc>
          <w:tcPr>
            <w:tcW w:w="1276" w:type="dxa"/>
            <w:shd w:val="clear" w:color="auto" w:fill="F2F2F2" w:themeFill="background1" w:themeFillShade="F2"/>
          </w:tcPr>
          <w:p w14:paraId="5B65D5AC" w14:textId="77777777" w:rsidR="005048C9" w:rsidRPr="003B11BD" w:rsidRDefault="005048C9" w:rsidP="00F03230">
            <w:pPr>
              <w:pStyle w:val="Size10"/>
              <w:rPr>
                <w:noProof/>
              </w:rPr>
            </w:pPr>
          </w:p>
        </w:tc>
        <w:tc>
          <w:tcPr>
            <w:tcW w:w="1701" w:type="dxa"/>
            <w:shd w:val="clear" w:color="auto" w:fill="FF0000"/>
          </w:tcPr>
          <w:p w14:paraId="6CC31793"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136C586B" w14:textId="77777777" w:rsidR="005048C9" w:rsidRPr="003B11BD" w:rsidRDefault="005048C9" w:rsidP="00F03230">
            <w:pPr>
              <w:pStyle w:val="Size10"/>
              <w:rPr>
                <w:noProof/>
              </w:rPr>
            </w:pPr>
            <w:r w:rsidRPr="003B11BD">
              <w:rPr>
                <w:noProof/>
              </w:rPr>
              <w:t>The initiative is about travel restrictions in times of crisis.</w:t>
            </w:r>
          </w:p>
        </w:tc>
      </w:tr>
      <w:tr w:rsidR="005048C9" w:rsidRPr="003B11BD" w14:paraId="1F82FBBC" w14:textId="77777777" w:rsidTr="001163DA">
        <w:tc>
          <w:tcPr>
            <w:tcW w:w="2410" w:type="dxa"/>
            <w:shd w:val="clear" w:color="auto" w:fill="F2F2F2" w:themeFill="background1" w:themeFillShade="F2"/>
          </w:tcPr>
          <w:p w14:paraId="1DFA0651" w14:textId="77777777" w:rsidR="005048C9" w:rsidRPr="003B11BD" w:rsidRDefault="005048C9" w:rsidP="00F03230">
            <w:pPr>
              <w:pStyle w:val="Size10"/>
              <w:rPr>
                <w:noProof/>
              </w:rPr>
            </w:pPr>
            <w:r w:rsidRPr="003B11BD">
              <w:rPr>
                <w:noProof/>
              </w:rPr>
              <w:t>Re-open EU</w:t>
            </w:r>
          </w:p>
        </w:tc>
        <w:tc>
          <w:tcPr>
            <w:tcW w:w="2126" w:type="dxa"/>
            <w:shd w:val="clear" w:color="auto" w:fill="F2F2F2" w:themeFill="background1" w:themeFillShade="F2"/>
          </w:tcPr>
          <w:p w14:paraId="1BD10EF2" w14:textId="77777777" w:rsidR="005048C9" w:rsidRPr="003B11BD" w:rsidRDefault="005048C9" w:rsidP="00F03230">
            <w:pPr>
              <w:pStyle w:val="Size10"/>
              <w:rPr>
                <w:noProof/>
              </w:rPr>
            </w:pPr>
            <w:r w:rsidRPr="003B11BD">
              <w:rPr>
                <w:noProof/>
              </w:rPr>
              <w:t>Web portal</w:t>
            </w:r>
          </w:p>
        </w:tc>
        <w:tc>
          <w:tcPr>
            <w:tcW w:w="1276" w:type="dxa"/>
            <w:shd w:val="clear" w:color="auto" w:fill="F2F2F2" w:themeFill="background1" w:themeFillShade="F2"/>
          </w:tcPr>
          <w:p w14:paraId="3E371243" w14:textId="77777777" w:rsidR="005048C9" w:rsidRPr="003B11BD" w:rsidRDefault="005048C9" w:rsidP="00F03230">
            <w:pPr>
              <w:pStyle w:val="Size10"/>
              <w:rPr>
                <w:noProof/>
              </w:rPr>
            </w:pPr>
            <w:r w:rsidRPr="003B11BD">
              <w:rPr>
                <w:noProof/>
              </w:rPr>
              <w:t>GROW/ JRC</w:t>
            </w:r>
          </w:p>
        </w:tc>
        <w:tc>
          <w:tcPr>
            <w:tcW w:w="1701" w:type="dxa"/>
            <w:shd w:val="clear" w:color="auto" w:fill="FF0000"/>
          </w:tcPr>
          <w:p w14:paraId="61C45E98" w14:textId="77777777" w:rsidR="005048C9" w:rsidRPr="003B11BD" w:rsidRDefault="005048C9" w:rsidP="00F03230">
            <w:pPr>
              <w:pStyle w:val="Size10"/>
              <w:rPr>
                <w:noProof/>
              </w:rPr>
            </w:pPr>
            <w:r w:rsidRPr="003B11BD">
              <w:rPr>
                <w:noProof/>
              </w:rPr>
              <w:t xml:space="preserve">Less relevant </w:t>
            </w:r>
          </w:p>
        </w:tc>
        <w:tc>
          <w:tcPr>
            <w:tcW w:w="7229" w:type="dxa"/>
            <w:shd w:val="clear" w:color="auto" w:fill="F2F2F2" w:themeFill="background1" w:themeFillShade="F2"/>
          </w:tcPr>
          <w:p w14:paraId="456DC748" w14:textId="77777777" w:rsidR="005048C9" w:rsidRPr="003B11BD" w:rsidRDefault="005048C9" w:rsidP="00F03230">
            <w:pPr>
              <w:pStyle w:val="Size10"/>
              <w:rPr>
                <w:noProof/>
              </w:rPr>
            </w:pPr>
            <w:r w:rsidRPr="003B11BD">
              <w:rPr>
                <w:noProof/>
              </w:rPr>
              <w:t xml:space="preserve">The initiative focuses on providing information to EU citizens. </w:t>
            </w:r>
          </w:p>
        </w:tc>
      </w:tr>
      <w:tr w:rsidR="005048C9" w:rsidRPr="003B11BD" w14:paraId="3F5A799C" w14:textId="77777777" w:rsidTr="001163DA">
        <w:tc>
          <w:tcPr>
            <w:tcW w:w="2410" w:type="dxa"/>
            <w:shd w:val="clear" w:color="auto" w:fill="F2F2F2" w:themeFill="background1" w:themeFillShade="F2"/>
          </w:tcPr>
          <w:p w14:paraId="7F002852" w14:textId="77777777" w:rsidR="005048C9" w:rsidRPr="003B11BD" w:rsidRDefault="005048C9" w:rsidP="00F03230">
            <w:pPr>
              <w:pStyle w:val="Size10"/>
              <w:rPr>
                <w:noProof/>
              </w:rPr>
            </w:pPr>
            <w:r w:rsidRPr="003B11BD">
              <w:rPr>
                <w:noProof/>
              </w:rPr>
              <w:t>EU Digital COVID Certificate</w:t>
            </w:r>
          </w:p>
        </w:tc>
        <w:tc>
          <w:tcPr>
            <w:tcW w:w="2126" w:type="dxa"/>
            <w:shd w:val="clear" w:color="auto" w:fill="F2F2F2" w:themeFill="background1" w:themeFillShade="F2"/>
          </w:tcPr>
          <w:p w14:paraId="4417C780" w14:textId="77777777" w:rsidR="005048C9" w:rsidRPr="003B11BD" w:rsidRDefault="005048C9" w:rsidP="00F03230">
            <w:pPr>
              <w:pStyle w:val="Size10"/>
              <w:rPr>
                <w:noProof/>
              </w:rPr>
            </w:pPr>
            <w:r w:rsidRPr="003B11BD">
              <w:rPr>
                <w:noProof/>
              </w:rPr>
              <w:t>Regulation</w:t>
            </w:r>
          </w:p>
        </w:tc>
        <w:tc>
          <w:tcPr>
            <w:tcW w:w="1276" w:type="dxa"/>
            <w:shd w:val="clear" w:color="auto" w:fill="F2F2F2" w:themeFill="background1" w:themeFillShade="F2"/>
          </w:tcPr>
          <w:p w14:paraId="5F4D6120" w14:textId="77777777" w:rsidR="005048C9" w:rsidRPr="003B11BD" w:rsidRDefault="005048C9" w:rsidP="00F03230">
            <w:pPr>
              <w:pStyle w:val="Size10"/>
              <w:rPr>
                <w:noProof/>
              </w:rPr>
            </w:pPr>
            <w:r w:rsidRPr="003B11BD">
              <w:rPr>
                <w:noProof/>
              </w:rPr>
              <w:t>JUST/ CNECT</w:t>
            </w:r>
          </w:p>
        </w:tc>
        <w:tc>
          <w:tcPr>
            <w:tcW w:w="1701" w:type="dxa"/>
            <w:shd w:val="clear" w:color="auto" w:fill="FF0000"/>
          </w:tcPr>
          <w:p w14:paraId="3693EA7B" w14:textId="77777777" w:rsidR="005048C9" w:rsidRPr="003B11BD" w:rsidRDefault="005048C9" w:rsidP="00F03230">
            <w:pPr>
              <w:pStyle w:val="Size10"/>
              <w:rPr>
                <w:noProof/>
              </w:rPr>
            </w:pPr>
            <w:r w:rsidRPr="003B11BD">
              <w:rPr>
                <w:noProof/>
              </w:rPr>
              <w:t xml:space="preserve">Less relevant </w:t>
            </w:r>
          </w:p>
        </w:tc>
        <w:tc>
          <w:tcPr>
            <w:tcW w:w="7229" w:type="dxa"/>
            <w:shd w:val="clear" w:color="auto" w:fill="F2F2F2" w:themeFill="background1" w:themeFillShade="F2"/>
          </w:tcPr>
          <w:p w14:paraId="63975310" w14:textId="77777777" w:rsidR="005048C9" w:rsidRPr="003B11BD" w:rsidRDefault="005048C9" w:rsidP="00F03230">
            <w:pPr>
              <w:pStyle w:val="Size10"/>
              <w:rPr>
                <w:noProof/>
              </w:rPr>
            </w:pPr>
            <w:r w:rsidRPr="003B11BD">
              <w:rPr>
                <w:noProof/>
              </w:rPr>
              <w:t>The initiative focuses on persons rather than products.</w:t>
            </w:r>
          </w:p>
        </w:tc>
      </w:tr>
      <w:tr w:rsidR="005048C9" w:rsidRPr="003B11BD" w14:paraId="5B53A5A1" w14:textId="77777777" w:rsidTr="001163DA">
        <w:tc>
          <w:tcPr>
            <w:tcW w:w="2410" w:type="dxa"/>
            <w:shd w:val="clear" w:color="auto" w:fill="F2F2F2" w:themeFill="background1" w:themeFillShade="F2"/>
          </w:tcPr>
          <w:p w14:paraId="0CF825A0" w14:textId="77777777" w:rsidR="005048C9" w:rsidRPr="003B11BD" w:rsidRDefault="005048C9" w:rsidP="00F03230">
            <w:pPr>
              <w:pStyle w:val="Size10"/>
              <w:rPr>
                <w:noProof/>
              </w:rPr>
            </w:pPr>
            <w:r w:rsidRPr="003B11BD">
              <w:rPr>
                <w:noProof/>
              </w:rPr>
              <w:t>EU Passenger Locator Form</w:t>
            </w:r>
          </w:p>
        </w:tc>
        <w:tc>
          <w:tcPr>
            <w:tcW w:w="2126" w:type="dxa"/>
            <w:shd w:val="clear" w:color="auto" w:fill="F2F2F2" w:themeFill="background1" w:themeFillShade="F2"/>
          </w:tcPr>
          <w:p w14:paraId="26C81756" w14:textId="77777777" w:rsidR="005048C9" w:rsidRPr="003B11BD" w:rsidRDefault="005048C9" w:rsidP="00F03230">
            <w:pPr>
              <w:pStyle w:val="Size10"/>
              <w:rPr>
                <w:noProof/>
              </w:rPr>
            </w:pPr>
            <w:r w:rsidRPr="003B11BD">
              <w:rPr>
                <w:noProof/>
              </w:rPr>
              <w:t>Commission Implementing Decision</w:t>
            </w:r>
          </w:p>
        </w:tc>
        <w:tc>
          <w:tcPr>
            <w:tcW w:w="1276" w:type="dxa"/>
            <w:shd w:val="clear" w:color="auto" w:fill="F2F2F2" w:themeFill="background1" w:themeFillShade="F2"/>
          </w:tcPr>
          <w:p w14:paraId="6533F829" w14:textId="77777777" w:rsidR="005048C9" w:rsidRPr="003B11BD" w:rsidRDefault="005048C9" w:rsidP="00F03230">
            <w:pPr>
              <w:pStyle w:val="Size10"/>
              <w:rPr>
                <w:noProof/>
              </w:rPr>
            </w:pPr>
          </w:p>
        </w:tc>
        <w:tc>
          <w:tcPr>
            <w:tcW w:w="1701" w:type="dxa"/>
            <w:shd w:val="clear" w:color="auto" w:fill="FF0000"/>
          </w:tcPr>
          <w:p w14:paraId="15C42665"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2101C0F1" w14:textId="77777777" w:rsidR="005048C9" w:rsidRPr="003B11BD" w:rsidRDefault="005048C9" w:rsidP="00F03230">
            <w:pPr>
              <w:pStyle w:val="Size10"/>
              <w:rPr>
                <w:noProof/>
              </w:rPr>
            </w:pPr>
            <w:r w:rsidRPr="003B11BD">
              <w:rPr>
                <w:noProof/>
              </w:rPr>
              <w:t>The initiative focuses on persons (tracing) rather than products</w:t>
            </w:r>
          </w:p>
        </w:tc>
      </w:tr>
      <w:tr w:rsidR="005048C9" w:rsidRPr="003B11BD" w14:paraId="20BF4C68" w14:textId="77777777" w:rsidTr="001163DA">
        <w:tc>
          <w:tcPr>
            <w:tcW w:w="2410" w:type="dxa"/>
            <w:shd w:val="clear" w:color="auto" w:fill="F2F2F2" w:themeFill="background1" w:themeFillShade="F2"/>
          </w:tcPr>
          <w:p w14:paraId="330607A7" w14:textId="77777777" w:rsidR="005048C9" w:rsidRPr="003B11BD" w:rsidRDefault="005048C9" w:rsidP="00F03230">
            <w:pPr>
              <w:pStyle w:val="Size10"/>
              <w:rPr>
                <w:noProof/>
              </w:rPr>
            </w:pPr>
            <w:r w:rsidRPr="003B11BD">
              <w:rPr>
                <w:noProof/>
              </w:rPr>
              <w:t>National Contact Tracing Apps</w:t>
            </w:r>
          </w:p>
        </w:tc>
        <w:tc>
          <w:tcPr>
            <w:tcW w:w="2126" w:type="dxa"/>
            <w:shd w:val="clear" w:color="auto" w:fill="F2F2F2" w:themeFill="background1" w:themeFillShade="F2"/>
          </w:tcPr>
          <w:p w14:paraId="0960564E" w14:textId="77777777" w:rsidR="005048C9" w:rsidRPr="003B11BD" w:rsidRDefault="005048C9" w:rsidP="00F03230">
            <w:pPr>
              <w:pStyle w:val="Size10"/>
              <w:rPr>
                <w:noProof/>
              </w:rPr>
            </w:pPr>
            <w:r w:rsidRPr="003B11BD">
              <w:rPr>
                <w:noProof/>
              </w:rPr>
              <w:t>National actions &amp; Recommendation &amp; Implementing Decision</w:t>
            </w:r>
          </w:p>
        </w:tc>
        <w:tc>
          <w:tcPr>
            <w:tcW w:w="1276" w:type="dxa"/>
            <w:shd w:val="clear" w:color="auto" w:fill="F2F2F2" w:themeFill="background1" w:themeFillShade="F2"/>
          </w:tcPr>
          <w:p w14:paraId="4FDBB07F" w14:textId="77777777" w:rsidR="005048C9" w:rsidRPr="003B11BD" w:rsidRDefault="005048C9" w:rsidP="00F03230">
            <w:pPr>
              <w:pStyle w:val="Size10"/>
              <w:rPr>
                <w:noProof/>
              </w:rPr>
            </w:pPr>
          </w:p>
        </w:tc>
        <w:tc>
          <w:tcPr>
            <w:tcW w:w="1701" w:type="dxa"/>
            <w:shd w:val="clear" w:color="auto" w:fill="FF0000"/>
          </w:tcPr>
          <w:p w14:paraId="3A0EE0E3" w14:textId="77777777" w:rsidR="005048C9" w:rsidRPr="003B11BD" w:rsidRDefault="005048C9" w:rsidP="00F03230">
            <w:pPr>
              <w:pStyle w:val="Size10"/>
              <w:rPr>
                <w:noProof/>
              </w:rPr>
            </w:pPr>
            <w:r w:rsidRPr="003B11BD">
              <w:rPr>
                <w:noProof/>
              </w:rPr>
              <w:t xml:space="preserve">Less relevant </w:t>
            </w:r>
          </w:p>
        </w:tc>
        <w:tc>
          <w:tcPr>
            <w:tcW w:w="7229" w:type="dxa"/>
            <w:shd w:val="clear" w:color="auto" w:fill="F2F2F2" w:themeFill="background1" w:themeFillShade="F2"/>
          </w:tcPr>
          <w:p w14:paraId="67D63BC1" w14:textId="77777777" w:rsidR="005048C9" w:rsidRPr="003B11BD" w:rsidRDefault="005048C9" w:rsidP="00F03230">
            <w:pPr>
              <w:pStyle w:val="Size10"/>
              <w:rPr>
                <w:noProof/>
              </w:rPr>
            </w:pPr>
            <w:r w:rsidRPr="003B11BD">
              <w:rPr>
                <w:noProof/>
              </w:rPr>
              <w:t>The initiative focuses on persons (tracing) rather than products. Relevant at most if a particular app or the software is behind the app is patent protected and access is needed.</w:t>
            </w:r>
          </w:p>
        </w:tc>
      </w:tr>
      <w:tr w:rsidR="005048C9" w:rsidRPr="003B11BD" w14:paraId="28A8646C" w14:textId="77777777" w:rsidTr="001163DA">
        <w:tc>
          <w:tcPr>
            <w:tcW w:w="2410" w:type="dxa"/>
            <w:shd w:val="clear" w:color="auto" w:fill="F2F2F2" w:themeFill="background1" w:themeFillShade="F2"/>
          </w:tcPr>
          <w:p w14:paraId="65E2FDD5" w14:textId="77777777" w:rsidR="005048C9" w:rsidRPr="003B11BD" w:rsidRDefault="005048C9" w:rsidP="00F03230">
            <w:pPr>
              <w:pStyle w:val="Size10"/>
              <w:rPr>
                <w:noProof/>
              </w:rPr>
            </w:pPr>
            <w:r w:rsidRPr="003B11BD">
              <w:rPr>
                <w:noProof/>
              </w:rPr>
              <w:t>Treatment of Third Country Nationals at the External Borders</w:t>
            </w:r>
          </w:p>
        </w:tc>
        <w:tc>
          <w:tcPr>
            <w:tcW w:w="2126" w:type="dxa"/>
            <w:shd w:val="clear" w:color="auto" w:fill="F2F2F2" w:themeFill="background1" w:themeFillShade="F2"/>
          </w:tcPr>
          <w:p w14:paraId="5030BC3B" w14:textId="77777777" w:rsidR="005048C9" w:rsidRPr="003B11BD" w:rsidRDefault="005048C9" w:rsidP="00F03230">
            <w:pPr>
              <w:pStyle w:val="Size10"/>
              <w:rPr>
                <w:noProof/>
              </w:rPr>
            </w:pPr>
            <w:r w:rsidRPr="003B11BD">
              <w:rPr>
                <w:noProof/>
              </w:rPr>
              <w:t>Regulation</w:t>
            </w:r>
          </w:p>
        </w:tc>
        <w:tc>
          <w:tcPr>
            <w:tcW w:w="1276" w:type="dxa"/>
            <w:shd w:val="clear" w:color="auto" w:fill="F2F2F2" w:themeFill="background1" w:themeFillShade="F2"/>
          </w:tcPr>
          <w:p w14:paraId="78B1F3D4" w14:textId="77777777" w:rsidR="005048C9" w:rsidRPr="003B11BD" w:rsidRDefault="005048C9" w:rsidP="00F03230">
            <w:pPr>
              <w:pStyle w:val="Size10"/>
              <w:rPr>
                <w:noProof/>
              </w:rPr>
            </w:pPr>
          </w:p>
        </w:tc>
        <w:tc>
          <w:tcPr>
            <w:tcW w:w="1701" w:type="dxa"/>
            <w:shd w:val="clear" w:color="auto" w:fill="FF0000"/>
          </w:tcPr>
          <w:p w14:paraId="5DE40865"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1022F89D" w14:textId="77777777" w:rsidR="005048C9" w:rsidRPr="003B11BD" w:rsidRDefault="005048C9" w:rsidP="00F03230">
            <w:pPr>
              <w:pStyle w:val="Size10"/>
              <w:rPr>
                <w:noProof/>
              </w:rPr>
            </w:pPr>
            <w:r w:rsidRPr="003B11BD">
              <w:rPr>
                <w:noProof/>
              </w:rPr>
              <w:t>The Initiative focuses on persons rather than products.</w:t>
            </w:r>
          </w:p>
        </w:tc>
      </w:tr>
      <w:tr w:rsidR="005048C9" w:rsidRPr="003B11BD" w14:paraId="7157CFC5" w14:textId="77777777" w:rsidTr="001163DA">
        <w:tc>
          <w:tcPr>
            <w:tcW w:w="2410" w:type="dxa"/>
            <w:shd w:val="clear" w:color="auto" w:fill="F2F2F2" w:themeFill="background1" w:themeFillShade="F2"/>
          </w:tcPr>
          <w:p w14:paraId="5F213E5A" w14:textId="77777777" w:rsidR="005048C9" w:rsidRPr="003B11BD" w:rsidRDefault="005048C9" w:rsidP="00F03230">
            <w:pPr>
              <w:pStyle w:val="Size10"/>
              <w:rPr>
                <w:noProof/>
              </w:rPr>
            </w:pPr>
            <w:r w:rsidRPr="003B11BD">
              <w:rPr>
                <w:noProof/>
              </w:rPr>
              <w:t>Contingency Plan for Ensuring Food Supply and Food Security</w:t>
            </w:r>
          </w:p>
        </w:tc>
        <w:tc>
          <w:tcPr>
            <w:tcW w:w="2126" w:type="dxa"/>
            <w:shd w:val="clear" w:color="auto" w:fill="F2F2F2" w:themeFill="background1" w:themeFillShade="F2"/>
          </w:tcPr>
          <w:p w14:paraId="1961E89A" w14:textId="77777777" w:rsidR="005048C9" w:rsidRPr="003B11BD" w:rsidRDefault="005048C9" w:rsidP="00F03230">
            <w:pPr>
              <w:pStyle w:val="Size10"/>
              <w:rPr>
                <w:noProof/>
              </w:rPr>
            </w:pPr>
            <w:r w:rsidRPr="003B11BD">
              <w:rPr>
                <w:noProof/>
              </w:rPr>
              <w:t>Communication</w:t>
            </w:r>
          </w:p>
        </w:tc>
        <w:tc>
          <w:tcPr>
            <w:tcW w:w="1276" w:type="dxa"/>
            <w:shd w:val="clear" w:color="auto" w:fill="F2F2F2" w:themeFill="background1" w:themeFillShade="F2"/>
          </w:tcPr>
          <w:p w14:paraId="5C25109E" w14:textId="77777777" w:rsidR="005048C9" w:rsidRPr="003B11BD" w:rsidRDefault="005048C9" w:rsidP="00F03230">
            <w:pPr>
              <w:pStyle w:val="Size10"/>
              <w:rPr>
                <w:noProof/>
              </w:rPr>
            </w:pPr>
            <w:r w:rsidRPr="003B11BD">
              <w:rPr>
                <w:noProof/>
              </w:rPr>
              <w:t>AGRI/ MARE/ SANTE</w:t>
            </w:r>
          </w:p>
        </w:tc>
        <w:tc>
          <w:tcPr>
            <w:tcW w:w="1701" w:type="dxa"/>
            <w:shd w:val="clear" w:color="auto" w:fill="00B050"/>
          </w:tcPr>
          <w:p w14:paraId="14FB71D7" w14:textId="77777777" w:rsidR="005048C9" w:rsidRPr="003B11BD" w:rsidRDefault="005048C9" w:rsidP="00F03230">
            <w:pPr>
              <w:pStyle w:val="Size10"/>
              <w:rPr>
                <w:noProof/>
              </w:rPr>
            </w:pPr>
            <w:r w:rsidRPr="003B11BD">
              <w:rPr>
                <w:noProof/>
              </w:rPr>
              <w:t xml:space="preserve">Highly relevant </w:t>
            </w:r>
          </w:p>
        </w:tc>
        <w:tc>
          <w:tcPr>
            <w:tcW w:w="7229" w:type="dxa"/>
            <w:shd w:val="clear" w:color="auto" w:fill="F2F2F2" w:themeFill="background1" w:themeFillShade="F2"/>
          </w:tcPr>
          <w:p w14:paraId="0D4B02ED" w14:textId="77777777" w:rsidR="005048C9" w:rsidRPr="003B11BD" w:rsidRDefault="005048C9" w:rsidP="00F03230">
            <w:pPr>
              <w:pStyle w:val="Size10"/>
              <w:rPr>
                <w:noProof/>
              </w:rPr>
            </w:pPr>
            <w:r w:rsidRPr="003B11BD">
              <w:rPr>
                <w:noProof/>
              </w:rPr>
              <w:t>The declaration of a food crisis affecting more than one Member State could trigger the CL granting process under Options 3 and 4.</w:t>
            </w:r>
          </w:p>
          <w:p w14:paraId="11BBEBF5" w14:textId="77777777" w:rsidR="005048C9" w:rsidRPr="003B11BD" w:rsidRDefault="005048C9" w:rsidP="00F03230">
            <w:pPr>
              <w:pStyle w:val="Size10"/>
              <w:rPr>
                <w:noProof/>
              </w:rPr>
            </w:pPr>
            <w:r w:rsidRPr="003B11BD">
              <w:rPr>
                <w:noProof/>
              </w:rPr>
              <w:t>A patent protected technology might be needed in times of a food crisis. A CL could be the last resort instrument.</w:t>
            </w:r>
          </w:p>
        </w:tc>
      </w:tr>
      <w:tr w:rsidR="005048C9" w:rsidRPr="003B11BD" w14:paraId="321160F9" w14:textId="77777777" w:rsidTr="001163DA">
        <w:tc>
          <w:tcPr>
            <w:tcW w:w="2410" w:type="dxa"/>
            <w:shd w:val="clear" w:color="auto" w:fill="F2F2F2" w:themeFill="background1" w:themeFillShade="F2"/>
          </w:tcPr>
          <w:p w14:paraId="50CABA7E" w14:textId="77777777" w:rsidR="005048C9" w:rsidRPr="003B11BD" w:rsidRDefault="005048C9" w:rsidP="00F03230">
            <w:pPr>
              <w:pStyle w:val="Size10"/>
              <w:rPr>
                <w:noProof/>
              </w:rPr>
            </w:pPr>
            <w:r w:rsidRPr="003B11BD">
              <w:rPr>
                <w:noProof/>
              </w:rPr>
              <w:t>Common Market Organisation Regulation (EU) No 1308/2013</w:t>
            </w:r>
          </w:p>
        </w:tc>
        <w:tc>
          <w:tcPr>
            <w:tcW w:w="2126" w:type="dxa"/>
            <w:shd w:val="clear" w:color="auto" w:fill="F2F2F2" w:themeFill="background1" w:themeFillShade="F2"/>
          </w:tcPr>
          <w:p w14:paraId="0C614C6B" w14:textId="77777777" w:rsidR="005048C9" w:rsidRPr="003B11BD" w:rsidRDefault="005048C9" w:rsidP="00F03230">
            <w:pPr>
              <w:pStyle w:val="Size10"/>
              <w:rPr>
                <w:noProof/>
              </w:rPr>
            </w:pPr>
            <w:r w:rsidRPr="003B11BD">
              <w:rPr>
                <w:noProof/>
              </w:rPr>
              <w:t>Regulation</w:t>
            </w:r>
          </w:p>
        </w:tc>
        <w:tc>
          <w:tcPr>
            <w:tcW w:w="1276" w:type="dxa"/>
            <w:shd w:val="clear" w:color="auto" w:fill="F2F2F2" w:themeFill="background1" w:themeFillShade="F2"/>
          </w:tcPr>
          <w:p w14:paraId="0BBD53C8" w14:textId="77777777" w:rsidR="005048C9" w:rsidRPr="003B11BD" w:rsidRDefault="005048C9" w:rsidP="00F03230">
            <w:pPr>
              <w:pStyle w:val="Size10"/>
              <w:rPr>
                <w:noProof/>
              </w:rPr>
            </w:pPr>
            <w:r w:rsidRPr="003B11BD">
              <w:rPr>
                <w:noProof/>
              </w:rPr>
              <w:t>AGRI</w:t>
            </w:r>
          </w:p>
        </w:tc>
        <w:tc>
          <w:tcPr>
            <w:tcW w:w="1701" w:type="dxa"/>
            <w:shd w:val="clear" w:color="auto" w:fill="FF0000"/>
          </w:tcPr>
          <w:p w14:paraId="7943C7E4" w14:textId="77777777" w:rsidR="005048C9" w:rsidRPr="003B11BD" w:rsidRDefault="005048C9" w:rsidP="00F03230">
            <w:pPr>
              <w:pStyle w:val="Size10"/>
              <w:rPr>
                <w:noProof/>
              </w:rPr>
            </w:pPr>
            <w:r w:rsidRPr="003B11BD">
              <w:rPr>
                <w:noProof/>
              </w:rPr>
              <w:t xml:space="preserve">Less relevant </w:t>
            </w:r>
          </w:p>
        </w:tc>
        <w:tc>
          <w:tcPr>
            <w:tcW w:w="7229" w:type="dxa"/>
            <w:shd w:val="clear" w:color="auto" w:fill="F2F2F2" w:themeFill="background1" w:themeFillShade="F2"/>
          </w:tcPr>
          <w:p w14:paraId="3858646C" w14:textId="77777777" w:rsidR="005048C9" w:rsidRPr="003B11BD" w:rsidRDefault="005048C9" w:rsidP="00F03230">
            <w:pPr>
              <w:pStyle w:val="Size10"/>
              <w:rPr>
                <w:noProof/>
              </w:rPr>
            </w:pPr>
            <w:r w:rsidRPr="003B11BD">
              <w:rPr>
                <w:noProof/>
              </w:rPr>
              <w:t>The initiative is about market disturbance (significant price rises or falls).</w:t>
            </w:r>
          </w:p>
        </w:tc>
      </w:tr>
      <w:tr w:rsidR="005048C9" w:rsidRPr="003B11BD" w14:paraId="2A3A9722" w14:textId="77777777" w:rsidTr="001163DA">
        <w:tc>
          <w:tcPr>
            <w:tcW w:w="2410" w:type="dxa"/>
            <w:shd w:val="clear" w:color="auto" w:fill="F2F2F2" w:themeFill="background1" w:themeFillShade="F2"/>
          </w:tcPr>
          <w:p w14:paraId="5FC1ECD9" w14:textId="15932D2C" w:rsidR="005048C9" w:rsidRPr="003B11BD" w:rsidRDefault="005048C9" w:rsidP="00F03230">
            <w:pPr>
              <w:pStyle w:val="Size10"/>
              <w:rPr>
                <w:noProof/>
              </w:rPr>
            </w:pPr>
            <w:r w:rsidRPr="003B11BD">
              <w:rPr>
                <w:noProof/>
              </w:rPr>
              <w:t>Regulation (EU) 2021/2115 (CAP Strategic Plans)</w:t>
            </w:r>
          </w:p>
        </w:tc>
        <w:tc>
          <w:tcPr>
            <w:tcW w:w="2126" w:type="dxa"/>
            <w:shd w:val="clear" w:color="auto" w:fill="F2F2F2" w:themeFill="background1" w:themeFillShade="F2"/>
          </w:tcPr>
          <w:p w14:paraId="2DA82A1C" w14:textId="77777777" w:rsidR="005048C9" w:rsidRPr="003B11BD" w:rsidRDefault="005048C9" w:rsidP="00F03230">
            <w:pPr>
              <w:pStyle w:val="Size10"/>
              <w:rPr>
                <w:noProof/>
              </w:rPr>
            </w:pPr>
            <w:r w:rsidRPr="003B11BD">
              <w:rPr>
                <w:noProof/>
              </w:rPr>
              <w:t>Regulation</w:t>
            </w:r>
          </w:p>
        </w:tc>
        <w:tc>
          <w:tcPr>
            <w:tcW w:w="1276" w:type="dxa"/>
            <w:shd w:val="clear" w:color="auto" w:fill="F2F2F2" w:themeFill="background1" w:themeFillShade="F2"/>
          </w:tcPr>
          <w:p w14:paraId="27642F84" w14:textId="77777777" w:rsidR="005048C9" w:rsidRPr="003B11BD" w:rsidRDefault="005048C9" w:rsidP="00F03230">
            <w:pPr>
              <w:pStyle w:val="Size10"/>
              <w:rPr>
                <w:noProof/>
              </w:rPr>
            </w:pPr>
            <w:r w:rsidRPr="003B11BD">
              <w:rPr>
                <w:noProof/>
              </w:rPr>
              <w:t>AGRI</w:t>
            </w:r>
          </w:p>
        </w:tc>
        <w:tc>
          <w:tcPr>
            <w:tcW w:w="1701" w:type="dxa"/>
            <w:shd w:val="clear" w:color="auto" w:fill="FF0000"/>
          </w:tcPr>
          <w:p w14:paraId="497FAF66"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4278AABB" w14:textId="77777777" w:rsidR="005048C9" w:rsidRPr="003B11BD" w:rsidRDefault="005048C9" w:rsidP="00F03230">
            <w:pPr>
              <w:pStyle w:val="Size10"/>
              <w:rPr>
                <w:noProof/>
              </w:rPr>
            </w:pPr>
            <w:r w:rsidRPr="003B11BD">
              <w:rPr>
                <w:noProof/>
              </w:rPr>
              <w:t>The initiative lays down rules on general and specific objectives to be pursued through financial Union support.</w:t>
            </w:r>
          </w:p>
        </w:tc>
      </w:tr>
      <w:tr w:rsidR="005048C9" w:rsidRPr="003B11BD" w14:paraId="7D591EA5" w14:textId="77777777" w:rsidTr="001163DA">
        <w:tc>
          <w:tcPr>
            <w:tcW w:w="2410" w:type="dxa"/>
            <w:shd w:val="clear" w:color="auto" w:fill="F2F2F2" w:themeFill="background1" w:themeFillShade="F2"/>
          </w:tcPr>
          <w:p w14:paraId="24C4CCF8" w14:textId="77777777" w:rsidR="005048C9" w:rsidRPr="003B11BD" w:rsidRDefault="005048C9" w:rsidP="00F03230">
            <w:pPr>
              <w:pStyle w:val="Size10"/>
              <w:rPr>
                <w:noProof/>
              </w:rPr>
            </w:pPr>
            <w:r w:rsidRPr="003B11BD">
              <w:rPr>
                <w:noProof/>
              </w:rPr>
              <w:t>Market observatories</w:t>
            </w:r>
          </w:p>
        </w:tc>
        <w:tc>
          <w:tcPr>
            <w:tcW w:w="2126" w:type="dxa"/>
            <w:shd w:val="clear" w:color="auto" w:fill="F2F2F2" w:themeFill="background1" w:themeFillShade="F2"/>
          </w:tcPr>
          <w:p w14:paraId="2CF802DD" w14:textId="77777777" w:rsidR="005048C9" w:rsidRPr="003B11BD" w:rsidRDefault="005048C9" w:rsidP="00F03230">
            <w:pPr>
              <w:pStyle w:val="Size10"/>
              <w:rPr>
                <w:noProof/>
              </w:rPr>
            </w:pPr>
          </w:p>
        </w:tc>
        <w:tc>
          <w:tcPr>
            <w:tcW w:w="1276" w:type="dxa"/>
            <w:shd w:val="clear" w:color="auto" w:fill="F2F2F2" w:themeFill="background1" w:themeFillShade="F2"/>
          </w:tcPr>
          <w:p w14:paraId="419297AD" w14:textId="77777777" w:rsidR="005048C9" w:rsidRPr="003B11BD" w:rsidRDefault="005048C9" w:rsidP="00F03230">
            <w:pPr>
              <w:pStyle w:val="Size10"/>
              <w:rPr>
                <w:noProof/>
              </w:rPr>
            </w:pPr>
            <w:r w:rsidRPr="003B11BD">
              <w:rPr>
                <w:noProof/>
              </w:rPr>
              <w:t>AGRI</w:t>
            </w:r>
          </w:p>
        </w:tc>
        <w:tc>
          <w:tcPr>
            <w:tcW w:w="1701" w:type="dxa"/>
            <w:shd w:val="clear" w:color="auto" w:fill="FF0000"/>
          </w:tcPr>
          <w:p w14:paraId="2FD194F3" w14:textId="77777777" w:rsidR="005048C9" w:rsidRPr="003B11BD" w:rsidRDefault="005048C9" w:rsidP="00F03230">
            <w:pPr>
              <w:pStyle w:val="Size10"/>
              <w:rPr>
                <w:noProof/>
              </w:rPr>
            </w:pPr>
            <w:r w:rsidRPr="003B11BD">
              <w:rPr>
                <w:noProof/>
              </w:rPr>
              <w:t xml:space="preserve">Less relevant </w:t>
            </w:r>
          </w:p>
        </w:tc>
        <w:tc>
          <w:tcPr>
            <w:tcW w:w="7229" w:type="dxa"/>
            <w:shd w:val="clear" w:color="auto" w:fill="F2F2F2" w:themeFill="background1" w:themeFillShade="F2"/>
          </w:tcPr>
          <w:p w14:paraId="164C0499" w14:textId="77777777" w:rsidR="005048C9" w:rsidRPr="003B11BD" w:rsidRDefault="005048C9" w:rsidP="00F03230">
            <w:pPr>
              <w:pStyle w:val="Size10"/>
              <w:rPr>
                <w:noProof/>
              </w:rPr>
            </w:pPr>
            <w:r w:rsidRPr="003B11BD">
              <w:rPr>
                <w:noProof/>
              </w:rPr>
              <w:t xml:space="preserve">The initiative provides different sectors with more transparency by means of disseminating market data and short-term analysis in a timely manner. </w:t>
            </w:r>
          </w:p>
        </w:tc>
      </w:tr>
      <w:tr w:rsidR="005048C9" w:rsidRPr="003B11BD" w14:paraId="470F0938" w14:textId="77777777" w:rsidTr="001163DA">
        <w:tc>
          <w:tcPr>
            <w:tcW w:w="2410" w:type="dxa"/>
            <w:shd w:val="clear" w:color="auto" w:fill="F2F2F2" w:themeFill="background1" w:themeFillShade="F2"/>
          </w:tcPr>
          <w:p w14:paraId="5EF9A191" w14:textId="77777777" w:rsidR="005048C9" w:rsidRPr="003B11BD" w:rsidRDefault="005048C9" w:rsidP="00F03230">
            <w:pPr>
              <w:pStyle w:val="Size10"/>
              <w:rPr>
                <w:noProof/>
              </w:rPr>
            </w:pPr>
            <w:r w:rsidRPr="003B11BD">
              <w:rPr>
                <w:noProof/>
              </w:rPr>
              <w:t>Agricultural civil dialogue groups</w:t>
            </w:r>
          </w:p>
        </w:tc>
        <w:tc>
          <w:tcPr>
            <w:tcW w:w="2126" w:type="dxa"/>
            <w:shd w:val="clear" w:color="auto" w:fill="F2F2F2" w:themeFill="background1" w:themeFillShade="F2"/>
          </w:tcPr>
          <w:p w14:paraId="29B81ACF" w14:textId="77777777" w:rsidR="005048C9" w:rsidRPr="003B11BD" w:rsidRDefault="005048C9" w:rsidP="00F03230">
            <w:pPr>
              <w:pStyle w:val="Size10"/>
              <w:rPr>
                <w:noProof/>
              </w:rPr>
            </w:pPr>
          </w:p>
        </w:tc>
        <w:tc>
          <w:tcPr>
            <w:tcW w:w="1276" w:type="dxa"/>
            <w:shd w:val="clear" w:color="auto" w:fill="F2F2F2" w:themeFill="background1" w:themeFillShade="F2"/>
          </w:tcPr>
          <w:p w14:paraId="16E93697" w14:textId="77777777" w:rsidR="005048C9" w:rsidRPr="003B11BD" w:rsidRDefault="005048C9" w:rsidP="00F03230">
            <w:pPr>
              <w:pStyle w:val="Size10"/>
              <w:rPr>
                <w:noProof/>
              </w:rPr>
            </w:pPr>
            <w:r w:rsidRPr="003B11BD">
              <w:rPr>
                <w:noProof/>
              </w:rPr>
              <w:t>AGRI</w:t>
            </w:r>
          </w:p>
        </w:tc>
        <w:tc>
          <w:tcPr>
            <w:tcW w:w="1701" w:type="dxa"/>
            <w:shd w:val="clear" w:color="auto" w:fill="FF0000"/>
          </w:tcPr>
          <w:p w14:paraId="0BE00BF6"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2D378C53" w14:textId="77777777" w:rsidR="005048C9" w:rsidRPr="003B11BD" w:rsidRDefault="005048C9" w:rsidP="00F03230">
            <w:pPr>
              <w:pStyle w:val="Size10"/>
              <w:rPr>
                <w:noProof/>
              </w:rPr>
            </w:pPr>
            <w:r w:rsidRPr="003B11BD">
              <w:rPr>
                <w:noProof/>
              </w:rPr>
              <w:t>The initiative is a stakeholder consultation tool.</w:t>
            </w:r>
          </w:p>
        </w:tc>
      </w:tr>
      <w:tr w:rsidR="005048C9" w:rsidRPr="003B11BD" w14:paraId="7101E2BC" w14:textId="77777777" w:rsidTr="001163DA">
        <w:tc>
          <w:tcPr>
            <w:tcW w:w="2410" w:type="dxa"/>
            <w:shd w:val="clear" w:color="auto" w:fill="F2F2F2" w:themeFill="background1" w:themeFillShade="F2"/>
          </w:tcPr>
          <w:p w14:paraId="26E1849C" w14:textId="77777777" w:rsidR="005048C9" w:rsidRPr="003B11BD" w:rsidRDefault="005048C9" w:rsidP="00F03230">
            <w:pPr>
              <w:pStyle w:val="Size10"/>
              <w:rPr>
                <w:noProof/>
              </w:rPr>
            </w:pPr>
            <w:r w:rsidRPr="003B11BD">
              <w:rPr>
                <w:noProof/>
              </w:rPr>
              <w:t>Fighting Disinformation - Communications, Action Plan and Code of Practice</w:t>
            </w:r>
          </w:p>
        </w:tc>
        <w:tc>
          <w:tcPr>
            <w:tcW w:w="2126" w:type="dxa"/>
            <w:shd w:val="clear" w:color="auto" w:fill="F2F2F2" w:themeFill="background1" w:themeFillShade="F2"/>
          </w:tcPr>
          <w:p w14:paraId="34A9114A" w14:textId="77777777" w:rsidR="005048C9" w:rsidRPr="003B11BD" w:rsidRDefault="005048C9" w:rsidP="00F03230">
            <w:pPr>
              <w:pStyle w:val="Size10"/>
              <w:rPr>
                <w:noProof/>
              </w:rPr>
            </w:pPr>
            <w:r w:rsidRPr="003B11BD">
              <w:rPr>
                <w:noProof/>
              </w:rPr>
              <w:t>In particular: Joint Communication accompanied by actions</w:t>
            </w:r>
          </w:p>
        </w:tc>
        <w:tc>
          <w:tcPr>
            <w:tcW w:w="1276" w:type="dxa"/>
            <w:shd w:val="clear" w:color="auto" w:fill="F2F2F2" w:themeFill="background1" w:themeFillShade="F2"/>
          </w:tcPr>
          <w:p w14:paraId="55091BB3" w14:textId="77777777" w:rsidR="005048C9" w:rsidRPr="003B11BD" w:rsidRDefault="005048C9" w:rsidP="00F03230">
            <w:pPr>
              <w:pStyle w:val="Size10"/>
              <w:rPr>
                <w:noProof/>
              </w:rPr>
            </w:pPr>
          </w:p>
        </w:tc>
        <w:tc>
          <w:tcPr>
            <w:tcW w:w="1701" w:type="dxa"/>
            <w:shd w:val="clear" w:color="auto" w:fill="FF0000"/>
          </w:tcPr>
          <w:p w14:paraId="5978775F" w14:textId="77777777" w:rsidR="005048C9" w:rsidRPr="003B11BD" w:rsidRDefault="005048C9" w:rsidP="00F03230">
            <w:pPr>
              <w:pStyle w:val="Size10"/>
              <w:rPr>
                <w:noProof/>
              </w:rPr>
            </w:pPr>
            <w:r w:rsidRPr="003B11BD">
              <w:rPr>
                <w:noProof/>
              </w:rPr>
              <w:t xml:space="preserve">Less relevant </w:t>
            </w:r>
          </w:p>
        </w:tc>
        <w:tc>
          <w:tcPr>
            <w:tcW w:w="7229" w:type="dxa"/>
            <w:shd w:val="clear" w:color="auto" w:fill="F2F2F2" w:themeFill="background1" w:themeFillShade="F2"/>
          </w:tcPr>
          <w:p w14:paraId="7D884D14" w14:textId="77777777" w:rsidR="005048C9" w:rsidRPr="003B11BD" w:rsidRDefault="005048C9" w:rsidP="00F03230">
            <w:pPr>
              <w:pStyle w:val="Size10"/>
              <w:rPr>
                <w:noProof/>
              </w:rPr>
            </w:pPr>
            <w:r w:rsidRPr="003B11BD">
              <w:rPr>
                <w:noProof/>
              </w:rPr>
              <w:t>The initiative lacks a triggering mechanism in times of crisis.</w:t>
            </w:r>
          </w:p>
        </w:tc>
      </w:tr>
      <w:tr w:rsidR="005048C9" w:rsidRPr="003B11BD" w14:paraId="6A0F89A6" w14:textId="77777777" w:rsidTr="001163DA">
        <w:tc>
          <w:tcPr>
            <w:tcW w:w="2410" w:type="dxa"/>
            <w:shd w:val="clear" w:color="auto" w:fill="F2F2F2" w:themeFill="background1" w:themeFillShade="F2"/>
          </w:tcPr>
          <w:p w14:paraId="70644AD8" w14:textId="77777777" w:rsidR="005048C9" w:rsidRPr="003B11BD" w:rsidRDefault="005048C9" w:rsidP="00F03230">
            <w:pPr>
              <w:pStyle w:val="Size10"/>
              <w:rPr>
                <w:noProof/>
              </w:rPr>
            </w:pPr>
            <w:r w:rsidRPr="003B11BD">
              <w:rPr>
                <w:noProof/>
              </w:rPr>
              <w:t>Data Act</w:t>
            </w:r>
          </w:p>
        </w:tc>
        <w:tc>
          <w:tcPr>
            <w:tcW w:w="2126" w:type="dxa"/>
            <w:shd w:val="clear" w:color="auto" w:fill="F2F2F2" w:themeFill="background1" w:themeFillShade="F2"/>
          </w:tcPr>
          <w:p w14:paraId="529826BF" w14:textId="77777777" w:rsidR="005048C9" w:rsidRPr="003B11BD" w:rsidRDefault="005048C9" w:rsidP="00F03230">
            <w:pPr>
              <w:pStyle w:val="Size10"/>
              <w:rPr>
                <w:noProof/>
              </w:rPr>
            </w:pPr>
            <w:r w:rsidRPr="003B11BD">
              <w:rPr>
                <w:noProof/>
              </w:rPr>
              <w:t>Act</w:t>
            </w:r>
          </w:p>
        </w:tc>
        <w:tc>
          <w:tcPr>
            <w:tcW w:w="1276" w:type="dxa"/>
            <w:shd w:val="clear" w:color="auto" w:fill="F2F2F2" w:themeFill="background1" w:themeFillShade="F2"/>
          </w:tcPr>
          <w:p w14:paraId="321344FB" w14:textId="77777777" w:rsidR="005048C9" w:rsidRPr="003B11BD" w:rsidRDefault="005048C9" w:rsidP="00F03230">
            <w:pPr>
              <w:pStyle w:val="Size10"/>
              <w:rPr>
                <w:noProof/>
              </w:rPr>
            </w:pPr>
            <w:r w:rsidRPr="003B11BD">
              <w:rPr>
                <w:noProof/>
              </w:rPr>
              <w:t>CNECT/ G1</w:t>
            </w:r>
          </w:p>
        </w:tc>
        <w:tc>
          <w:tcPr>
            <w:tcW w:w="1701" w:type="dxa"/>
            <w:shd w:val="clear" w:color="auto" w:fill="FF0000"/>
          </w:tcPr>
          <w:p w14:paraId="284A11A0"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3C92E2B2" w14:textId="18D29BEC" w:rsidR="005048C9" w:rsidRPr="003B11BD" w:rsidRDefault="005048C9" w:rsidP="00F03230">
            <w:pPr>
              <w:pStyle w:val="Size10"/>
              <w:rPr>
                <w:noProof/>
              </w:rPr>
            </w:pPr>
            <w:r w:rsidRPr="003B11BD">
              <w:rPr>
                <w:noProof/>
              </w:rPr>
              <w:t xml:space="preserve">The initiative aims at creating a </w:t>
            </w:r>
            <w:r w:rsidR="00D43F3F" w:rsidRPr="003B11BD">
              <w:rPr>
                <w:noProof/>
              </w:rPr>
              <w:t>Single Market</w:t>
            </w:r>
            <w:r w:rsidRPr="003B11BD">
              <w:rPr>
                <w:noProof/>
              </w:rPr>
              <w:t xml:space="preserve"> for data.</w:t>
            </w:r>
          </w:p>
        </w:tc>
      </w:tr>
      <w:tr w:rsidR="005048C9" w:rsidRPr="003B11BD" w14:paraId="450E95BC" w14:textId="77777777" w:rsidTr="001163DA">
        <w:tc>
          <w:tcPr>
            <w:tcW w:w="2410" w:type="dxa"/>
            <w:shd w:val="clear" w:color="auto" w:fill="F2F2F2" w:themeFill="background1" w:themeFillShade="F2"/>
          </w:tcPr>
          <w:p w14:paraId="71208DFA" w14:textId="77777777" w:rsidR="005048C9" w:rsidRPr="003B11BD" w:rsidRDefault="005048C9" w:rsidP="00F03230">
            <w:pPr>
              <w:pStyle w:val="Size10"/>
              <w:rPr>
                <w:noProof/>
              </w:rPr>
            </w:pPr>
            <w:r w:rsidRPr="003B11BD">
              <w:rPr>
                <w:noProof/>
              </w:rPr>
              <w:t>Cyber-security</w:t>
            </w:r>
          </w:p>
        </w:tc>
        <w:tc>
          <w:tcPr>
            <w:tcW w:w="2126" w:type="dxa"/>
            <w:shd w:val="clear" w:color="auto" w:fill="F2F2F2" w:themeFill="background1" w:themeFillShade="F2"/>
          </w:tcPr>
          <w:p w14:paraId="08F3A683" w14:textId="77777777" w:rsidR="005048C9" w:rsidRPr="003B11BD" w:rsidRDefault="005048C9" w:rsidP="00F03230">
            <w:pPr>
              <w:pStyle w:val="Size10"/>
              <w:rPr>
                <w:noProof/>
              </w:rPr>
            </w:pPr>
            <w:r w:rsidRPr="003B11BD">
              <w:rPr>
                <w:noProof/>
              </w:rPr>
              <w:t>Directive</w:t>
            </w:r>
          </w:p>
        </w:tc>
        <w:tc>
          <w:tcPr>
            <w:tcW w:w="1276" w:type="dxa"/>
            <w:shd w:val="clear" w:color="auto" w:fill="F2F2F2" w:themeFill="background1" w:themeFillShade="F2"/>
          </w:tcPr>
          <w:p w14:paraId="06479848" w14:textId="77777777" w:rsidR="005048C9" w:rsidRPr="003B11BD" w:rsidRDefault="005048C9" w:rsidP="00F03230">
            <w:pPr>
              <w:pStyle w:val="Size10"/>
              <w:rPr>
                <w:noProof/>
              </w:rPr>
            </w:pPr>
          </w:p>
        </w:tc>
        <w:tc>
          <w:tcPr>
            <w:tcW w:w="1701" w:type="dxa"/>
            <w:shd w:val="clear" w:color="auto" w:fill="FF0000"/>
          </w:tcPr>
          <w:p w14:paraId="03A9A779"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1E8A91F8" w14:textId="77777777" w:rsidR="005048C9" w:rsidRPr="003B11BD" w:rsidRDefault="005048C9" w:rsidP="00F03230">
            <w:pPr>
              <w:pStyle w:val="Size10"/>
              <w:rPr>
                <w:noProof/>
              </w:rPr>
            </w:pPr>
            <w:r w:rsidRPr="003B11BD">
              <w:rPr>
                <w:noProof/>
              </w:rPr>
              <w:t>However, it does not seem impossible that a CL could be needed in this context to gain access to a critical information and communication technology that could help fight cyber-attacks.</w:t>
            </w:r>
          </w:p>
        </w:tc>
      </w:tr>
      <w:tr w:rsidR="005048C9" w:rsidRPr="003B11BD" w14:paraId="33C30785" w14:textId="77777777" w:rsidTr="001163DA">
        <w:tc>
          <w:tcPr>
            <w:tcW w:w="2410" w:type="dxa"/>
            <w:shd w:val="clear" w:color="auto" w:fill="F2F2F2" w:themeFill="background1" w:themeFillShade="F2"/>
          </w:tcPr>
          <w:p w14:paraId="5B932171" w14:textId="77777777" w:rsidR="005048C9" w:rsidRPr="003B11BD" w:rsidRDefault="005048C9" w:rsidP="00F03230">
            <w:pPr>
              <w:pStyle w:val="Size10"/>
              <w:rPr>
                <w:noProof/>
              </w:rPr>
            </w:pPr>
            <w:r w:rsidRPr="003B11BD">
              <w:rPr>
                <w:noProof/>
              </w:rPr>
              <w:t>Chips Act</w:t>
            </w:r>
          </w:p>
        </w:tc>
        <w:tc>
          <w:tcPr>
            <w:tcW w:w="2126" w:type="dxa"/>
            <w:shd w:val="clear" w:color="auto" w:fill="F2F2F2" w:themeFill="background1" w:themeFillShade="F2"/>
          </w:tcPr>
          <w:p w14:paraId="3676C537" w14:textId="77777777" w:rsidR="005048C9" w:rsidRPr="003B11BD" w:rsidRDefault="005048C9" w:rsidP="00F03230">
            <w:pPr>
              <w:pStyle w:val="Size10"/>
              <w:rPr>
                <w:noProof/>
              </w:rPr>
            </w:pPr>
            <w:r w:rsidRPr="003B11BD">
              <w:rPr>
                <w:noProof/>
              </w:rPr>
              <w:t>Act</w:t>
            </w:r>
          </w:p>
        </w:tc>
        <w:tc>
          <w:tcPr>
            <w:tcW w:w="1276" w:type="dxa"/>
            <w:shd w:val="clear" w:color="auto" w:fill="F2F2F2" w:themeFill="background1" w:themeFillShade="F2"/>
          </w:tcPr>
          <w:p w14:paraId="0578AEAB" w14:textId="77777777" w:rsidR="005048C9" w:rsidRPr="003B11BD" w:rsidRDefault="005048C9" w:rsidP="00F03230">
            <w:pPr>
              <w:pStyle w:val="Size10"/>
              <w:rPr>
                <w:noProof/>
              </w:rPr>
            </w:pPr>
          </w:p>
        </w:tc>
        <w:tc>
          <w:tcPr>
            <w:tcW w:w="1701" w:type="dxa"/>
            <w:shd w:val="clear" w:color="auto" w:fill="00B050"/>
          </w:tcPr>
          <w:p w14:paraId="01D187E1" w14:textId="77777777" w:rsidR="005048C9" w:rsidRPr="003B11BD" w:rsidRDefault="005048C9" w:rsidP="00F03230">
            <w:pPr>
              <w:pStyle w:val="Size10"/>
              <w:rPr>
                <w:noProof/>
              </w:rPr>
            </w:pPr>
            <w:r w:rsidRPr="003B11BD">
              <w:rPr>
                <w:noProof/>
              </w:rPr>
              <w:t>Highly relevant</w:t>
            </w:r>
          </w:p>
        </w:tc>
        <w:tc>
          <w:tcPr>
            <w:tcW w:w="7229" w:type="dxa"/>
            <w:shd w:val="clear" w:color="auto" w:fill="F2F2F2" w:themeFill="background1" w:themeFillShade="F2"/>
          </w:tcPr>
          <w:p w14:paraId="5E56673A" w14:textId="6AE30BB4" w:rsidR="005048C9" w:rsidRPr="003B11BD" w:rsidRDefault="005048C9" w:rsidP="00F03230">
            <w:pPr>
              <w:pStyle w:val="Size10"/>
              <w:rPr>
                <w:noProof/>
              </w:rPr>
            </w:pPr>
            <w:r w:rsidRPr="003B11BD">
              <w:rPr>
                <w:noProof/>
              </w:rPr>
              <w:t xml:space="preserve">The activation of the crisis stage (semi- conductor crisis) by COM through </w:t>
            </w:r>
            <w:r w:rsidR="3347BB2F" w:rsidRPr="003B11BD">
              <w:rPr>
                <w:noProof/>
              </w:rPr>
              <w:t>a</w:t>
            </w:r>
            <w:r w:rsidRPr="003B11BD">
              <w:rPr>
                <w:noProof/>
              </w:rPr>
              <w:t>n Implementing Act can trigger the CL granting process under Options 3 and 4.</w:t>
            </w:r>
          </w:p>
        </w:tc>
      </w:tr>
      <w:tr w:rsidR="005048C9" w:rsidRPr="003B11BD" w14:paraId="5E65FC93" w14:textId="77777777" w:rsidTr="001163DA">
        <w:tc>
          <w:tcPr>
            <w:tcW w:w="2410" w:type="dxa"/>
            <w:shd w:val="clear" w:color="auto" w:fill="F2F2F2" w:themeFill="background1" w:themeFillShade="F2"/>
          </w:tcPr>
          <w:p w14:paraId="5C0455ED" w14:textId="77777777" w:rsidR="005048C9" w:rsidRPr="003B11BD" w:rsidRDefault="005048C9" w:rsidP="00F03230">
            <w:pPr>
              <w:pStyle w:val="Size10"/>
              <w:rPr>
                <w:noProof/>
              </w:rPr>
            </w:pPr>
            <w:r w:rsidRPr="003B11BD">
              <w:rPr>
                <w:noProof/>
              </w:rPr>
              <w:t>Security of Energy Supply</w:t>
            </w:r>
          </w:p>
        </w:tc>
        <w:tc>
          <w:tcPr>
            <w:tcW w:w="2126" w:type="dxa"/>
            <w:shd w:val="clear" w:color="auto" w:fill="F2F2F2" w:themeFill="background1" w:themeFillShade="F2"/>
          </w:tcPr>
          <w:p w14:paraId="2D61526B" w14:textId="77777777" w:rsidR="005048C9" w:rsidRPr="003B11BD" w:rsidRDefault="005048C9" w:rsidP="00F03230">
            <w:pPr>
              <w:pStyle w:val="Size10"/>
              <w:rPr>
                <w:noProof/>
              </w:rPr>
            </w:pPr>
            <w:r w:rsidRPr="003B11BD">
              <w:rPr>
                <w:noProof/>
              </w:rPr>
              <w:t>Regulation</w:t>
            </w:r>
          </w:p>
        </w:tc>
        <w:tc>
          <w:tcPr>
            <w:tcW w:w="1276" w:type="dxa"/>
            <w:shd w:val="clear" w:color="auto" w:fill="F2F2F2" w:themeFill="background1" w:themeFillShade="F2"/>
          </w:tcPr>
          <w:p w14:paraId="09A3AD3D" w14:textId="77777777" w:rsidR="005048C9" w:rsidRPr="003B11BD" w:rsidRDefault="005048C9" w:rsidP="00F03230">
            <w:pPr>
              <w:pStyle w:val="Size10"/>
              <w:rPr>
                <w:noProof/>
              </w:rPr>
            </w:pPr>
            <w:r w:rsidRPr="003B11BD">
              <w:rPr>
                <w:noProof/>
              </w:rPr>
              <w:t>ENERGY</w:t>
            </w:r>
          </w:p>
        </w:tc>
        <w:tc>
          <w:tcPr>
            <w:tcW w:w="1701" w:type="dxa"/>
            <w:shd w:val="clear" w:color="auto" w:fill="00B050"/>
          </w:tcPr>
          <w:p w14:paraId="6739B2E2" w14:textId="77777777" w:rsidR="005048C9" w:rsidRPr="003B11BD" w:rsidRDefault="005048C9" w:rsidP="00F03230">
            <w:pPr>
              <w:pStyle w:val="Size10"/>
              <w:rPr>
                <w:noProof/>
              </w:rPr>
            </w:pPr>
            <w:r w:rsidRPr="003B11BD">
              <w:rPr>
                <w:noProof/>
              </w:rPr>
              <w:t>Highly relevant</w:t>
            </w:r>
          </w:p>
        </w:tc>
        <w:tc>
          <w:tcPr>
            <w:tcW w:w="7229" w:type="dxa"/>
            <w:shd w:val="clear" w:color="auto" w:fill="F2F2F2" w:themeFill="background1" w:themeFillShade="F2"/>
          </w:tcPr>
          <w:p w14:paraId="2B906B02" w14:textId="77777777" w:rsidR="005048C9" w:rsidRPr="003B11BD" w:rsidRDefault="005048C9" w:rsidP="00F03230">
            <w:pPr>
              <w:pStyle w:val="Size10"/>
              <w:rPr>
                <w:noProof/>
              </w:rPr>
            </w:pPr>
            <w:r w:rsidRPr="003B11BD">
              <w:rPr>
                <w:noProof/>
              </w:rPr>
              <w:t>The declaration of a Union emergency by COM can trigger the CL granting process under Options 3 and 4.</w:t>
            </w:r>
          </w:p>
        </w:tc>
      </w:tr>
      <w:tr w:rsidR="005048C9" w:rsidRPr="003B11BD" w14:paraId="06EA50E0" w14:textId="77777777" w:rsidTr="001163DA">
        <w:tc>
          <w:tcPr>
            <w:tcW w:w="2410" w:type="dxa"/>
            <w:shd w:val="clear" w:color="auto" w:fill="F2F2F2" w:themeFill="background1" w:themeFillShade="F2"/>
          </w:tcPr>
          <w:p w14:paraId="09976CDF" w14:textId="77777777" w:rsidR="005048C9" w:rsidRPr="003B11BD" w:rsidRDefault="005048C9" w:rsidP="00F03230">
            <w:pPr>
              <w:pStyle w:val="Size10"/>
              <w:rPr>
                <w:noProof/>
              </w:rPr>
            </w:pPr>
            <w:r w:rsidRPr="003B11BD">
              <w:rPr>
                <w:noProof/>
              </w:rPr>
              <w:t>Critical Raw Materials Resilience</w:t>
            </w:r>
          </w:p>
        </w:tc>
        <w:tc>
          <w:tcPr>
            <w:tcW w:w="2126" w:type="dxa"/>
            <w:shd w:val="clear" w:color="auto" w:fill="F2F2F2" w:themeFill="background1" w:themeFillShade="F2"/>
          </w:tcPr>
          <w:p w14:paraId="113855D8" w14:textId="77777777" w:rsidR="005048C9" w:rsidRPr="003B11BD" w:rsidRDefault="005048C9" w:rsidP="00F03230">
            <w:pPr>
              <w:pStyle w:val="Size10"/>
              <w:rPr>
                <w:noProof/>
              </w:rPr>
            </w:pPr>
            <w:r w:rsidRPr="003B11BD">
              <w:rPr>
                <w:noProof/>
              </w:rPr>
              <w:t>Communication</w:t>
            </w:r>
          </w:p>
        </w:tc>
        <w:tc>
          <w:tcPr>
            <w:tcW w:w="1276" w:type="dxa"/>
            <w:shd w:val="clear" w:color="auto" w:fill="F2F2F2" w:themeFill="background1" w:themeFillShade="F2"/>
          </w:tcPr>
          <w:p w14:paraId="3942071A" w14:textId="77777777" w:rsidR="005048C9" w:rsidRPr="003B11BD" w:rsidRDefault="005048C9" w:rsidP="00F03230">
            <w:pPr>
              <w:pStyle w:val="Size10"/>
              <w:rPr>
                <w:noProof/>
              </w:rPr>
            </w:pPr>
          </w:p>
        </w:tc>
        <w:tc>
          <w:tcPr>
            <w:tcW w:w="1701" w:type="dxa"/>
            <w:shd w:val="clear" w:color="auto" w:fill="FFFF00"/>
          </w:tcPr>
          <w:p w14:paraId="35173CCC" w14:textId="77777777" w:rsidR="005048C9" w:rsidRPr="003B11BD" w:rsidRDefault="005048C9" w:rsidP="00F03230">
            <w:pPr>
              <w:pStyle w:val="Size10"/>
              <w:rPr>
                <w:noProof/>
              </w:rPr>
            </w:pPr>
            <w:r w:rsidRPr="003B11BD">
              <w:rPr>
                <w:noProof/>
              </w:rPr>
              <w:t xml:space="preserve">Relevant </w:t>
            </w:r>
          </w:p>
        </w:tc>
        <w:tc>
          <w:tcPr>
            <w:tcW w:w="7229" w:type="dxa"/>
            <w:shd w:val="clear" w:color="auto" w:fill="F2F2F2" w:themeFill="background1" w:themeFillShade="F2"/>
          </w:tcPr>
          <w:p w14:paraId="57843B78" w14:textId="77777777" w:rsidR="005048C9" w:rsidRPr="003B11BD" w:rsidRDefault="005048C9" w:rsidP="00F03230">
            <w:pPr>
              <w:pStyle w:val="Size10"/>
              <w:rPr>
                <w:noProof/>
              </w:rPr>
            </w:pPr>
            <w:r w:rsidRPr="003B11BD">
              <w:rPr>
                <w:noProof/>
              </w:rPr>
              <w:t>The initiative is about improving the supply chain resilience. A CL could become relevant in case certain patent protected technologies or procedures for the reprocessing of goods are needed.</w:t>
            </w:r>
          </w:p>
        </w:tc>
      </w:tr>
      <w:tr w:rsidR="005048C9" w:rsidRPr="003B11BD" w14:paraId="5DFA5482" w14:textId="77777777" w:rsidTr="001163DA">
        <w:tc>
          <w:tcPr>
            <w:tcW w:w="2410" w:type="dxa"/>
            <w:shd w:val="clear" w:color="auto" w:fill="F2F2F2" w:themeFill="background1" w:themeFillShade="F2"/>
          </w:tcPr>
          <w:p w14:paraId="662D5287" w14:textId="77777777" w:rsidR="005048C9" w:rsidRPr="003B11BD" w:rsidRDefault="005048C9" w:rsidP="00F03230">
            <w:pPr>
              <w:pStyle w:val="Size10"/>
              <w:rPr>
                <w:noProof/>
              </w:rPr>
            </w:pPr>
            <w:r w:rsidRPr="003B11BD">
              <w:rPr>
                <w:noProof/>
              </w:rPr>
              <w:t>Copernicus Programme &amp; Galileo Programme</w:t>
            </w:r>
          </w:p>
        </w:tc>
        <w:tc>
          <w:tcPr>
            <w:tcW w:w="2126" w:type="dxa"/>
            <w:shd w:val="clear" w:color="auto" w:fill="F2F2F2" w:themeFill="background1" w:themeFillShade="F2"/>
          </w:tcPr>
          <w:p w14:paraId="73C3E4E0" w14:textId="77777777" w:rsidR="005048C9" w:rsidRPr="003B11BD" w:rsidRDefault="005048C9" w:rsidP="00F03230">
            <w:pPr>
              <w:pStyle w:val="Size10"/>
              <w:rPr>
                <w:noProof/>
              </w:rPr>
            </w:pPr>
            <w:r w:rsidRPr="003B11BD">
              <w:rPr>
                <w:noProof/>
              </w:rPr>
              <w:t>Regulations</w:t>
            </w:r>
          </w:p>
        </w:tc>
        <w:tc>
          <w:tcPr>
            <w:tcW w:w="1276" w:type="dxa"/>
            <w:shd w:val="clear" w:color="auto" w:fill="F2F2F2" w:themeFill="background1" w:themeFillShade="F2"/>
          </w:tcPr>
          <w:p w14:paraId="3D304B6E" w14:textId="77777777" w:rsidR="005048C9" w:rsidRPr="003B11BD" w:rsidRDefault="005048C9" w:rsidP="00F03230">
            <w:pPr>
              <w:pStyle w:val="Size10"/>
              <w:rPr>
                <w:noProof/>
              </w:rPr>
            </w:pPr>
          </w:p>
        </w:tc>
        <w:tc>
          <w:tcPr>
            <w:tcW w:w="1701" w:type="dxa"/>
            <w:shd w:val="clear" w:color="auto" w:fill="FF0000"/>
          </w:tcPr>
          <w:p w14:paraId="00CA7DBA"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7345F5F9" w14:textId="77777777" w:rsidR="005048C9" w:rsidRPr="003B11BD" w:rsidRDefault="005048C9" w:rsidP="00F03230">
            <w:pPr>
              <w:pStyle w:val="Size10"/>
              <w:rPr>
                <w:noProof/>
              </w:rPr>
            </w:pPr>
            <w:r w:rsidRPr="003B11BD">
              <w:rPr>
                <w:noProof/>
              </w:rPr>
              <w:t>Nevertheless, it is conceivable that a CL is needed in case a patent protected technology is required.</w:t>
            </w:r>
          </w:p>
        </w:tc>
      </w:tr>
      <w:tr w:rsidR="005048C9" w:rsidRPr="003B11BD" w14:paraId="6F6A5A31" w14:textId="77777777" w:rsidTr="001163DA">
        <w:tc>
          <w:tcPr>
            <w:tcW w:w="2410" w:type="dxa"/>
            <w:shd w:val="clear" w:color="auto" w:fill="F2F2F2" w:themeFill="background1" w:themeFillShade="F2"/>
          </w:tcPr>
          <w:p w14:paraId="6788D8C4" w14:textId="7BA89A45" w:rsidR="005048C9" w:rsidRPr="003B11BD" w:rsidRDefault="00D43F3F" w:rsidP="00F03230">
            <w:pPr>
              <w:pStyle w:val="Size10"/>
              <w:rPr>
                <w:noProof/>
              </w:rPr>
            </w:pPr>
            <w:r w:rsidRPr="003B11BD">
              <w:rPr>
                <w:noProof/>
              </w:rPr>
              <w:t>Single Market</w:t>
            </w:r>
            <w:r w:rsidR="005048C9" w:rsidRPr="003B11BD">
              <w:rPr>
                <w:noProof/>
              </w:rPr>
              <w:t xml:space="preserve"> Enforcement Task Force for Compliance with </w:t>
            </w:r>
            <w:r w:rsidRPr="003B11BD">
              <w:rPr>
                <w:noProof/>
              </w:rPr>
              <w:t>Single Market</w:t>
            </w:r>
            <w:r w:rsidR="005048C9" w:rsidRPr="003B11BD">
              <w:rPr>
                <w:noProof/>
              </w:rPr>
              <w:t xml:space="preserve"> Rules (SMET)</w:t>
            </w:r>
          </w:p>
        </w:tc>
        <w:tc>
          <w:tcPr>
            <w:tcW w:w="2126" w:type="dxa"/>
            <w:shd w:val="clear" w:color="auto" w:fill="F2F2F2" w:themeFill="background1" w:themeFillShade="F2"/>
          </w:tcPr>
          <w:p w14:paraId="07F0B35E" w14:textId="77777777" w:rsidR="005048C9" w:rsidRPr="003B11BD" w:rsidRDefault="005048C9" w:rsidP="00F03230">
            <w:pPr>
              <w:pStyle w:val="Size10"/>
              <w:rPr>
                <w:noProof/>
              </w:rPr>
            </w:pPr>
            <w:r w:rsidRPr="003B11BD">
              <w:rPr>
                <w:noProof/>
              </w:rPr>
              <w:t>Communication</w:t>
            </w:r>
          </w:p>
        </w:tc>
        <w:tc>
          <w:tcPr>
            <w:tcW w:w="1276" w:type="dxa"/>
            <w:shd w:val="clear" w:color="auto" w:fill="F2F2F2" w:themeFill="background1" w:themeFillShade="F2"/>
          </w:tcPr>
          <w:p w14:paraId="381DE0A9" w14:textId="77777777" w:rsidR="005048C9" w:rsidRPr="003B11BD" w:rsidRDefault="005048C9" w:rsidP="00F03230">
            <w:pPr>
              <w:pStyle w:val="Size10"/>
              <w:rPr>
                <w:noProof/>
              </w:rPr>
            </w:pPr>
          </w:p>
        </w:tc>
        <w:tc>
          <w:tcPr>
            <w:tcW w:w="1701" w:type="dxa"/>
            <w:shd w:val="clear" w:color="auto" w:fill="FFFF00"/>
          </w:tcPr>
          <w:p w14:paraId="6D40801E" w14:textId="77777777" w:rsidR="005048C9" w:rsidRPr="003B11BD" w:rsidRDefault="005048C9" w:rsidP="00F03230">
            <w:pPr>
              <w:pStyle w:val="Size10"/>
              <w:rPr>
                <w:noProof/>
              </w:rPr>
            </w:pPr>
            <w:r w:rsidRPr="003B11BD">
              <w:rPr>
                <w:noProof/>
              </w:rPr>
              <w:t xml:space="preserve">Relevant </w:t>
            </w:r>
          </w:p>
        </w:tc>
        <w:tc>
          <w:tcPr>
            <w:tcW w:w="7229" w:type="dxa"/>
            <w:shd w:val="clear" w:color="auto" w:fill="F2F2F2" w:themeFill="background1" w:themeFillShade="F2"/>
          </w:tcPr>
          <w:p w14:paraId="5E7FFF19" w14:textId="451BBDF9" w:rsidR="005048C9" w:rsidRPr="003B11BD" w:rsidRDefault="005048C9" w:rsidP="00F03230">
            <w:pPr>
              <w:pStyle w:val="Size10"/>
              <w:rPr>
                <w:noProof/>
              </w:rPr>
            </w:pPr>
            <w:r w:rsidRPr="003B11BD">
              <w:rPr>
                <w:noProof/>
              </w:rPr>
              <w:t xml:space="preserve">Products produced under a CL also face restrictions/ barriers in the </w:t>
            </w:r>
            <w:r w:rsidR="00D43F3F" w:rsidRPr="003B11BD">
              <w:rPr>
                <w:noProof/>
              </w:rPr>
              <w:t>Single Market</w:t>
            </w:r>
            <w:r w:rsidRPr="003B11BD">
              <w:rPr>
                <w:noProof/>
              </w:rPr>
              <w:t xml:space="preserve"> (lack of EU- wide exhaustion)</w:t>
            </w:r>
          </w:p>
        </w:tc>
      </w:tr>
      <w:tr w:rsidR="005048C9" w:rsidRPr="003B11BD" w14:paraId="597F8F6E" w14:textId="77777777" w:rsidTr="001163DA">
        <w:tc>
          <w:tcPr>
            <w:tcW w:w="2410" w:type="dxa"/>
            <w:shd w:val="clear" w:color="auto" w:fill="F2F2F2" w:themeFill="background1" w:themeFillShade="F2"/>
          </w:tcPr>
          <w:p w14:paraId="5E12EA28" w14:textId="77777777" w:rsidR="005048C9" w:rsidRPr="003B11BD" w:rsidRDefault="005048C9" w:rsidP="00F03230">
            <w:pPr>
              <w:pStyle w:val="Size10"/>
              <w:rPr>
                <w:noProof/>
              </w:rPr>
            </w:pPr>
            <w:r w:rsidRPr="003B11BD">
              <w:rPr>
                <w:noProof/>
              </w:rPr>
              <w:t>Defence and Security Work Contracts</w:t>
            </w:r>
          </w:p>
        </w:tc>
        <w:tc>
          <w:tcPr>
            <w:tcW w:w="2126" w:type="dxa"/>
            <w:shd w:val="clear" w:color="auto" w:fill="F2F2F2" w:themeFill="background1" w:themeFillShade="F2"/>
          </w:tcPr>
          <w:p w14:paraId="16ADF127" w14:textId="77777777" w:rsidR="005048C9" w:rsidRPr="003B11BD" w:rsidRDefault="005048C9" w:rsidP="00F03230">
            <w:pPr>
              <w:pStyle w:val="Size10"/>
              <w:rPr>
                <w:noProof/>
              </w:rPr>
            </w:pPr>
            <w:r w:rsidRPr="003B11BD">
              <w:rPr>
                <w:noProof/>
              </w:rPr>
              <w:t>Directive</w:t>
            </w:r>
          </w:p>
        </w:tc>
        <w:tc>
          <w:tcPr>
            <w:tcW w:w="1276" w:type="dxa"/>
            <w:shd w:val="clear" w:color="auto" w:fill="F2F2F2" w:themeFill="background1" w:themeFillShade="F2"/>
          </w:tcPr>
          <w:p w14:paraId="2A0918DF" w14:textId="77777777" w:rsidR="005048C9" w:rsidRPr="003B11BD" w:rsidRDefault="005048C9" w:rsidP="00F03230">
            <w:pPr>
              <w:pStyle w:val="Size10"/>
              <w:rPr>
                <w:noProof/>
              </w:rPr>
            </w:pPr>
          </w:p>
        </w:tc>
        <w:tc>
          <w:tcPr>
            <w:tcW w:w="1701" w:type="dxa"/>
            <w:shd w:val="clear" w:color="auto" w:fill="FF0000"/>
          </w:tcPr>
          <w:p w14:paraId="3A0BE33A"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7518F518" w14:textId="77777777" w:rsidR="005048C9" w:rsidRPr="003B11BD" w:rsidRDefault="005048C9" w:rsidP="00F03230">
            <w:pPr>
              <w:pStyle w:val="Size10"/>
              <w:rPr>
                <w:noProof/>
              </w:rPr>
            </w:pPr>
            <w:r w:rsidRPr="003B11BD">
              <w:rPr>
                <w:noProof/>
              </w:rPr>
              <w:t>The initiative is about (incompatible) procurement requirements in times of crisis (deadlines imposed by the usual award procedures).</w:t>
            </w:r>
          </w:p>
        </w:tc>
      </w:tr>
      <w:tr w:rsidR="005048C9" w:rsidRPr="003B11BD" w14:paraId="05486778" w14:textId="77777777" w:rsidTr="001163DA">
        <w:tc>
          <w:tcPr>
            <w:tcW w:w="2410" w:type="dxa"/>
            <w:shd w:val="clear" w:color="auto" w:fill="F2F2F2" w:themeFill="background1" w:themeFillShade="F2"/>
          </w:tcPr>
          <w:p w14:paraId="0DAE5697" w14:textId="77777777" w:rsidR="005048C9" w:rsidRPr="003B11BD" w:rsidRDefault="005048C9" w:rsidP="00F03230">
            <w:pPr>
              <w:pStyle w:val="Size10"/>
              <w:rPr>
                <w:noProof/>
              </w:rPr>
            </w:pPr>
            <w:r w:rsidRPr="003B11BD">
              <w:rPr>
                <w:noProof/>
              </w:rPr>
              <w:t>Crisis Management and Resilience Acquis in the Financial Services Area</w:t>
            </w:r>
          </w:p>
        </w:tc>
        <w:tc>
          <w:tcPr>
            <w:tcW w:w="2126" w:type="dxa"/>
            <w:shd w:val="clear" w:color="auto" w:fill="F2F2F2" w:themeFill="background1" w:themeFillShade="F2"/>
          </w:tcPr>
          <w:p w14:paraId="743C9A58" w14:textId="77777777" w:rsidR="005048C9" w:rsidRPr="003B11BD" w:rsidRDefault="005048C9" w:rsidP="00F03230">
            <w:pPr>
              <w:pStyle w:val="Size10"/>
              <w:rPr>
                <w:noProof/>
              </w:rPr>
            </w:pPr>
            <w:r w:rsidRPr="003B11BD">
              <w:rPr>
                <w:noProof/>
              </w:rPr>
              <w:t>Regulations and Directives</w:t>
            </w:r>
          </w:p>
        </w:tc>
        <w:tc>
          <w:tcPr>
            <w:tcW w:w="1276" w:type="dxa"/>
            <w:shd w:val="clear" w:color="auto" w:fill="F2F2F2" w:themeFill="background1" w:themeFillShade="F2"/>
          </w:tcPr>
          <w:p w14:paraId="53FA2AB6" w14:textId="77777777" w:rsidR="005048C9" w:rsidRPr="003B11BD" w:rsidRDefault="005048C9" w:rsidP="00F03230">
            <w:pPr>
              <w:pStyle w:val="Size10"/>
              <w:rPr>
                <w:noProof/>
              </w:rPr>
            </w:pPr>
          </w:p>
        </w:tc>
        <w:tc>
          <w:tcPr>
            <w:tcW w:w="1701" w:type="dxa"/>
            <w:shd w:val="clear" w:color="auto" w:fill="FF0000"/>
          </w:tcPr>
          <w:p w14:paraId="3F4574FD" w14:textId="77777777" w:rsidR="005048C9" w:rsidRPr="003B11BD" w:rsidRDefault="005048C9" w:rsidP="00F03230">
            <w:pPr>
              <w:pStyle w:val="Size10"/>
              <w:rPr>
                <w:noProof/>
              </w:rPr>
            </w:pPr>
            <w:r w:rsidRPr="003B11BD">
              <w:rPr>
                <w:noProof/>
              </w:rPr>
              <w:t>Less relevant</w:t>
            </w:r>
          </w:p>
        </w:tc>
        <w:tc>
          <w:tcPr>
            <w:tcW w:w="7229" w:type="dxa"/>
            <w:shd w:val="clear" w:color="auto" w:fill="F2F2F2" w:themeFill="background1" w:themeFillShade="F2"/>
          </w:tcPr>
          <w:p w14:paraId="66A5E4D3" w14:textId="28DD7739" w:rsidR="005048C9" w:rsidRPr="003B11BD" w:rsidRDefault="005048C9" w:rsidP="00F03230">
            <w:pPr>
              <w:pStyle w:val="Size10"/>
              <w:rPr>
                <w:noProof/>
              </w:rPr>
            </w:pPr>
            <w:r w:rsidRPr="003B11BD">
              <w:rPr>
                <w:noProof/>
              </w:rPr>
              <w:t>The initiative aims at the free movement of capital.</w:t>
            </w:r>
          </w:p>
        </w:tc>
      </w:tr>
    </w:tbl>
    <w:p w14:paraId="38D9BB43" w14:textId="432B9E6C" w:rsidR="000D1620" w:rsidRPr="003B11BD" w:rsidRDefault="000D1620" w:rsidP="59F2F534">
      <w:pPr>
        <w:rPr>
          <w:i/>
          <w:iCs/>
          <w:noProof/>
          <w:sz w:val="18"/>
          <w:szCs w:val="18"/>
          <w:lang w:val="en-IE"/>
        </w:rPr>
      </w:pPr>
    </w:p>
    <w:p w14:paraId="7B696FAB" w14:textId="741550D1" w:rsidR="000D1620" w:rsidRPr="003B11BD" w:rsidRDefault="002D056F" w:rsidP="00914368">
      <w:pPr>
        <w:pStyle w:val="Style1"/>
        <w:rPr>
          <w:noProof/>
        </w:rPr>
      </w:pPr>
      <w:r w:rsidRPr="003B11BD">
        <w:rPr>
          <w:noProof/>
        </w:rPr>
        <w:t>Exemplary crisis definition</w:t>
      </w:r>
    </w:p>
    <w:p w14:paraId="4E5906D7" w14:textId="5E344BE8" w:rsidR="002D056F" w:rsidRPr="003B11BD" w:rsidRDefault="002D056F">
      <w:pPr>
        <w:rPr>
          <w:noProof/>
          <w:lang w:val="en-IE"/>
        </w:rPr>
      </w:pPr>
      <w:r w:rsidRPr="003B11BD">
        <w:rPr>
          <w:noProof/>
          <w:lang w:val="en-IE"/>
        </w:rPr>
        <w:t>As far as the crisis definition used in other initiatives is concerned, an overview of the most pertinent ones is provided below:</w:t>
      </w:r>
    </w:p>
    <w:p w14:paraId="1750EF08" w14:textId="5839183D" w:rsidR="002D056F" w:rsidRPr="003B11BD" w:rsidRDefault="002D056F" w:rsidP="00914368">
      <w:pPr>
        <w:pStyle w:val="Caption"/>
        <w:rPr>
          <w:noProof/>
          <w:lang w:val="en-IE"/>
        </w:rPr>
      </w:pPr>
      <w:r w:rsidRPr="003B11BD">
        <w:rPr>
          <w:noProof/>
          <w:lang w:val="en-IE"/>
        </w:rPr>
        <w:t xml:space="preserve">Table </w:t>
      </w:r>
      <w:r w:rsidR="00C6592A">
        <w:rPr>
          <w:noProof/>
          <w:lang w:val="en-IE"/>
        </w:rPr>
        <w:t>23</w:t>
      </w:r>
      <w:r w:rsidRPr="003B11BD">
        <w:rPr>
          <w:noProof/>
          <w:lang w:val="en-IE"/>
        </w:rPr>
        <w:t>: The definition of crisis in other existing and upcoming Emergency Instruments and Responses</w:t>
      </w:r>
      <w:r w:rsidR="005F1CE9" w:rsidRPr="003B11BD">
        <w:rPr>
          <w:noProof/>
          <w:lang w:val="en-IE"/>
        </w:rPr>
        <w:t xml:space="preserve"> – selected examples</w:t>
      </w:r>
    </w:p>
    <w:tbl>
      <w:tblPr>
        <w:tblStyle w:val="TableGrid"/>
        <w:tblW w:w="0" w:type="auto"/>
        <w:tblLook w:val="04A0" w:firstRow="1" w:lastRow="0" w:firstColumn="1" w:lastColumn="0" w:noHBand="0" w:noVBand="1"/>
      </w:tblPr>
      <w:tblGrid>
        <w:gridCol w:w="2235"/>
        <w:gridCol w:w="12048"/>
      </w:tblGrid>
      <w:tr w:rsidR="002D056F" w:rsidRPr="003B11BD" w14:paraId="16F10649" w14:textId="77777777" w:rsidTr="44CE0017">
        <w:tc>
          <w:tcPr>
            <w:tcW w:w="2235" w:type="dxa"/>
          </w:tcPr>
          <w:p w14:paraId="0C617F67" w14:textId="678B895F" w:rsidR="002D056F" w:rsidRPr="003B11BD" w:rsidRDefault="002D056F" w:rsidP="00F03230">
            <w:pPr>
              <w:pStyle w:val="Size10"/>
              <w:rPr>
                <w:noProof/>
              </w:rPr>
            </w:pPr>
            <w:r w:rsidRPr="003B11BD">
              <w:rPr>
                <w:noProof/>
              </w:rPr>
              <w:t>Instrument</w:t>
            </w:r>
          </w:p>
        </w:tc>
        <w:tc>
          <w:tcPr>
            <w:tcW w:w="12048" w:type="dxa"/>
          </w:tcPr>
          <w:p w14:paraId="13614DC4" w14:textId="30E1ED79" w:rsidR="002D056F" w:rsidRPr="003B11BD" w:rsidRDefault="002D056F" w:rsidP="00F03230">
            <w:pPr>
              <w:pStyle w:val="Size10"/>
              <w:rPr>
                <w:noProof/>
              </w:rPr>
            </w:pPr>
            <w:r w:rsidRPr="003B11BD">
              <w:rPr>
                <w:noProof/>
              </w:rPr>
              <w:t>Crisis definition</w:t>
            </w:r>
          </w:p>
        </w:tc>
      </w:tr>
      <w:tr w:rsidR="002D056F" w:rsidRPr="003B11BD" w14:paraId="74F5D766" w14:textId="77777777" w:rsidTr="44CE0017">
        <w:tc>
          <w:tcPr>
            <w:tcW w:w="2235" w:type="dxa"/>
          </w:tcPr>
          <w:p w14:paraId="378AED32" w14:textId="65C1327C" w:rsidR="002D056F" w:rsidRPr="003B11BD" w:rsidRDefault="005F1CE9" w:rsidP="00F03230">
            <w:pPr>
              <w:pStyle w:val="Size10"/>
              <w:rPr>
                <w:noProof/>
              </w:rPr>
            </w:pPr>
            <w:r w:rsidRPr="003B11BD">
              <w:rPr>
                <w:noProof/>
              </w:rPr>
              <w:t>Integrated Political Crisis Response (IPCR) Mechanism</w:t>
            </w:r>
          </w:p>
        </w:tc>
        <w:tc>
          <w:tcPr>
            <w:tcW w:w="12048" w:type="dxa"/>
          </w:tcPr>
          <w:p w14:paraId="3188A6AD" w14:textId="77777777" w:rsidR="005F1CE9" w:rsidRPr="003B11BD" w:rsidRDefault="005F1CE9" w:rsidP="00F03230">
            <w:pPr>
              <w:pStyle w:val="Size10"/>
              <w:rPr>
                <w:noProof/>
              </w:rPr>
            </w:pPr>
            <w:r w:rsidRPr="003B11BD">
              <w:rPr>
                <w:noProof/>
              </w:rPr>
              <w:t xml:space="preserve">Article 3(a)*: “‘Crisis’ means a situation of such a wide-ranging impact or political significance, that it requires timely policy coordination and response at Union political level”. </w:t>
            </w:r>
          </w:p>
          <w:p w14:paraId="5AB5D2E4" w14:textId="77777777" w:rsidR="005F1CE9" w:rsidRPr="003B11BD" w:rsidRDefault="005F1CE9" w:rsidP="00F03230">
            <w:pPr>
              <w:pStyle w:val="Size10"/>
              <w:rPr>
                <w:noProof/>
              </w:rPr>
            </w:pPr>
            <w:r w:rsidRPr="003B11BD">
              <w:rPr>
                <w:noProof/>
              </w:rPr>
              <w:t xml:space="preserve">2 Cumulative Elements: </w:t>
            </w:r>
          </w:p>
          <w:p w14:paraId="0C686AC5" w14:textId="77777777" w:rsidR="005F1CE9" w:rsidRPr="003B11BD" w:rsidRDefault="005F1CE9" w:rsidP="00F03230">
            <w:pPr>
              <w:pStyle w:val="Size10"/>
              <w:rPr>
                <w:noProof/>
              </w:rPr>
            </w:pPr>
            <w:r w:rsidRPr="003B11BD">
              <w:rPr>
                <w:noProof/>
              </w:rPr>
              <w:t>1)</w:t>
            </w:r>
            <w:r w:rsidRPr="003B11BD">
              <w:rPr>
                <w:noProof/>
              </w:rPr>
              <w:tab/>
              <w:t xml:space="preserve">Wide-ranging impact or political significance </w:t>
            </w:r>
          </w:p>
          <w:p w14:paraId="1CD4B74C" w14:textId="77777777" w:rsidR="005F1CE9" w:rsidRPr="003B11BD" w:rsidRDefault="005F1CE9" w:rsidP="00F03230">
            <w:pPr>
              <w:pStyle w:val="Size10"/>
              <w:rPr>
                <w:noProof/>
              </w:rPr>
            </w:pPr>
            <w:r w:rsidRPr="003B11BD">
              <w:rPr>
                <w:noProof/>
              </w:rPr>
              <w:t xml:space="preserve">+ </w:t>
            </w:r>
          </w:p>
          <w:p w14:paraId="418AAA90" w14:textId="45C6E85C" w:rsidR="002D056F" w:rsidRPr="003B11BD" w:rsidRDefault="005F1CE9" w:rsidP="00F03230">
            <w:pPr>
              <w:pStyle w:val="Size10"/>
              <w:rPr>
                <w:noProof/>
              </w:rPr>
            </w:pPr>
            <w:r w:rsidRPr="003B11BD">
              <w:rPr>
                <w:noProof/>
              </w:rPr>
              <w:t>2)</w:t>
            </w:r>
            <w:r w:rsidRPr="003B11BD">
              <w:rPr>
                <w:noProof/>
              </w:rPr>
              <w:tab/>
              <w:t>Requirement of timely policy coordination &amp; response at Union level</w:t>
            </w:r>
          </w:p>
          <w:p w14:paraId="3BF0D41A" w14:textId="103B0600" w:rsidR="002D056F" w:rsidRPr="003B11BD" w:rsidRDefault="002D056F" w:rsidP="00F03230">
            <w:pPr>
              <w:pStyle w:val="Size10"/>
              <w:rPr>
                <w:noProof/>
              </w:rPr>
            </w:pPr>
          </w:p>
          <w:p w14:paraId="0774EE6B" w14:textId="77777777" w:rsidR="002D056F" w:rsidRPr="003B11BD" w:rsidRDefault="4023820D" w:rsidP="00F03230">
            <w:pPr>
              <w:pStyle w:val="Size10"/>
              <w:rPr>
                <w:noProof/>
              </w:rPr>
            </w:pPr>
            <w:r w:rsidRPr="003B11BD">
              <w:rPr>
                <w:noProof/>
              </w:rPr>
              <w:t>*Council Implementing Decision (EU) 2018/1993 of 11 December 2018 on the EU Integrated Political Crisis Response Arrangements L 320/28]</w:t>
            </w:r>
          </w:p>
          <w:p w14:paraId="67BA665C" w14:textId="467B68EC" w:rsidR="00BB0C2C" w:rsidRPr="003B11BD" w:rsidRDefault="00BB0C2C" w:rsidP="00F03230">
            <w:pPr>
              <w:pStyle w:val="Size10"/>
              <w:rPr>
                <w:noProof/>
              </w:rPr>
            </w:pPr>
          </w:p>
        </w:tc>
      </w:tr>
      <w:tr w:rsidR="002D056F" w:rsidRPr="003B11BD" w14:paraId="5E6D60FC" w14:textId="77777777" w:rsidTr="44CE0017">
        <w:tc>
          <w:tcPr>
            <w:tcW w:w="2235" w:type="dxa"/>
          </w:tcPr>
          <w:p w14:paraId="16554730" w14:textId="0D4422A1" w:rsidR="002D056F" w:rsidRPr="003B11BD" w:rsidRDefault="005F1CE9" w:rsidP="00F03230">
            <w:pPr>
              <w:pStyle w:val="Size10"/>
              <w:rPr>
                <w:noProof/>
              </w:rPr>
            </w:pPr>
            <w:r w:rsidRPr="003B11BD">
              <w:rPr>
                <w:noProof/>
              </w:rPr>
              <w:t>European Health Union</w:t>
            </w:r>
          </w:p>
        </w:tc>
        <w:tc>
          <w:tcPr>
            <w:tcW w:w="12048" w:type="dxa"/>
          </w:tcPr>
          <w:p w14:paraId="43EF09D2" w14:textId="6BD278A7" w:rsidR="002D056F" w:rsidRPr="003B11BD" w:rsidRDefault="005F1CE9" w:rsidP="00F03230">
            <w:pPr>
              <w:pStyle w:val="Size10"/>
              <w:rPr>
                <w:noProof/>
              </w:rPr>
            </w:pPr>
            <w:r w:rsidRPr="003B11BD">
              <w:rPr>
                <w:noProof/>
              </w:rPr>
              <w:t>Public health emergency: Article 2(1)(e)*: in order for the Regulation to apply, the threats need to fall under the categories of serious cross-border threats to health set out in (a) – (d): threats of biological/ chemical/ environmental/ climate/ unknown origin.</w:t>
            </w:r>
          </w:p>
          <w:p w14:paraId="6E738FA0" w14:textId="6BD278A7" w:rsidR="526A756D" w:rsidRPr="003B11BD" w:rsidRDefault="526A756D" w:rsidP="00F03230">
            <w:pPr>
              <w:pStyle w:val="Size10"/>
              <w:rPr>
                <w:noProof/>
              </w:rPr>
            </w:pPr>
          </w:p>
          <w:p w14:paraId="1C5ED849" w14:textId="5CB73F59" w:rsidR="0475AD79" w:rsidRPr="003B11BD" w:rsidRDefault="0475AD79" w:rsidP="00F03230">
            <w:pPr>
              <w:pStyle w:val="Size10"/>
              <w:rPr>
                <w:noProof/>
              </w:rPr>
            </w:pPr>
            <w:r w:rsidRPr="003B11BD">
              <w:rPr>
                <w:noProof/>
              </w:rPr>
              <w:t>*</w:t>
            </w:r>
            <w:r w:rsidR="1ED48F9B" w:rsidRPr="003B11BD">
              <w:rPr>
                <w:noProof/>
              </w:rPr>
              <w:t>REGULATION (EU) 2022/2371 OF THE EUROPEAN PARLIAMENT AND OF THE COUNCIL</w:t>
            </w:r>
            <w:r w:rsidRPr="003B11BD">
              <w:rPr>
                <w:noProof/>
              </w:rPr>
              <w:t xml:space="preserve"> of </w:t>
            </w:r>
            <w:r w:rsidR="1ED48F9B" w:rsidRPr="003B11BD">
              <w:rPr>
                <w:noProof/>
              </w:rPr>
              <w:t>23 November 2022</w:t>
            </w:r>
            <w:r w:rsidRPr="003B11BD">
              <w:rPr>
                <w:noProof/>
              </w:rPr>
              <w:t xml:space="preserve"> on serious cross-border threats to health and repealing Decision No 1082/2013/EU</w:t>
            </w:r>
          </w:p>
          <w:p w14:paraId="6098BBE6" w14:textId="44C87465" w:rsidR="002D056F" w:rsidRPr="003B11BD" w:rsidRDefault="002D056F" w:rsidP="00F03230">
            <w:pPr>
              <w:pStyle w:val="Size10"/>
              <w:rPr>
                <w:noProof/>
              </w:rPr>
            </w:pPr>
          </w:p>
        </w:tc>
      </w:tr>
      <w:tr w:rsidR="002D056F" w:rsidRPr="003B11BD" w14:paraId="7289ADC6" w14:textId="77777777" w:rsidTr="44CE0017">
        <w:tc>
          <w:tcPr>
            <w:tcW w:w="2235" w:type="dxa"/>
          </w:tcPr>
          <w:p w14:paraId="47FD42E6" w14:textId="43C11621" w:rsidR="005F1CE9" w:rsidRPr="003B11BD" w:rsidRDefault="005F1CE9" w:rsidP="00F03230">
            <w:pPr>
              <w:pStyle w:val="Size10"/>
              <w:rPr>
                <w:noProof/>
              </w:rPr>
            </w:pPr>
            <w:r w:rsidRPr="003B11BD">
              <w:rPr>
                <w:noProof/>
              </w:rPr>
              <w:t>HERA</w:t>
            </w:r>
            <w:r w:rsidR="2C87B096" w:rsidRPr="003B11BD">
              <w:rPr>
                <w:noProof/>
              </w:rPr>
              <w:t xml:space="preserve"> and the Emergency Framework Regulation (EU) 2022/2372</w:t>
            </w:r>
          </w:p>
          <w:p w14:paraId="252E9C1C" w14:textId="77777777" w:rsidR="002D056F" w:rsidRPr="003B11BD" w:rsidRDefault="002D056F" w:rsidP="00F03230">
            <w:pPr>
              <w:pStyle w:val="Size10"/>
              <w:rPr>
                <w:noProof/>
              </w:rPr>
            </w:pPr>
          </w:p>
        </w:tc>
        <w:tc>
          <w:tcPr>
            <w:tcW w:w="12048" w:type="dxa"/>
          </w:tcPr>
          <w:p w14:paraId="68BA6279" w14:textId="2F230598" w:rsidR="005F1CE9" w:rsidRPr="003B11BD" w:rsidRDefault="005F1CE9" w:rsidP="00F03230">
            <w:pPr>
              <w:pStyle w:val="Size10"/>
              <w:rPr>
                <w:noProof/>
              </w:rPr>
            </w:pPr>
            <w:r w:rsidRPr="003B11BD">
              <w:rPr>
                <w:noProof/>
              </w:rPr>
              <w:t xml:space="preserve">Public health emergency: Article 2(2)*: “‘Public health emergency’ means a public health emergency at Union level recognised by the Commission in accordance with Article 23 of Regulation (EU) No…/…[the SCBTH Regulation”, i.e. Regulation (EU) No …/… of the European Parliament and of the Council of … on serious cross-border threats to health and repealing Decision No 1082/2013/EU]. </w:t>
            </w:r>
          </w:p>
          <w:p w14:paraId="4DBF7A30" w14:textId="6BD278A7" w:rsidR="002D056F" w:rsidRPr="003B11BD" w:rsidRDefault="005F1CE9" w:rsidP="00F03230">
            <w:pPr>
              <w:pStyle w:val="Size10"/>
              <w:rPr>
                <w:noProof/>
              </w:rPr>
            </w:pPr>
            <w:r w:rsidRPr="003B11BD">
              <w:rPr>
                <w:noProof/>
              </w:rPr>
              <w:t>“Europe needs to be better prepared to anticipate and address jointly the ongoing and increasing risks, not only of pandemics but also of man-made threats such as bioterrorism.”**</w:t>
            </w:r>
          </w:p>
          <w:p w14:paraId="58EF1A74" w14:textId="6BD278A7" w:rsidR="002D056F" w:rsidRPr="003B11BD" w:rsidRDefault="002D056F" w:rsidP="00F03230">
            <w:pPr>
              <w:pStyle w:val="Size10"/>
              <w:rPr>
                <w:noProof/>
              </w:rPr>
            </w:pPr>
          </w:p>
          <w:p w14:paraId="25399EC6" w14:textId="197C06BA" w:rsidR="002D056F" w:rsidRPr="003B11BD" w:rsidRDefault="283E3DC1" w:rsidP="00F03230">
            <w:pPr>
              <w:pStyle w:val="Size10"/>
              <w:rPr>
                <w:noProof/>
              </w:rPr>
            </w:pPr>
            <w:r w:rsidRPr="003B11BD">
              <w:rPr>
                <w:noProof/>
              </w:rPr>
              <w:t>*</w:t>
            </w:r>
            <w:r w:rsidR="214A61AD" w:rsidRPr="003B11BD">
              <w:rPr>
                <w:noProof/>
              </w:rPr>
              <w:t>REGULATION (EU) 2022/2371 OF THE EUROPEAN PARLIAMENT AND OF THE COUNCIL of 23 November 2022 on serious cross-border threats to health and repealing Decision No 1082/2013/EU</w:t>
            </w:r>
          </w:p>
          <w:p w14:paraId="0347A99E" w14:textId="04949000" w:rsidR="002D056F" w:rsidRPr="003B11BD" w:rsidRDefault="283E3DC1" w:rsidP="00F03230">
            <w:pPr>
              <w:pStyle w:val="Size10"/>
              <w:rPr>
                <w:noProof/>
              </w:rPr>
            </w:pPr>
            <w:r w:rsidRPr="003B11BD">
              <w:rPr>
                <w:noProof/>
              </w:rPr>
              <w:t>**Communication from the Commission to the European Parliament, the Council, the European Economic and Social Committee and the Committee of the Regions – Building a European Health Union: Reinforcing the EU’s resilience for cross-border health threats</w:t>
            </w:r>
          </w:p>
          <w:p w14:paraId="08279B9E" w14:textId="782DCFB5" w:rsidR="002D056F" w:rsidRPr="003B11BD" w:rsidRDefault="002D056F" w:rsidP="00F03230">
            <w:pPr>
              <w:pStyle w:val="Size10"/>
              <w:rPr>
                <w:noProof/>
              </w:rPr>
            </w:pPr>
          </w:p>
        </w:tc>
      </w:tr>
      <w:tr w:rsidR="005F1CE9" w:rsidRPr="003B11BD" w14:paraId="26D69521" w14:textId="77777777" w:rsidTr="44CE0017">
        <w:tc>
          <w:tcPr>
            <w:tcW w:w="2235" w:type="dxa"/>
          </w:tcPr>
          <w:p w14:paraId="7AE5FEF5" w14:textId="7CD614B1" w:rsidR="005F1CE9" w:rsidRPr="003B11BD" w:rsidRDefault="005F1CE9" w:rsidP="00F03230">
            <w:pPr>
              <w:pStyle w:val="Size10"/>
              <w:rPr>
                <w:noProof/>
              </w:rPr>
            </w:pPr>
            <w:r w:rsidRPr="003B11BD">
              <w:rPr>
                <w:noProof/>
              </w:rPr>
              <w:t>Union Civil Protection Mechanism (UCPM)</w:t>
            </w:r>
          </w:p>
        </w:tc>
        <w:tc>
          <w:tcPr>
            <w:tcW w:w="12048" w:type="dxa"/>
          </w:tcPr>
          <w:p w14:paraId="0D5535DE" w14:textId="77777777" w:rsidR="005F1CE9" w:rsidRPr="003B11BD" w:rsidRDefault="005F1CE9" w:rsidP="00F03230">
            <w:pPr>
              <w:pStyle w:val="Size10"/>
              <w:rPr>
                <w:noProof/>
              </w:rPr>
            </w:pPr>
            <w:r w:rsidRPr="003B11BD">
              <w:rPr>
                <w:noProof/>
              </w:rPr>
              <w:t>Disaster:</w:t>
            </w:r>
          </w:p>
          <w:p w14:paraId="19002C2A" w14:textId="77777777" w:rsidR="005F1CE9" w:rsidRPr="003B11BD" w:rsidRDefault="005F1CE9" w:rsidP="00F03230">
            <w:pPr>
              <w:pStyle w:val="Size10"/>
              <w:rPr>
                <w:noProof/>
              </w:rPr>
            </w:pPr>
            <w:r w:rsidRPr="003B11BD">
              <w:rPr>
                <w:noProof/>
              </w:rPr>
              <w:t>Article 4(1)*: "'Disaster' means any situation which has or may have a severe impact on people, the environment, or property, including cultural heritage".</w:t>
            </w:r>
          </w:p>
          <w:p w14:paraId="01A5C6B1" w14:textId="2CCC1CDB" w:rsidR="005F1CE9" w:rsidRPr="003B11BD" w:rsidRDefault="005F1CE9" w:rsidP="00F03230">
            <w:pPr>
              <w:pStyle w:val="Size10"/>
              <w:rPr>
                <w:noProof/>
              </w:rPr>
            </w:pPr>
            <w:r w:rsidRPr="003B11BD">
              <w:rPr>
                <w:noProof/>
              </w:rPr>
              <w:t>Scope/Triggering of civil protection mechanisms by – Article 1(2)*: “The protection to be ensured by the Union Mechanism shall cover primarily people, but also the environment and property, including cultural heritage, against all kinds of natural and man-made disasters, including the consequences of acts of terrorism, technological, radiological or environmental disasters, marine pollution, hydrogeological instability and acute health emergencies, occurring inside or outside the Union. In the case of the consequences of acts of terrorism or radiological disasters, the Union Mechanism may cover only preparedness and response actions.”</w:t>
            </w:r>
          </w:p>
          <w:p w14:paraId="2315A14B" w14:textId="6C960360" w:rsidR="005F1CE9" w:rsidRPr="003B11BD" w:rsidRDefault="005F1CE9" w:rsidP="00F03230">
            <w:pPr>
              <w:pStyle w:val="Size10"/>
              <w:rPr>
                <w:noProof/>
              </w:rPr>
            </w:pPr>
          </w:p>
          <w:p w14:paraId="2ACD0754" w14:textId="2ED3FFEF" w:rsidR="005F1CE9" w:rsidRPr="003B11BD" w:rsidRDefault="7F0211E0" w:rsidP="00F03230">
            <w:pPr>
              <w:pStyle w:val="Size10"/>
              <w:rPr>
                <w:noProof/>
              </w:rPr>
            </w:pPr>
            <w:r w:rsidRPr="003B11BD">
              <w:rPr>
                <w:noProof/>
              </w:rPr>
              <w:t>*Decision No 1313/2013/EU of the European Parliament and of the Council of 17 December 2013 on a Union Civil Protection Mechanism, latest amendment by Regulation (EU) 2021/836 of the European Parliament and of the Council of 20 May 2021</w:t>
            </w:r>
          </w:p>
          <w:p w14:paraId="6472E561" w14:textId="2ED3FFEF" w:rsidR="005F1CE9" w:rsidRPr="003B11BD" w:rsidRDefault="005F1CE9" w:rsidP="00F03230">
            <w:pPr>
              <w:pStyle w:val="Size10"/>
              <w:rPr>
                <w:noProof/>
              </w:rPr>
            </w:pPr>
          </w:p>
        </w:tc>
      </w:tr>
      <w:tr w:rsidR="005F1CE9" w:rsidRPr="003B11BD" w14:paraId="2F53F234" w14:textId="77777777" w:rsidTr="44CE0017">
        <w:tc>
          <w:tcPr>
            <w:tcW w:w="2235" w:type="dxa"/>
          </w:tcPr>
          <w:p w14:paraId="258B74AD" w14:textId="5CFDC533" w:rsidR="005F1CE9" w:rsidRPr="003B11BD" w:rsidRDefault="005F1CE9" w:rsidP="00F03230">
            <w:pPr>
              <w:pStyle w:val="Size10"/>
              <w:rPr>
                <w:noProof/>
              </w:rPr>
            </w:pPr>
            <w:r w:rsidRPr="003B11BD">
              <w:rPr>
                <w:noProof/>
              </w:rPr>
              <w:t>The Seveso Directive Technological Disaster Risk Reduction</w:t>
            </w:r>
          </w:p>
        </w:tc>
        <w:tc>
          <w:tcPr>
            <w:tcW w:w="12048" w:type="dxa"/>
          </w:tcPr>
          <w:p w14:paraId="1A1595C4" w14:textId="77777777" w:rsidR="005F1CE9" w:rsidRPr="003B11BD" w:rsidRDefault="005F1CE9" w:rsidP="00F03230">
            <w:pPr>
              <w:pStyle w:val="Size10"/>
              <w:rPr>
                <w:noProof/>
              </w:rPr>
            </w:pPr>
            <w:r w:rsidRPr="003B11BD">
              <w:rPr>
                <w:noProof/>
              </w:rPr>
              <w:t>Major accident:</w:t>
            </w:r>
          </w:p>
          <w:p w14:paraId="491F3840" w14:textId="77777777" w:rsidR="005F1CE9" w:rsidRPr="003B11BD" w:rsidRDefault="005F1CE9" w:rsidP="00F03230">
            <w:pPr>
              <w:pStyle w:val="Size10"/>
              <w:rPr>
                <w:noProof/>
              </w:rPr>
            </w:pPr>
            <w:r w:rsidRPr="003B11BD">
              <w:rPr>
                <w:noProof/>
              </w:rPr>
              <w:t>Article 3(13)*: “‘major accident’ means an occurrence such as a major emission, fire, or explosion resulting from uncontrolled developments in the course of the operation of any establishment covered by this Directive, and leading to serious danger to human health or the environment, immediate or delayed, inside or outside the establishment, and involving one or more dangerous substances”</w:t>
            </w:r>
          </w:p>
          <w:p w14:paraId="4DBDC3FE" w14:textId="77777777" w:rsidR="005F1CE9" w:rsidRPr="003B11BD" w:rsidRDefault="005F1CE9" w:rsidP="00F03230">
            <w:pPr>
              <w:pStyle w:val="Size10"/>
              <w:rPr>
                <w:noProof/>
              </w:rPr>
            </w:pPr>
          </w:p>
          <w:p w14:paraId="0414D1D3" w14:textId="77777777" w:rsidR="005F1CE9" w:rsidRPr="003B11BD" w:rsidRDefault="005F1CE9" w:rsidP="00F03230">
            <w:pPr>
              <w:pStyle w:val="Size10"/>
              <w:rPr>
                <w:noProof/>
              </w:rPr>
            </w:pPr>
            <w:r w:rsidRPr="003B11BD">
              <w:rPr>
                <w:noProof/>
              </w:rPr>
              <w:t>3 Cumulative Elements:</w:t>
            </w:r>
          </w:p>
          <w:p w14:paraId="2DC24A5E" w14:textId="77777777" w:rsidR="005F1CE9" w:rsidRPr="003B11BD" w:rsidRDefault="005F1CE9" w:rsidP="00F03230">
            <w:pPr>
              <w:pStyle w:val="Size10"/>
              <w:rPr>
                <w:noProof/>
              </w:rPr>
            </w:pPr>
            <w:r w:rsidRPr="003B11BD">
              <w:rPr>
                <w:noProof/>
              </w:rPr>
              <w:t>1)</w:t>
            </w:r>
            <w:r w:rsidRPr="003B11BD">
              <w:rPr>
                <w:noProof/>
              </w:rPr>
              <w:tab/>
              <w:t>Major emission, fire, or explosion resulting from uncontrolled developments in the course of the operation of an establishment</w:t>
            </w:r>
          </w:p>
          <w:p w14:paraId="11ABD344" w14:textId="77777777" w:rsidR="005F1CE9" w:rsidRPr="003B11BD" w:rsidRDefault="005F1CE9" w:rsidP="00F03230">
            <w:pPr>
              <w:pStyle w:val="Size10"/>
              <w:rPr>
                <w:noProof/>
              </w:rPr>
            </w:pPr>
            <w:r w:rsidRPr="003B11BD">
              <w:rPr>
                <w:noProof/>
              </w:rPr>
              <w:t>+</w:t>
            </w:r>
          </w:p>
          <w:p w14:paraId="07D48663" w14:textId="77777777" w:rsidR="005F1CE9" w:rsidRPr="003B11BD" w:rsidRDefault="005F1CE9" w:rsidP="00F03230">
            <w:pPr>
              <w:pStyle w:val="Size10"/>
              <w:rPr>
                <w:noProof/>
              </w:rPr>
            </w:pPr>
            <w:r w:rsidRPr="003B11BD">
              <w:rPr>
                <w:noProof/>
              </w:rPr>
              <w:t>2)</w:t>
            </w:r>
            <w:r w:rsidRPr="003B11BD">
              <w:rPr>
                <w:noProof/>
              </w:rPr>
              <w:tab/>
              <w:t>Leading to serious danger to human health or the environment</w:t>
            </w:r>
          </w:p>
          <w:p w14:paraId="7F343DA8" w14:textId="77777777" w:rsidR="005F1CE9" w:rsidRPr="003B11BD" w:rsidRDefault="005F1CE9" w:rsidP="00F03230">
            <w:pPr>
              <w:pStyle w:val="Size10"/>
              <w:rPr>
                <w:noProof/>
              </w:rPr>
            </w:pPr>
            <w:r w:rsidRPr="003B11BD">
              <w:rPr>
                <w:noProof/>
              </w:rPr>
              <w:t>+</w:t>
            </w:r>
          </w:p>
          <w:p w14:paraId="7309350E" w14:textId="2ED3FFEF" w:rsidR="005F1CE9" w:rsidRPr="003B11BD" w:rsidRDefault="005F1CE9" w:rsidP="00F03230">
            <w:pPr>
              <w:pStyle w:val="Size10"/>
              <w:rPr>
                <w:noProof/>
              </w:rPr>
            </w:pPr>
            <w:r w:rsidRPr="003B11BD">
              <w:rPr>
                <w:noProof/>
              </w:rPr>
              <w:t>3)</w:t>
            </w:r>
            <w:r w:rsidRPr="003B11BD">
              <w:rPr>
                <w:noProof/>
              </w:rPr>
              <w:tab/>
              <w:t>Involving one or more dangerous substances</w:t>
            </w:r>
          </w:p>
          <w:p w14:paraId="7DC9836E" w14:textId="2ED3FFEF" w:rsidR="005F1CE9" w:rsidRPr="003B11BD" w:rsidRDefault="005F1CE9" w:rsidP="00F03230">
            <w:pPr>
              <w:pStyle w:val="Size10"/>
              <w:rPr>
                <w:noProof/>
              </w:rPr>
            </w:pPr>
          </w:p>
          <w:p w14:paraId="53566AA9" w14:textId="6032B8D7" w:rsidR="005F1CE9" w:rsidRPr="003B11BD" w:rsidRDefault="75D41A1B" w:rsidP="00F03230">
            <w:pPr>
              <w:pStyle w:val="Size10"/>
              <w:rPr>
                <w:noProof/>
              </w:rPr>
            </w:pPr>
            <w:r w:rsidRPr="003B11BD">
              <w:rPr>
                <w:noProof/>
              </w:rPr>
              <w:t>*Directive 2012/18/EU of the European Parliament and of the Council of 4 July 2012 on the control of major- accident hazards involving dangerous substances, amending and subsequently repealing Council Directive 96/82/EC</w:t>
            </w:r>
          </w:p>
          <w:p w14:paraId="7207C66B" w14:textId="2ED3FFEF" w:rsidR="005F1CE9" w:rsidRPr="003B11BD" w:rsidRDefault="005F1CE9" w:rsidP="00F03230">
            <w:pPr>
              <w:pStyle w:val="Size10"/>
              <w:rPr>
                <w:noProof/>
              </w:rPr>
            </w:pPr>
          </w:p>
        </w:tc>
      </w:tr>
      <w:tr w:rsidR="005F1CE9" w:rsidRPr="003B11BD" w14:paraId="02FF8E65" w14:textId="77777777" w:rsidTr="44CE0017">
        <w:tc>
          <w:tcPr>
            <w:tcW w:w="2235" w:type="dxa"/>
          </w:tcPr>
          <w:p w14:paraId="488AAB24" w14:textId="77777777" w:rsidR="005F1CE9" w:rsidRPr="003B11BD" w:rsidRDefault="005F1CE9" w:rsidP="00F03230">
            <w:pPr>
              <w:pStyle w:val="Size10"/>
              <w:rPr>
                <w:noProof/>
              </w:rPr>
            </w:pPr>
            <w:r w:rsidRPr="003B11BD">
              <w:rPr>
                <w:noProof/>
              </w:rPr>
              <w:t>Emergency Support</w:t>
            </w:r>
          </w:p>
          <w:p w14:paraId="079248E0" w14:textId="0AD4583A" w:rsidR="005F1CE9" w:rsidRPr="003B11BD" w:rsidRDefault="005F1CE9" w:rsidP="00F03230">
            <w:pPr>
              <w:pStyle w:val="Size10"/>
              <w:rPr>
                <w:noProof/>
              </w:rPr>
            </w:pPr>
            <w:r w:rsidRPr="003B11BD">
              <w:rPr>
                <w:noProof/>
              </w:rPr>
              <w:t>Instrument</w:t>
            </w:r>
          </w:p>
        </w:tc>
        <w:tc>
          <w:tcPr>
            <w:tcW w:w="12048" w:type="dxa"/>
          </w:tcPr>
          <w:p w14:paraId="67BC66F4" w14:textId="77777777" w:rsidR="005F1CE9" w:rsidRPr="003B11BD" w:rsidRDefault="005F1CE9" w:rsidP="00F03230">
            <w:pPr>
              <w:pStyle w:val="Size10"/>
              <w:rPr>
                <w:noProof/>
              </w:rPr>
            </w:pPr>
            <w:r w:rsidRPr="003B11BD">
              <w:rPr>
                <w:noProof/>
              </w:rPr>
              <w:t xml:space="preserve">Ongoing or potential natural or man-made disaster: </w:t>
            </w:r>
          </w:p>
          <w:p w14:paraId="1EEEC75B" w14:textId="0D744E94" w:rsidR="005F1CE9" w:rsidRPr="003B11BD" w:rsidRDefault="005F1CE9" w:rsidP="00F03230">
            <w:pPr>
              <w:pStyle w:val="Size10"/>
              <w:rPr>
                <w:noProof/>
              </w:rPr>
            </w:pPr>
            <w:r w:rsidRPr="003B11BD">
              <w:rPr>
                <w:noProof/>
              </w:rPr>
              <w:t>Article 1(1)*: Measures have to be “appropriate to the economic situation in the event of an ongoing or potential natural or man-made disaster. Such emergency support can only be provided where the exceptional scale and impact of the disaster is such that it gives rises to severe wide-ranging humanitarian consequences in one or more Member States and only in exceptional circumstances where no other instrument available to Member States and to the Union is sufficient.”</w:t>
            </w:r>
          </w:p>
          <w:p w14:paraId="795A58A2" w14:textId="77777777" w:rsidR="005F1CE9" w:rsidRPr="003B11BD" w:rsidRDefault="005F1CE9" w:rsidP="00F03230">
            <w:pPr>
              <w:pStyle w:val="Size10"/>
              <w:rPr>
                <w:noProof/>
              </w:rPr>
            </w:pPr>
          </w:p>
          <w:p w14:paraId="1A07431A" w14:textId="77777777" w:rsidR="005F1CE9" w:rsidRPr="003B11BD" w:rsidRDefault="005F1CE9" w:rsidP="00F03230">
            <w:pPr>
              <w:pStyle w:val="Size10"/>
              <w:rPr>
                <w:noProof/>
              </w:rPr>
            </w:pPr>
            <w:r w:rsidRPr="003B11BD">
              <w:rPr>
                <w:noProof/>
              </w:rPr>
              <w:t>3 Cumulative Elements:</w:t>
            </w:r>
          </w:p>
          <w:p w14:paraId="23A606DA" w14:textId="77777777" w:rsidR="005F1CE9" w:rsidRPr="003B11BD" w:rsidRDefault="005F1CE9" w:rsidP="00F03230">
            <w:pPr>
              <w:pStyle w:val="Size10"/>
              <w:rPr>
                <w:noProof/>
              </w:rPr>
            </w:pPr>
            <w:r w:rsidRPr="003B11BD">
              <w:rPr>
                <w:noProof/>
              </w:rPr>
              <w:t>1) An ongoing or potential natural or man-made disaster”</w:t>
            </w:r>
          </w:p>
          <w:p w14:paraId="33619AD5" w14:textId="77777777" w:rsidR="005F1CE9" w:rsidRPr="003B11BD" w:rsidRDefault="005F1CE9" w:rsidP="00F03230">
            <w:pPr>
              <w:pStyle w:val="Size10"/>
              <w:rPr>
                <w:noProof/>
              </w:rPr>
            </w:pPr>
            <w:r w:rsidRPr="003B11BD">
              <w:rPr>
                <w:noProof/>
              </w:rPr>
              <w:t>+</w:t>
            </w:r>
          </w:p>
          <w:p w14:paraId="427DBBB7" w14:textId="4FEC5109" w:rsidR="005F1CE9" w:rsidRPr="003B11BD" w:rsidRDefault="005F1CE9" w:rsidP="00F03230">
            <w:pPr>
              <w:pStyle w:val="Size10"/>
              <w:rPr>
                <w:noProof/>
              </w:rPr>
            </w:pPr>
            <w:r w:rsidRPr="003B11BD">
              <w:rPr>
                <w:noProof/>
              </w:rPr>
              <w:t>2) Exceptional scale and impact of the disaster is such that it gives rises to severe wide-ranging humanitarian consequences in one or</w:t>
            </w:r>
          </w:p>
          <w:p w14:paraId="6C972941" w14:textId="77777777" w:rsidR="005F1CE9" w:rsidRPr="003B11BD" w:rsidRDefault="005F1CE9" w:rsidP="00F03230">
            <w:pPr>
              <w:pStyle w:val="Size10"/>
              <w:rPr>
                <w:noProof/>
              </w:rPr>
            </w:pPr>
            <w:r w:rsidRPr="003B11BD">
              <w:rPr>
                <w:noProof/>
              </w:rPr>
              <w:t>more Member States</w:t>
            </w:r>
          </w:p>
          <w:p w14:paraId="7E169147" w14:textId="77777777" w:rsidR="005F1CE9" w:rsidRPr="003B11BD" w:rsidRDefault="005F1CE9" w:rsidP="00F03230">
            <w:pPr>
              <w:pStyle w:val="Size10"/>
              <w:rPr>
                <w:noProof/>
              </w:rPr>
            </w:pPr>
            <w:r w:rsidRPr="003B11BD">
              <w:rPr>
                <w:noProof/>
              </w:rPr>
              <w:t>+</w:t>
            </w:r>
          </w:p>
          <w:p w14:paraId="067B8793" w14:textId="2811B3D3" w:rsidR="005F1CE9" w:rsidRPr="003B11BD" w:rsidRDefault="005F1CE9" w:rsidP="00F03230">
            <w:pPr>
              <w:pStyle w:val="Size10"/>
              <w:rPr>
                <w:noProof/>
              </w:rPr>
            </w:pPr>
            <w:r w:rsidRPr="003B11BD">
              <w:rPr>
                <w:noProof/>
              </w:rPr>
              <w:t>3) No other instrument available to Member States and to the Union is sufficient.</w:t>
            </w:r>
          </w:p>
          <w:p w14:paraId="71EDCC71" w14:textId="2811B3D3" w:rsidR="005F1CE9" w:rsidRPr="003B11BD" w:rsidRDefault="005F1CE9" w:rsidP="00F03230">
            <w:pPr>
              <w:pStyle w:val="Size10"/>
              <w:rPr>
                <w:noProof/>
              </w:rPr>
            </w:pPr>
          </w:p>
          <w:p w14:paraId="3AC9E9F7" w14:textId="0B03151C" w:rsidR="005F1CE9" w:rsidRPr="003B11BD" w:rsidRDefault="211162BE" w:rsidP="00F03230">
            <w:pPr>
              <w:pStyle w:val="Size10"/>
              <w:rPr>
                <w:noProof/>
              </w:rPr>
            </w:pPr>
            <w:r w:rsidRPr="003B11BD">
              <w:rPr>
                <w:noProof/>
              </w:rPr>
              <w:t>*Council Regulation (EU) 2016/369 of 15 March 2016 on the provision of emergency support within the Union as amended by Council Regulation (EU) 2020/521 of 14 April 2020 activating the emergency support under Regulation (EU) 2016/369, and amending its provisions taking into account the COVID-19 outbreak</w:t>
            </w:r>
          </w:p>
          <w:p w14:paraId="120272EC" w14:textId="7FA96FE5" w:rsidR="005F1CE9" w:rsidRPr="003B11BD" w:rsidRDefault="005F1CE9" w:rsidP="00F03230">
            <w:pPr>
              <w:pStyle w:val="Size10"/>
              <w:rPr>
                <w:noProof/>
              </w:rPr>
            </w:pPr>
          </w:p>
        </w:tc>
      </w:tr>
      <w:tr w:rsidR="005F1CE9" w:rsidRPr="003B11BD" w14:paraId="036BCAAF" w14:textId="77777777" w:rsidTr="44CE0017">
        <w:tc>
          <w:tcPr>
            <w:tcW w:w="2235" w:type="dxa"/>
          </w:tcPr>
          <w:p w14:paraId="58C4B578" w14:textId="12C24907" w:rsidR="005F1CE9" w:rsidRPr="003B11BD" w:rsidRDefault="00F764C9" w:rsidP="00F03230">
            <w:pPr>
              <w:pStyle w:val="Size10"/>
              <w:rPr>
                <w:noProof/>
              </w:rPr>
            </w:pPr>
            <w:r w:rsidRPr="003B11BD">
              <w:rPr>
                <w:noProof/>
              </w:rPr>
              <w:t>SMEI</w:t>
            </w:r>
          </w:p>
        </w:tc>
        <w:tc>
          <w:tcPr>
            <w:tcW w:w="12048" w:type="dxa"/>
          </w:tcPr>
          <w:p w14:paraId="37AF81C7" w14:textId="13F39CC4" w:rsidR="00F764C9" w:rsidRPr="003B11BD" w:rsidRDefault="36548FD0" w:rsidP="00F03230">
            <w:pPr>
              <w:pStyle w:val="Size10"/>
              <w:rPr>
                <w:noProof/>
              </w:rPr>
            </w:pPr>
            <w:r w:rsidRPr="003B11BD">
              <w:rPr>
                <w:noProof/>
              </w:rPr>
              <w:t xml:space="preserve">‘Crisis’ Article </w:t>
            </w:r>
            <w:r w:rsidR="3B2D2A4A" w:rsidRPr="003B11BD">
              <w:rPr>
                <w:noProof/>
              </w:rPr>
              <w:t>3</w:t>
            </w:r>
            <w:r w:rsidRPr="003B11BD">
              <w:rPr>
                <w:noProof/>
              </w:rPr>
              <w:t xml:space="preserve"> (1)*: </w:t>
            </w:r>
            <w:r w:rsidR="37166D70" w:rsidRPr="003B11BD">
              <w:rPr>
                <w:noProof/>
              </w:rPr>
              <w:t>means an exceptional unexpected and sudden, natural or man-made event of extraordinary nature and scale that takes place inside or outside of the Union</w:t>
            </w:r>
            <w:r w:rsidRPr="003B11BD">
              <w:rPr>
                <w:noProof/>
              </w:rPr>
              <w:t>.</w:t>
            </w:r>
          </w:p>
          <w:p w14:paraId="56AB4B79" w14:textId="77777777" w:rsidR="00F764C9" w:rsidRPr="003B11BD" w:rsidRDefault="00F764C9" w:rsidP="00F03230">
            <w:pPr>
              <w:pStyle w:val="Size10"/>
              <w:rPr>
                <w:noProof/>
              </w:rPr>
            </w:pPr>
            <w:r w:rsidRPr="003B11BD">
              <w:rPr>
                <w:noProof/>
              </w:rPr>
              <w:t>In principle SMEI provides for a two-stage mechanism:</w:t>
            </w:r>
          </w:p>
          <w:p w14:paraId="0A1D8CA9" w14:textId="17951A65" w:rsidR="00F764C9" w:rsidRPr="003B11BD" w:rsidRDefault="36548FD0" w:rsidP="00F03230">
            <w:pPr>
              <w:pStyle w:val="Size10"/>
              <w:rPr>
                <w:noProof/>
              </w:rPr>
            </w:pPr>
            <w:r w:rsidRPr="003B11BD">
              <w:rPr>
                <w:noProof/>
              </w:rPr>
              <w:t>1.</w:t>
            </w:r>
            <w:r w:rsidR="00F764C9" w:rsidRPr="003B11BD">
              <w:rPr>
                <w:noProof/>
              </w:rPr>
              <w:tab/>
            </w:r>
            <w:r w:rsidR="00D43F3F" w:rsidRPr="003B11BD">
              <w:rPr>
                <w:noProof/>
              </w:rPr>
              <w:t>Single Market</w:t>
            </w:r>
            <w:r w:rsidRPr="003B11BD">
              <w:rPr>
                <w:noProof/>
              </w:rPr>
              <w:t xml:space="preserve"> vigilance mode </w:t>
            </w:r>
            <w:r w:rsidR="2FD72A70" w:rsidRPr="003B11BD">
              <w:rPr>
                <w:noProof/>
              </w:rPr>
              <w:t>means a framework for addressing a threat of significant disruption of the supply of goods and services of strategic importance and which has the potential to escalate into a Single Market emergency within the next six months (Article 3 (2)*).</w:t>
            </w:r>
          </w:p>
          <w:p w14:paraId="297A06DA" w14:textId="481883A1" w:rsidR="005F1CE9" w:rsidRPr="003B11BD" w:rsidRDefault="36548FD0" w:rsidP="00F03230">
            <w:pPr>
              <w:pStyle w:val="Size10"/>
              <w:rPr>
                <w:noProof/>
              </w:rPr>
            </w:pPr>
            <w:r w:rsidRPr="003B11BD">
              <w:rPr>
                <w:noProof/>
              </w:rPr>
              <w:t>2.</w:t>
            </w:r>
            <w:r w:rsidR="00F764C9" w:rsidRPr="003B11BD">
              <w:rPr>
                <w:noProof/>
              </w:rPr>
              <w:tab/>
            </w:r>
            <w:r w:rsidRPr="003B11BD">
              <w:rPr>
                <w:noProof/>
              </w:rPr>
              <w:t xml:space="preserve">The </w:t>
            </w:r>
            <w:r w:rsidR="00D43F3F" w:rsidRPr="003B11BD">
              <w:rPr>
                <w:noProof/>
              </w:rPr>
              <w:t>Single Market</w:t>
            </w:r>
            <w:r w:rsidRPr="003B11BD">
              <w:rPr>
                <w:noProof/>
              </w:rPr>
              <w:t xml:space="preserve"> emergency </w:t>
            </w:r>
            <w:r w:rsidR="4116BEEA" w:rsidRPr="003B11BD">
              <w:rPr>
                <w:noProof/>
              </w:rPr>
              <w:t>means a wide-ranging impact of a crisis on the Single Market that severely disrupts the free movement on the Single Market or the functioning of the supply chains that are indispensable in the maintenance of vital societal or economic activities in the Single Market (Article 3 (3)*).</w:t>
            </w:r>
          </w:p>
          <w:p w14:paraId="049DBA2F" w14:textId="4181E9E7" w:rsidR="005F1CE9" w:rsidRPr="003B11BD" w:rsidRDefault="005F1CE9" w:rsidP="00F03230">
            <w:pPr>
              <w:pStyle w:val="Size10"/>
              <w:rPr>
                <w:noProof/>
              </w:rPr>
            </w:pPr>
          </w:p>
          <w:p w14:paraId="48A4D5E7" w14:textId="05F5B032" w:rsidR="005F1CE9" w:rsidRPr="003B11BD" w:rsidRDefault="3318C28D" w:rsidP="00F03230">
            <w:pPr>
              <w:pStyle w:val="Size10"/>
              <w:rPr>
                <w:noProof/>
              </w:rPr>
            </w:pPr>
            <w:r w:rsidRPr="003B11BD">
              <w:rPr>
                <w:noProof/>
              </w:rPr>
              <w:t>*Proposal for a Regulation</w:t>
            </w:r>
            <w:r w:rsidR="679AAC39" w:rsidRPr="003B11BD">
              <w:rPr>
                <w:noProof/>
              </w:rPr>
              <w:t xml:space="preserve"> of the European Parliament and the Council establishing a Single Market emergency instrument and repealing Council Regulation No (EC) 2679/98</w:t>
            </w:r>
          </w:p>
          <w:p w14:paraId="0D72AD37" w14:textId="36AFDFAF" w:rsidR="005F1CE9" w:rsidRPr="003B11BD" w:rsidRDefault="005F1CE9" w:rsidP="00F03230">
            <w:pPr>
              <w:pStyle w:val="Size10"/>
              <w:rPr>
                <w:noProof/>
              </w:rPr>
            </w:pPr>
          </w:p>
        </w:tc>
      </w:tr>
      <w:tr w:rsidR="00F764C9" w:rsidRPr="003B11BD" w14:paraId="3A0EF873" w14:textId="77777777" w:rsidTr="44CE0017">
        <w:tc>
          <w:tcPr>
            <w:tcW w:w="2235" w:type="dxa"/>
          </w:tcPr>
          <w:p w14:paraId="4FC4029E" w14:textId="2578134B" w:rsidR="00F764C9" w:rsidRPr="003B11BD" w:rsidRDefault="38214EBE" w:rsidP="00F03230">
            <w:pPr>
              <w:pStyle w:val="Size10"/>
              <w:rPr>
                <w:noProof/>
              </w:rPr>
            </w:pPr>
            <w:r w:rsidRPr="003B11BD">
              <w:rPr>
                <w:noProof/>
              </w:rPr>
              <w:t>Chips Act</w:t>
            </w:r>
          </w:p>
        </w:tc>
        <w:tc>
          <w:tcPr>
            <w:tcW w:w="12048" w:type="dxa"/>
          </w:tcPr>
          <w:p w14:paraId="60DAFD3B" w14:textId="4283DFD6" w:rsidR="00F764C9" w:rsidRPr="003B11BD" w:rsidRDefault="7EBF1E6B" w:rsidP="00F03230">
            <w:pPr>
              <w:pStyle w:val="Size10"/>
              <w:rPr>
                <w:noProof/>
              </w:rPr>
            </w:pPr>
            <w:r w:rsidRPr="003B11BD">
              <w:rPr>
                <w:noProof/>
              </w:rPr>
              <w:t>Article 18* Activation of the crisis stage</w:t>
            </w:r>
          </w:p>
          <w:p w14:paraId="19E22B6C" w14:textId="4283DFD6" w:rsidR="00F764C9" w:rsidRPr="003B11BD" w:rsidRDefault="7EBF1E6B" w:rsidP="00F03230">
            <w:pPr>
              <w:pStyle w:val="Size10"/>
              <w:rPr>
                <w:noProof/>
              </w:rPr>
            </w:pPr>
            <w:r w:rsidRPr="003B11BD">
              <w:rPr>
                <w:noProof/>
              </w:rPr>
              <w:t>A semiconductor crisis shall be considered to occur when there are serious disruptions in the supply of semiconductors leading to significant shortages, which:</w:t>
            </w:r>
          </w:p>
          <w:p w14:paraId="7A9F1231" w14:textId="4283DFD6" w:rsidR="00F764C9" w:rsidRPr="003B11BD" w:rsidRDefault="7EBF1E6B" w:rsidP="00F03230">
            <w:pPr>
              <w:pStyle w:val="Size10"/>
              <w:rPr>
                <w:noProof/>
              </w:rPr>
            </w:pPr>
            <w:r w:rsidRPr="003B11BD">
              <w:rPr>
                <w:noProof/>
              </w:rPr>
              <w:t>entail significant delays or significant negative effects on one or more important economic sectors in the Union, or</w:t>
            </w:r>
          </w:p>
          <w:p w14:paraId="6DB1BDA6" w14:textId="4283DFD6" w:rsidR="00F764C9" w:rsidRPr="003B11BD" w:rsidRDefault="7EBF1E6B" w:rsidP="00F03230">
            <w:pPr>
              <w:pStyle w:val="Size10"/>
              <w:rPr>
                <w:noProof/>
              </w:rPr>
            </w:pPr>
            <w:r w:rsidRPr="003B11BD">
              <w:rPr>
                <w:noProof/>
              </w:rPr>
              <w:t>prevent the supply, repair and maintenance of essential products used by critical sectors.</w:t>
            </w:r>
          </w:p>
          <w:p w14:paraId="2C2EEEA8" w14:textId="7F70B81B" w:rsidR="532EDCFE" w:rsidRPr="003B11BD" w:rsidRDefault="532EDCFE" w:rsidP="00F03230">
            <w:pPr>
              <w:pStyle w:val="Size10"/>
              <w:rPr>
                <w:noProof/>
              </w:rPr>
            </w:pPr>
          </w:p>
          <w:p w14:paraId="029C1D87" w14:textId="1D88C2A8" w:rsidR="0CF4E72F" w:rsidRPr="003B11BD" w:rsidRDefault="0CF4E72F" w:rsidP="00F03230">
            <w:pPr>
              <w:pStyle w:val="Size10"/>
              <w:rPr>
                <w:noProof/>
              </w:rPr>
            </w:pPr>
            <w:r w:rsidRPr="003B11BD">
              <w:rPr>
                <w:noProof/>
              </w:rPr>
              <w:t>*Proposal for a Regulation establishing a framework of measures for strengthening Europe's semiconductor ecosystem (Chips Act)</w:t>
            </w:r>
          </w:p>
          <w:p w14:paraId="2DA55086" w14:textId="4283DFD6" w:rsidR="00F764C9" w:rsidRPr="003B11BD" w:rsidRDefault="00F764C9" w:rsidP="00F03230">
            <w:pPr>
              <w:pStyle w:val="Size10"/>
              <w:rPr>
                <w:noProof/>
              </w:rPr>
            </w:pPr>
          </w:p>
        </w:tc>
      </w:tr>
    </w:tbl>
    <w:p w14:paraId="50251008" w14:textId="06AC7148" w:rsidR="002D056F" w:rsidRPr="003B11BD" w:rsidRDefault="00BB0C2C" w:rsidP="00BB0C2C">
      <w:pPr>
        <w:pStyle w:val="Caption"/>
        <w:rPr>
          <w:noProof/>
          <w:lang w:val="en-IE"/>
        </w:rPr>
      </w:pPr>
      <w:r w:rsidRPr="003B11BD">
        <w:rPr>
          <w:noProof/>
          <w:lang w:val="en-IE"/>
        </w:rPr>
        <w:t xml:space="preserve">Note: based on </w:t>
      </w:r>
      <w:r w:rsidR="00240043" w:rsidRPr="003B11BD">
        <w:rPr>
          <w:noProof/>
          <w:lang w:val="en-IE"/>
        </w:rPr>
        <w:t>COMMISSION STAFF WORKING DOCUMENT Impact Assessment Report Accompanying the document REGULATION OF THE EUROPEAN PARLIAMENT AND OF THE COUNCIL for a Single Market Emergency Instrument Brussels, 19.9.2022 SWD(2022) 289 final, Register of Commission Documents - SWD(2022)289 (europa.eu)</w:t>
      </w:r>
    </w:p>
    <w:p w14:paraId="106E70FD" w14:textId="08303C59" w:rsidR="00914368" w:rsidRPr="003B11BD" w:rsidRDefault="00914368" w:rsidP="00914368">
      <w:pPr>
        <w:pStyle w:val="Caption"/>
        <w:rPr>
          <w:noProof/>
          <w:lang w:val="en-IE"/>
        </w:rPr>
      </w:pPr>
      <w:r w:rsidRPr="003B11BD">
        <w:rPr>
          <w:noProof/>
          <w:lang w:val="en-IE"/>
        </w:rPr>
        <w:t xml:space="preserve">Table </w:t>
      </w:r>
      <w:r w:rsidR="00C6592A">
        <w:rPr>
          <w:noProof/>
          <w:lang w:val="en-IE"/>
        </w:rPr>
        <w:t>24</w:t>
      </w:r>
      <w:r w:rsidRPr="003B11BD">
        <w:rPr>
          <w:noProof/>
          <w:lang w:val="en-IE"/>
        </w:rPr>
        <w:t>: The triggering and de-triggering of crisis instrument in other existing and/or upcoming Emergency Instruments and Responses – selected examples</w:t>
      </w:r>
    </w:p>
    <w:tbl>
      <w:tblPr>
        <w:tblStyle w:val="TableGrid"/>
        <w:tblW w:w="0" w:type="auto"/>
        <w:tblLook w:val="04A0" w:firstRow="1" w:lastRow="0" w:firstColumn="1" w:lastColumn="0" w:noHBand="0" w:noVBand="1"/>
      </w:tblPr>
      <w:tblGrid>
        <w:gridCol w:w="2235"/>
        <w:gridCol w:w="12048"/>
      </w:tblGrid>
      <w:tr w:rsidR="00914368" w:rsidRPr="003B11BD" w14:paraId="63DDDE82" w14:textId="77777777" w:rsidTr="44CE0017">
        <w:tc>
          <w:tcPr>
            <w:tcW w:w="2235" w:type="dxa"/>
          </w:tcPr>
          <w:p w14:paraId="77F1545A" w14:textId="77777777" w:rsidR="00914368" w:rsidRPr="003B11BD" w:rsidRDefault="00914368" w:rsidP="00F03230">
            <w:pPr>
              <w:pStyle w:val="Size10"/>
              <w:rPr>
                <w:noProof/>
              </w:rPr>
            </w:pPr>
            <w:r w:rsidRPr="003B11BD">
              <w:rPr>
                <w:noProof/>
              </w:rPr>
              <w:t>Instrument</w:t>
            </w:r>
          </w:p>
        </w:tc>
        <w:tc>
          <w:tcPr>
            <w:tcW w:w="12048" w:type="dxa"/>
          </w:tcPr>
          <w:p w14:paraId="003DF49D" w14:textId="6F101CE2" w:rsidR="00914368" w:rsidRPr="003B11BD" w:rsidRDefault="00914368" w:rsidP="00F03230">
            <w:pPr>
              <w:pStyle w:val="Size10"/>
              <w:rPr>
                <w:noProof/>
              </w:rPr>
            </w:pPr>
            <w:r w:rsidRPr="003B11BD">
              <w:rPr>
                <w:noProof/>
              </w:rPr>
              <w:t>Triggering and De-triggering</w:t>
            </w:r>
          </w:p>
        </w:tc>
      </w:tr>
      <w:tr w:rsidR="00914368" w:rsidRPr="003B11BD" w14:paraId="0C05C8EF" w14:textId="77777777" w:rsidTr="44CE0017">
        <w:tc>
          <w:tcPr>
            <w:tcW w:w="2235" w:type="dxa"/>
          </w:tcPr>
          <w:p w14:paraId="6EF8B32A" w14:textId="77777777" w:rsidR="00914368" w:rsidRPr="003B11BD" w:rsidRDefault="00914368" w:rsidP="00F03230">
            <w:pPr>
              <w:pStyle w:val="Size10"/>
              <w:rPr>
                <w:noProof/>
              </w:rPr>
            </w:pPr>
            <w:r w:rsidRPr="003B11BD">
              <w:rPr>
                <w:noProof/>
              </w:rPr>
              <w:t>Integrated Political Crisis Response (IPCR) Mechanism</w:t>
            </w:r>
          </w:p>
          <w:p w14:paraId="51AE1943" w14:textId="388A0709" w:rsidR="00914368" w:rsidRPr="003B11BD" w:rsidRDefault="00914368" w:rsidP="00F03230">
            <w:pPr>
              <w:pStyle w:val="Size10"/>
              <w:rPr>
                <w:noProof/>
              </w:rPr>
            </w:pPr>
          </w:p>
        </w:tc>
        <w:tc>
          <w:tcPr>
            <w:tcW w:w="12048" w:type="dxa"/>
          </w:tcPr>
          <w:p w14:paraId="0CEB0E54" w14:textId="5A770D29" w:rsidR="00914368" w:rsidRPr="003B11BD" w:rsidRDefault="02097B5E" w:rsidP="00F03230">
            <w:pPr>
              <w:pStyle w:val="Size10"/>
              <w:rPr>
                <w:noProof/>
              </w:rPr>
            </w:pPr>
            <w:r w:rsidRPr="003B11BD">
              <w:rPr>
                <w:noProof/>
              </w:rPr>
              <w:t xml:space="preserve">Two Modes: </w:t>
            </w:r>
          </w:p>
          <w:p w14:paraId="37968B4F" w14:textId="058B667A" w:rsidR="00914368" w:rsidRPr="003B11BD" w:rsidRDefault="02097B5E" w:rsidP="00F03230">
            <w:pPr>
              <w:pStyle w:val="Size10"/>
              <w:rPr>
                <w:noProof/>
              </w:rPr>
            </w:pPr>
            <w:r w:rsidRPr="003B11BD">
              <w:rPr>
                <w:noProof/>
              </w:rPr>
              <w:t xml:space="preserve">(Article 2(1)(2),(b)):* </w:t>
            </w:r>
          </w:p>
          <w:p w14:paraId="1EAAB49F" w14:textId="09DD6992" w:rsidR="00914368" w:rsidRPr="003B11BD" w:rsidRDefault="02097B5E" w:rsidP="00F03230">
            <w:pPr>
              <w:pStyle w:val="Size10"/>
              <w:numPr>
                <w:ilvl w:val="0"/>
                <w:numId w:val="239"/>
              </w:numPr>
              <w:rPr>
                <w:noProof/>
              </w:rPr>
            </w:pPr>
            <w:r w:rsidRPr="003B11BD">
              <w:rPr>
                <w:noProof/>
              </w:rPr>
              <w:t>Information sharing mode (pre-stage) to establish the situation &amp; prepare for possible full activation</w:t>
            </w:r>
          </w:p>
          <w:p w14:paraId="64E04B3D" w14:textId="2E5F22A2" w:rsidR="00914368" w:rsidRPr="003B11BD" w:rsidRDefault="02097B5E" w:rsidP="00F03230">
            <w:pPr>
              <w:pStyle w:val="Size10"/>
              <w:numPr>
                <w:ilvl w:val="0"/>
                <w:numId w:val="239"/>
              </w:numPr>
              <w:rPr>
                <w:noProof/>
              </w:rPr>
            </w:pPr>
            <w:r w:rsidRPr="003B11BD">
              <w:rPr>
                <w:noProof/>
              </w:rPr>
              <w:t>Full activation mode to prepare response measures</w:t>
            </w:r>
          </w:p>
          <w:p w14:paraId="24271306" w14:textId="084727F9" w:rsidR="00914368" w:rsidRPr="003B11BD" w:rsidRDefault="02097B5E" w:rsidP="00F03230">
            <w:pPr>
              <w:pStyle w:val="Size10"/>
              <w:rPr>
                <w:noProof/>
              </w:rPr>
            </w:pPr>
            <w:r w:rsidRPr="003B11BD">
              <w:rPr>
                <w:noProof/>
              </w:rPr>
              <w:t xml:space="preserve"> </w:t>
            </w:r>
          </w:p>
          <w:p w14:paraId="24811B84" w14:textId="2D3D5D10" w:rsidR="00914368" w:rsidRPr="003B11BD" w:rsidRDefault="02097B5E" w:rsidP="00F03230">
            <w:pPr>
              <w:pStyle w:val="Size10"/>
              <w:rPr>
                <w:noProof/>
              </w:rPr>
            </w:pPr>
            <w:r w:rsidRPr="003B11BD">
              <w:rPr>
                <w:noProof/>
              </w:rPr>
              <w:t xml:space="preserve">Activation: </w:t>
            </w:r>
          </w:p>
          <w:p w14:paraId="4A472AF2" w14:textId="444A7641" w:rsidR="00914368" w:rsidRPr="003B11BD" w:rsidRDefault="02097B5E" w:rsidP="00F03230">
            <w:pPr>
              <w:pStyle w:val="Size10"/>
              <w:rPr>
                <w:noProof/>
              </w:rPr>
            </w:pPr>
            <w:r w:rsidRPr="003B11BD">
              <w:rPr>
                <w:noProof/>
              </w:rPr>
              <w:t xml:space="preserve">(Article 4):* </w:t>
            </w:r>
          </w:p>
          <w:p w14:paraId="189C872F" w14:textId="574B5905" w:rsidR="00914368" w:rsidRPr="003B11BD" w:rsidRDefault="02097B5E" w:rsidP="00F03230">
            <w:pPr>
              <w:pStyle w:val="Size10"/>
              <w:numPr>
                <w:ilvl w:val="0"/>
                <w:numId w:val="238"/>
              </w:numPr>
              <w:rPr>
                <w:noProof/>
              </w:rPr>
            </w:pPr>
            <w:r w:rsidRPr="003B11BD">
              <w:rPr>
                <w:noProof/>
              </w:rPr>
              <w:t xml:space="preserve">Article4(1)*: Presidency takes IPCR activation decision (initiative by Member States possible) </w:t>
            </w:r>
          </w:p>
          <w:p w14:paraId="69594ED5" w14:textId="3341DE7D" w:rsidR="00914368" w:rsidRPr="003B11BD" w:rsidRDefault="02097B5E" w:rsidP="00F03230">
            <w:pPr>
              <w:pStyle w:val="Size10"/>
              <w:numPr>
                <w:ilvl w:val="0"/>
                <w:numId w:val="238"/>
              </w:numPr>
              <w:rPr>
                <w:noProof/>
              </w:rPr>
            </w:pPr>
            <w:r w:rsidRPr="003B11BD">
              <w:rPr>
                <w:noProof/>
              </w:rPr>
              <w:t xml:space="preserve">Article 4(2)*: Triggering upon invocation of solidarity clause (Article 222 TFEU) – still formal adoption by Presidency </w:t>
            </w:r>
          </w:p>
          <w:p w14:paraId="79B4549B" w14:textId="2262C2CE" w:rsidR="00914368" w:rsidRPr="003B11BD" w:rsidRDefault="02097B5E" w:rsidP="00F03230">
            <w:pPr>
              <w:pStyle w:val="Size10"/>
              <w:numPr>
                <w:ilvl w:val="0"/>
                <w:numId w:val="238"/>
              </w:numPr>
              <w:rPr>
                <w:noProof/>
              </w:rPr>
            </w:pPr>
            <w:r w:rsidRPr="003B11BD">
              <w:rPr>
                <w:noProof/>
              </w:rPr>
              <w:t>Article 4(5)*: “The decision to activate the IPCR in information sharing mode may also be taken by agreement of the GSC, the Commission services and the EEAS, in consultation with the Presidency”</w:t>
            </w:r>
          </w:p>
          <w:p w14:paraId="0691A864" w14:textId="2FE8DEAE" w:rsidR="00914368" w:rsidRPr="003B11BD" w:rsidRDefault="00914368" w:rsidP="00F03230">
            <w:pPr>
              <w:pStyle w:val="Size10"/>
              <w:rPr>
                <w:noProof/>
              </w:rPr>
            </w:pPr>
          </w:p>
          <w:p w14:paraId="3B0DCD82" w14:textId="405A19FC" w:rsidR="00914368" w:rsidRPr="003B11BD" w:rsidRDefault="02097B5E" w:rsidP="00F03230">
            <w:pPr>
              <w:pStyle w:val="Size10"/>
              <w:rPr>
                <w:noProof/>
              </w:rPr>
            </w:pPr>
            <w:r w:rsidRPr="003B11BD">
              <w:rPr>
                <w:noProof/>
              </w:rPr>
              <w:t xml:space="preserve">Switching between modes: </w:t>
            </w:r>
          </w:p>
          <w:p w14:paraId="5C1C2BCB" w14:textId="462B4A50" w:rsidR="00914368" w:rsidRPr="003B11BD" w:rsidRDefault="02097B5E" w:rsidP="00F03230">
            <w:pPr>
              <w:pStyle w:val="Size10"/>
              <w:numPr>
                <w:ilvl w:val="0"/>
                <w:numId w:val="237"/>
              </w:numPr>
              <w:rPr>
                <w:noProof/>
              </w:rPr>
            </w:pPr>
            <w:r w:rsidRPr="003B11BD">
              <w:rPr>
                <w:noProof/>
              </w:rPr>
              <w:t xml:space="preserve">Article 4(6)*: the Presidency may decide at any point to escalate or de-escalate the operation from one mode of activation to the other (exception: solidarity clause invocation requires full mode) </w:t>
            </w:r>
          </w:p>
          <w:p w14:paraId="32C9533E" w14:textId="3E3AAF5B" w:rsidR="00914368" w:rsidRPr="003B11BD" w:rsidRDefault="02097B5E" w:rsidP="00F03230">
            <w:pPr>
              <w:pStyle w:val="Size10"/>
              <w:rPr>
                <w:noProof/>
              </w:rPr>
            </w:pPr>
            <w:r w:rsidRPr="003B11BD">
              <w:rPr>
                <w:noProof/>
              </w:rPr>
              <w:t xml:space="preserve"> </w:t>
            </w:r>
          </w:p>
          <w:p w14:paraId="23E9DFA5" w14:textId="6522B2D9" w:rsidR="00914368" w:rsidRPr="003B11BD" w:rsidRDefault="02097B5E" w:rsidP="00F03230">
            <w:pPr>
              <w:pStyle w:val="Size10"/>
              <w:rPr>
                <w:noProof/>
              </w:rPr>
            </w:pPr>
            <w:r w:rsidRPr="003B11BD">
              <w:rPr>
                <w:noProof/>
              </w:rPr>
              <w:t xml:space="preserve">Deactivation: </w:t>
            </w:r>
          </w:p>
          <w:p w14:paraId="7307C6BE" w14:textId="3F77B81D" w:rsidR="00914368" w:rsidRPr="003B11BD" w:rsidRDefault="02097B5E" w:rsidP="00F03230">
            <w:pPr>
              <w:pStyle w:val="Size10"/>
              <w:rPr>
                <w:noProof/>
              </w:rPr>
            </w:pPr>
            <w:r w:rsidRPr="003B11BD">
              <w:rPr>
                <w:noProof/>
              </w:rPr>
              <w:t>(Article 5):*</w:t>
            </w:r>
          </w:p>
          <w:p w14:paraId="3A4665BF" w14:textId="1F995976" w:rsidR="00914368" w:rsidRPr="003B11BD" w:rsidRDefault="02097B5E" w:rsidP="00F03230">
            <w:pPr>
              <w:pStyle w:val="Size10"/>
              <w:numPr>
                <w:ilvl w:val="0"/>
                <w:numId w:val="236"/>
              </w:numPr>
              <w:rPr>
                <w:noProof/>
              </w:rPr>
            </w:pPr>
            <w:r w:rsidRPr="003B11BD">
              <w:rPr>
                <w:noProof/>
              </w:rPr>
              <w:t>Decision taken by Presidency after consultation with Member States, Commission and the HR (no deactivation when solidarity clause is invoked)</w:t>
            </w:r>
          </w:p>
          <w:p w14:paraId="2984F954" w14:textId="02EB34ED" w:rsidR="00914368" w:rsidRPr="003B11BD" w:rsidRDefault="00914368" w:rsidP="00F03230">
            <w:pPr>
              <w:pStyle w:val="Size10"/>
              <w:rPr>
                <w:noProof/>
              </w:rPr>
            </w:pPr>
          </w:p>
          <w:p w14:paraId="27F8BA0A" w14:textId="6E3ED435" w:rsidR="00914368" w:rsidRPr="003B11BD" w:rsidRDefault="3E0D946A" w:rsidP="1A218BB1">
            <w:pPr>
              <w:rPr>
                <w:noProof/>
                <w:sz w:val="20"/>
                <w:szCs w:val="20"/>
                <w:lang w:val="en-IE"/>
              </w:rPr>
            </w:pPr>
            <w:r w:rsidRPr="003B11BD">
              <w:rPr>
                <w:noProof/>
                <w:sz w:val="20"/>
                <w:szCs w:val="20"/>
                <w:lang w:val="en-IE"/>
              </w:rPr>
              <w:t xml:space="preserve">*Council Implementing Decision (EU) 2018/1993 of 11 December 2018 on the EU Integrated Political Crisis Response Arrangements L 320/28] </w:t>
            </w:r>
          </w:p>
        </w:tc>
      </w:tr>
      <w:tr w:rsidR="00914368" w:rsidRPr="003B11BD" w14:paraId="028FEF7E" w14:textId="77777777" w:rsidTr="44CE0017">
        <w:tc>
          <w:tcPr>
            <w:tcW w:w="2235" w:type="dxa"/>
          </w:tcPr>
          <w:p w14:paraId="54FA2E3F" w14:textId="77777777" w:rsidR="00914368" w:rsidRPr="003B11BD" w:rsidRDefault="00914368" w:rsidP="00F03230">
            <w:pPr>
              <w:pStyle w:val="Size10"/>
              <w:rPr>
                <w:noProof/>
              </w:rPr>
            </w:pPr>
            <w:r w:rsidRPr="003B11BD">
              <w:rPr>
                <w:noProof/>
              </w:rPr>
              <w:t>European Health Union</w:t>
            </w:r>
          </w:p>
        </w:tc>
        <w:tc>
          <w:tcPr>
            <w:tcW w:w="12048" w:type="dxa"/>
          </w:tcPr>
          <w:p w14:paraId="3813308B" w14:textId="541A2A5D" w:rsidR="00914368" w:rsidRPr="003B11BD" w:rsidRDefault="40F6F73C" w:rsidP="00F03230">
            <w:pPr>
              <w:pStyle w:val="Size10"/>
              <w:rPr>
                <w:noProof/>
              </w:rPr>
            </w:pPr>
            <w:r w:rsidRPr="003B11BD">
              <w:rPr>
                <w:noProof/>
              </w:rPr>
              <w:t xml:space="preserve">Recognition of emergency situations: </w:t>
            </w:r>
          </w:p>
          <w:p w14:paraId="17B4DEEC" w14:textId="4273EA66" w:rsidR="00914368" w:rsidRPr="003B11BD" w:rsidRDefault="40F6F73C" w:rsidP="00F03230">
            <w:pPr>
              <w:pStyle w:val="Size10"/>
              <w:rPr>
                <w:noProof/>
              </w:rPr>
            </w:pPr>
            <w:r w:rsidRPr="003B11BD">
              <w:rPr>
                <w:noProof/>
              </w:rPr>
              <w:t>Article 23(1):* “The Commission may, based on the expert opinion of the Advisory Committee referred to in Article 24, formally recognise a public health emergency at Union level; including pandemic situations where the serious cross-border threat to health in question endangers public health at the Union level.”</w:t>
            </w:r>
          </w:p>
          <w:p w14:paraId="26FF79F6" w14:textId="10B0F566" w:rsidR="00914368" w:rsidRPr="003B11BD" w:rsidRDefault="00914368" w:rsidP="00F03230">
            <w:pPr>
              <w:pStyle w:val="Size10"/>
              <w:rPr>
                <w:noProof/>
              </w:rPr>
            </w:pPr>
          </w:p>
          <w:p w14:paraId="30CB7692" w14:textId="620A6984" w:rsidR="00914368" w:rsidRPr="003B11BD" w:rsidRDefault="1D0F0216" w:rsidP="00F03230">
            <w:pPr>
              <w:pStyle w:val="Size10"/>
              <w:rPr>
                <w:noProof/>
              </w:rPr>
            </w:pPr>
            <w:r w:rsidRPr="003B11BD">
              <w:rPr>
                <w:noProof/>
              </w:rPr>
              <w:t xml:space="preserve">Two Cumulative Elements for recognition: </w:t>
            </w:r>
          </w:p>
          <w:p w14:paraId="34A93409" w14:textId="7A319FFC" w:rsidR="00914368" w:rsidRPr="003B11BD" w:rsidRDefault="1D0F0216" w:rsidP="00F03230">
            <w:pPr>
              <w:pStyle w:val="Size10"/>
              <w:rPr>
                <w:noProof/>
              </w:rPr>
            </w:pPr>
            <w:r w:rsidRPr="003B11BD">
              <w:rPr>
                <w:noProof/>
              </w:rPr>
              <w:t xml:space="preserve">1) Serious cross-border threat to health </w:t>
            </w:r>
          </w:p>
          <w:p w14:paraId="0B79194B" w14:textId="5D7F8885" w:rsidR="00914368" w:rsidRPr="003B11BD" w:rsidRDefault="1D0F0216" w:rsidP="00F03230">
            <w:pPr>
              <w:pStyle w:val="Size10"/>
              <w:rPr>
                <w:noProof/>
              </w:rPr>
            </w:pPr>
            <w:r w:rsidRPr="003B11BD">
              <w:rPr>
                <w:noProof/>
              </w:rPr>
              <w:t>2) Endangerment of public health at Union level</w:t>
            </w:r>
          </w:p>
          <w:p w14:paraId="168FF6D0" w14:textId="717F6142" w:rsidR="00914368" w:rsidRPr="003B11BD" w:rsidRDefault="1D0F0216" w:rsidP="00F03230">
            <w:pPr>
              <w:pStyle w:val="Size10"/>
              <w:numPr>
                <w:ilvl w:val="0"/>
                <w:numId w:val="235"/>
              </w:numPr>
              <w:rPr>
                <w:noProof/>
              </w:rPr>
            </w:pPr>
            <w:r w:rsidRPr="003B11BD">
              <w:rPr>
                <w:noProof/>
              </w:rPr>
              <w:t>Prior liaising with the WHO (Article 23(3)*)</w:t>
            </w:r>
          </w:p>
          <w:p w14:paraId="42A761C9" w14:textId="11D63F88" w:rsidR="00914368" w:rsidRPr="003B11BD" w:rsidRDefault="1D0F0216" w:rsidP="00F03230">
            <w:pPr>
              <w:pStyle w:val="Size10"/>
              <w:numPr>
                <w:ilvl w:val="0"/>
                <w:numId w:val="235"/>
              </w:numPr>
              <w:rPr>
                <w:noProof/>
              </w:rPr>
            </w:pPr>
            <w:r w:rsidRPr="003B11BD">
              <w:rPr>
                <w:noProof/>
              </w:rPr>
              <w:t>Adoption by means of implementing acts</w:t>
            </w:r>
          </w:p>
          <w:p w14:paraId="4C24C6A9" w14:textId="666B09F3" w:rsidR="00914368" w:rsidRPr="003B11BD" w:rsidRDefault="1D0F0216" w:rsidP="00F03230">
            <w:pPr>
              <w:pStyle w:val="Size10"/>
              <w:numPr>
                <w:ilvl w:val="0"/>
                <w:numId w:val="235"/>
              </w:numPr>
              <w:rPr>
                <w:noProof/>
              </w:rPr>
            </w:pPr>
            <w:r w:rsidRPr="003B11BD">
              <w:rPr>
                <w:noProof/>
              </w:rPr>
              <w:t xml:space="preserve">Examination procedure in Article 27(2)* </w:t>
            </w:r>
          </w:p>
          <w:p w14:paraId="6FE2FB99" w14:textId="4D517D86" w:rsidR="00914368" w:rsidRPr="003B11BD" w:rsidRDefault="1D0F0216" w:rsidP="00F03230">
            <w:pPr>
              <w:pStyle w:val="Size10"/>
              <w:numPr>
                <w:ilvl w:val="0"/>
                <w:numId w:val="235"/>
              </w:numPr>
              <w:rPr>
                <w:noProof/>
              </w:rPr>
            </w:pPr>
            <w:r w:rsidRPr="003B11BD">
              <w:rPr>
                <w:noProof/>
              </w:rPr>
              <w:t xml:space="preserve">Exception (Article 23(4), subpara. 3*): for cases where this is duly justified on imperative grounds of urgency related to the severity of a serious cross-border threat to health or due to the rapidity of its spread among Member States – more expeditious procedure: immediately applicable implementing acts to recognise a public health emergency </w:t>
            </w:r>
          </w:p>
          <w:p w14:paraId="5EC299C3" w14:textId="48734AD5" w:rsidR="00914368" w:rsidRPr="003B11BD" w:rsidRDefault="1D0F0216" w:rsidP="00F03230">
            <w:pPr>
              <w:pStyle w:val="Size10"/>
              <w:numPr>
                <w:ilvl w:val="0"/>
                <w:numId w:val="235"/>
              </w:numPr>
              <w:rPr>
                <w:noProof/>
              </w:rPr>
            </w:pPr>
            <w:r w:rsidRPr="003B11BD">
              <w:rPr>
                <w:noProof/>
              </w:rPr>
              <w:t>“The new rules will enable the activation of EU emergency response mechanisms, in close coordination with the World Health Organization (WHO), without making it contingent upon the WHO’s own declaration of a Public Health Emergency of International Concern (PHEIC).” (cf. No. 3, p. 7**)</w:t>
            </w:r>
          </w:p>
          <w:p w14:paraId="38EADED1" w14:textId="4C200F9E" w:rsidR="00914368" w:rsidRPr="003B11BD" w:rsidRDefault="1D0F0216" w:rsidP="00F03230">
            <w:pPr>
              <w:pStyle w:val="Size10"/>
              <w:numPr>
                <w:ilvl w:val="0"/>
                <w:numId w:val="235"/>
              </w:numPr>
              <w:rPr>
                <w:noProof/>
              </w:rPr>
            </w:pPr>
            <w:r w:rsidRPr="003B11BD">
              <w:rPr>
                <w:noProof/>
              </w:rPr>
              <w:t>Enabling effect of measures following the recognition (Article 25*) (recitals 18, 19*)</w:t>
            </w:r>
          </w:p>
          <w:p w14:paraId="285B4EEF" w14:textId="4DC20189" w:rsidR="00914368" w:rsidRPr="003B11BD" w:rsidRDefault="00914368" w:rsidP="00F03230">
            <w:pPr>
              <w:pStyle w:val="Size10"/>
              <w:rPr>
                <w:noProof/>
              </w:rPr>
            </w:pPr>
          </w:p>
          <w:p w14:paraId="0D613E42" w14:textId="43B514C0" w:rsidR="00914368" w:rsidRPr="003B11BD" w:rsidRDefault="0585710E" w:rsidP="00F03230">
            <w:pPr>
              <w:pStyle w:val="Size10"/>
              <w:rPr>
                <w:noProof/>
              </w:rPr>
            </w:pPr>
            <w:r w:rsidRPr="003B11BD">
              <w:rPr>
                <w:noProof/>
              </w:rPr>
              <w:t xml:space="preserve">Termination: </w:t>
            </w:r>
          </w:p>
          <w:p w14:paraId="0160D0F4" w14:textId="50B904E8" w:rsidR="00914368" w:rsidRPr="003B11BD" w:rsidRDefault="0585710E" w:rsidP="00F03230">
            <w:pPr>
              <w:pStyle w:val="Size10"/>
              <w:numPr>
                <w:ilvl w:val="0"/>
                <w:numId w:val="234"/>
              </w:numPr>
              <w:rPr>
                <w:noProof/>
              </w:rPr>
            </w:pPr>
            <w:r w:rsidRPr="003B11BD">
              <w:rPr>
                <w:noProof/>
              </w:rPr>
              <w:t>Article 23(2)*: termination as soon as one of the applicable conditions is no longer met.</w:t>
            </w:r>
          </w:p>
          <w:p w14:paraId="250F0294" w14:textId="1DA54610" w:rsidR="00914368" w:rsidRPr="003B11BD" w:rsidRDefault="00914368" w:rsidP="00F03230">
            <w:pPr>
              <w:pStyle w:val="Size10"/>
              <w:rPr>
                <w:noProof/>
              </w:rPr>
            </w:pPr>
          </w:p>
          <w:p w14:paraId="6D819504" w14:textId="340C48A5" w:rsidR="00914368" w:rsidRPr="003B11BD" w:rsidRDefault="0585710E" w:rsidP="00F03230">
            <w:pPr>
              <w:pStyle w:val="Size10"/>
              <w:rPr>
                <w:noProof/>
              </w:rPr>
            </w:pPr>
            <w:r w:rsidRPr="003B11BD">
              <w:rPr>
                <w:noProof/>
              </w:rPr>
              <w:t xml:space="preserve">* </w:t>
            </w:r>
            <w:r w:rsidR="1B7856A7" w:rsidRPr="003B11BD">
              <w:rPr>
                <w:noProof/>
              </w:rPr>
              <w:t>REGULATION (EU) 2022/2371 OF THE EUROPEAN PARLIAMENT AND OF THE COUNCIL of 23 November 2022 on serious cross-border threats to health and repealing Decision No 1082/2013/EU</w:t>
            </w:r>
          </w:p>
          <w:p w14:paraId="10DA3986" w14:textId="28857C4F" w:rsidR="00914368" w:rsidRPr="003B11BD" w:rsidRDefault="0585710E" w:rsidP="00F03230">
            <w:pPr>
              <w:pStyle w:val="Size10"/>
              <w:rPr>
                <w:noProof/>
              </w:rPr>
            </w:pPr>
            <w:r w:rsidRPr="003B11BD">
              <w:rPr>
                <w:noProof/>
              </w:rPr>
              <w:t>**Communication from the Commission to the European Parliament, the Council, the European Economic and Social Committee and the Committee of the Regions – Building a European Health Union: Reinforcing the EU’s resilience for cross-border health threats</w:t>
            </w:r>
          </w:p>
          <w:p w14:paraId="1CCD1449" w14:textId="795FACB5" w:rsidR="00914368" w:rsidRPr="003B11BD" w:rsidRDefault="00914368" w:rsidP="00F03230">
            <w:pPr>
              <w:pStyle w:val="Size10"/>
              <w:rPr>
                <w:noProof/>
              </w:rPr>
            </w:pPr>
          </w:p>
        </w:tc>
      </w:tr>
      <w:tr w:rsidR="00914368" w:rsidRPr="003B11BD" w14:paraId="5FAA1F28" w14:textId="77777777" w:rsidTr="44CE0017">
        <w:tc>
          <w:tcPr>
            <w:tcW w:w="2235" w:type="dxa"/>
          </w:tcPr>
          <w:p w14:paraId="66E36660" w14:textId="28C0F2A9" w:rsidR="00914368" w:rsidRPr="003B11BD" w:rsidRDefault="00914368" w:rsidP="00F03230">
            <w:pPr>
              <w:pStyle w:val="Size10"/>
              <w:rPr>
                <w:noProof/>
              </w:rPr>
            </w:pPr>
            <w:r w:rsidRPr="003B11BD">
              <w:rPr>
                <w:noProof/>
              </w:rPr>
              <w:t>HERA</w:t>
            </w:r>
          </w:p>
          <w:p w14:paraId="3CDB5428" w14:textId="77777777" w:rsidR="00914368" w:rsidRPr="003B11BD" w:rsidRDefault="00914368" w:rsidP="00F03230">
            <w:pPr>
              <w:pStyle w:val="Size10"/>
              <w:rPr>
                <w:noProof/>
              </w:rPr>
            </w:pPr>
          </w:p>
        </w:tc>
        <w:tc>
          <w:tcPr>
            <w:tcW w:w="12048" w:type="dxa"/>
          </w:tcPr>
          <w:p w14:paraId="66C227AB" w14:textId="2965DDB2" w:rsidR="00914368" w:rsidRPr="003B11BD" w:rsidRDefault="489B1324" w:rsidP="00F03230">
            <w:pPr>
              <w:pStyle w:val="Size10"/>
              <w:rPr>
                <w:noProof/>
              </w:rPr>
            </w:pPr>
            <w:r w:rsidRPr="003B11BD">
              <w:rPr>
                <w:noProof/>
              </w:rPr>
              <w:t xml:space="preserve">Activation: </w:t>
            </w:r>
          </w:p>
          <w:p w14:paraId="4E8D2DD2" w14:textId="670CFE0F" w:rsidR="00914368" w:rsidRPr="003B11BD" w:rsidRDefault="489B1324" w:rsidP="00F03230">
            <w:pPr>
              <w:pStyle w:val="Size10"/>
              <w:numPr>
                <w:ilvl w:val="0"/>
                <w:numId w:val="233"/>
              </w:numPr>
              <w:rPr>
                <w:noProof/>
              </w:rPr>
            </w:pPr>
            <w:r w:rsidRPr="003B11BD">
              <w:rPr>
                <w:noProof/>
              </w:rPr>
              <w:t>Recognition of a public health emergency required (cf. Article 2(2)*)</w:t>
            </w:r>
          </w:p>
          <w:p w14:paraId="5F93FFA7" w14:textId="0D88C47C" w:rsidR="00914368" w:rsidRPr="003B11BD" w:rsidRDefault="489B1324" w:rsidP="00F03230">
            <w:pPr>
              <w:pStyle w:val="Size10"/>
              <w:numPr>
                <w:ilvl w:val="0"/>
                <w:numId w:val="233"/>
              </w:numPr>
              <w:rPr>
                <w:noProof/>
              </w:rPr>
            </w:pPr>
            <w:r w:rsidRPr="003B11BD">
              <w:rPr>
                <w:noProof/>
              </w:rPr>
              <w:t xml:space="preserve">Article 3(1): upon proposal of the Commission, the Council “may adopt a regulation activating the emergency framework where appropriate to the economic situation.”  </w:t>
            </w:r>
          </w:p>
          <w:p w14:paraId="7CAC9FE5" w14:textId="3793174A" w:rsidR="00914368" w:rsidRPr="003B11BD" w:rsidRDefault="489B1324" w:rsidP="00F03230">
            <w:pPr>
              <w:pStyle w:val="Size10"/>
              <w:numPr>
                <w:ilvl w:val="0"/>
                <w:numId w:val="233"/>
              </w:numPr>
              <w:rPr>
                <w:noProof/>
              </w:rPr>
            </w:pPr>
            <w:r w:rsidRPr="003B11BD">
              <w:rPr>
                <w:noProof/>
              </w:rPr>
              <w:t xml:space="preserve">Article 3(3)*: Duration of the activation is limited to 6 months, but renewable (Article 4* procedure) </w:t>
            </w:r>
          </w:p>
          <w:p w14:paraId="3B3C738A" w14:textId="0F835A32" w:rsidR="00914368" w:rsidRPr="003B11BD" w:rsidRDefault="489B1324" w:rsidP="00F03230">
            <w:pPr>
              <w:pStyle w:val="Size10"/>
              <w:numPr>
                <w:ilvl w:val="0"/>
                <w:numId w:val="233"/>
              </w:numPr>
              <w:rPr>
                <w:noProof/>
              </w:rPr>
            </w:pPr>
            <w:r w:rsidRPr="003B11BD">
              <w:rPr>
                <w:noProof/>
              </w:rPr>
              <w:t xml:space="preserve">Funding: Activation of emergency funding, Article 13*: “Where this measure is activated, emergency support under Regulation (EU) 2016/369 is activated to finance expenditure necessary to address the public health emergency […]” “In the event of a public health emergency at Union level, in order to ensure the necessary flexibility and rapidity in implementation, the Council could also trigger financing through the Emergency Support Instrument (ESI), demonstrated in the past to be both flexible and fast. During the COVID-19 crisis, the ESI27 proved efficient and effective in ensuring rapid and flexible funding, essential in times of urgency” (p. 13, No. 6.3**) </w:t>
            </w:r>
          </w:p>
          <w:p w14:paraId="375E3C84" w14:textId="53CAE877" w:rsidR="00914368" w:rsidRPr="003B11BD" w:rsidRDefault="489B1324" w:rsidP="00F03230">
            <w:pPr>
              <w:pStyle w:val="Size10"/>
              <w:numPr>
                <w:ilvl w:val="0"/>
                <w:numId w:val="233"/>
              </w:numPr>
              <w:rPr>
                <w:noProof/>
              </w:rPr>
            </w:pPr>
            <w:r w:rsidRPr="003B11BD">
              <w:rPr>
                <w:noProof/>
              </w:rPr>
              <w:t xml:space="preserve">“The Council activation of the emergency framework will also specify which of the […] emergency measures, appropriate to the economic situation, should be implemented” (p. 9, No. 4)** </w:t>
            </w:r>
          </w:p>
          <w:p w14:paraId="55F84026" w14:textId="1A2B6F8F" w:rsidR="00914368" w:rsidRPr="003B11BD" w:rsidRDefault="489B1324" w:rsidP="00F03230">
            <w:pPr>
              <w:pStyle w:val="Size10"/>
              <w:numPr>
                <w:ilvl w:val="0"/>
                <w:numId w:val="233"/>
              </w:numPr>
              <w:rPr>
                <w:noProof/>
              </w:rPr>
            </w:pPr>
            <w:r w:rsidRPr="003B11BD">
              <w:rPr>
                <w:noProof/>
              </w:rPr>
              <w:t xml:space="preserve"> Two phases: "preparedness phase" and "crisis phase". In the “crisis phase”, HERA will be able to draw on stronger powers for swift decision-making and implementation of emergency measures. (p. 2, No. 2**)</w:t>
            </w:r>
          </w:p>
          <w:p w14:paraId="022C46F2" w14:textId="4347904C" w:rsidR="00914368" w:rsidRPr="003B11BD" w:rsidRDefault="00914368" w:rsidP="00F03230">
            <w:pPr>
              <w:pStyle w:val="Size10"/>
              <w:rPr>
                <w:noProof/>
              </w:rPr>
            </w:pPr>
          </w:p>
          <w:p w14:paraId="3DCD94B2" w14:textId="43159072" w:rsidR="00914368" w:rsidRPr="003B11BD" w:rsidRDefault="48497FB0" w:rsidP="00F03230">
            <w:pPr>
              <w:pStyle w:val="Size10"/>
              <w:rPr>
                <w:noProof/>
              </w:rPr>
            </w:pPr>
            <w:r w:rsidRPr="003B11BD">
              <w:rPr>
                <w:noProof/>
              </w:rPr>
              <w:t>*</w:t>
            </w:r>
            <w:r w:rsidR="1591B4B1" w:rsidRPr="003B11BD">
              <w:rPr>
                <w:noProof/>
              </w:rPr>
              <w:t xml:space="preserve"> REGULATION (EU) 2022/2371 OF THE EUROPEAN PARLIAMENT AND OF THE COUNCIL of 23 November 2022 on serious cross-border threats to health and repealing Decision No 1082/2013/EU</w:t>
            </w:r>
          </w:p>
          <w:p w14:paraId="41682133" w14:textId="4EB84AE1" w:rsidR="00914368" w:rsidRPr="003B11BD" w:rsidRDefault="48497FB0" w:rsidP="00F03230">
            <w:pPr>
              <w:pStyle w:val="Size10"/>
              <w:rPr>
                <w:noProof/>
              </w:rPr>
            </w:pPr>
            <w:r w:rsidRPr="003B11BD">
              <w:rPr>
                <w:noProof/>
              </w:rPr>
              <w:t>**Communication from the Commission to the European Parliament, the European Council, the Council, the European Economic and Social Committee and the Committee of the Regions – Introducing HERA, the European Health Emergency preparedness and Response Authority, the next step towards completing the European Health Union</w:t>
            </w:r>
          </w:p>
          <w:p w14:paraId="1FCEE815" w14:textId="44465CDB" w:rsidR="00914368" w:rsidRPr="003B11BD" w:rsidRDefault="00914368" w:rsidP="00F03230">
            <w:pPr>
              <w:pStyle w:val="Size10"/>
              <w:rPr>
                <w:noProof/>
              </w:rPr>
            </w:pPr>
          </w:p>
        </w:tc>
      </w:tr>
      <w:tr w:rsidR="00914368" w:rsidRPr="003B11BD" w14:paraId="5F23A36F" w14:textId="77777777" w:rsidTr="44CE0017">
        <w:tc>
          <w:tcPr>
            <w:tcW w:w="2235" w:type="dxa"/>
          </w:tcPr>
          <w:p w14:paraId="1C7A1DD8" w14:textId="11FCCC32" w:rsidR="00914368" w:rsidRPr="003B11BD" w:rsidRDefault="4E24DB36" w:rsidP="00F03230">
            <w:pPr>
              <w:pStyle w:val="Size10"/>
              <w:rPr>
                <w:noProof/>
              </w:rPr>
            </w:pPr>
            <w:r w:rsidRPr="003B11BD">
              <w:rPr>
                <w:noProof/>
              </w:rPr>
              <w:t xml:space="preserve">The </w:t>
            </w:r>
            <w:r w:rsidR="00D43F3F" w:rsidRPr="003B11BD">
              <w:rPr>
                <w:noProof/>
              </w:rPr>
              <w:t>Single Market</w:t>
            </w:r>
            <w:r w:rsidRPr="003B11BD">
              <w:rPr>
                <w:noProof/>
              </w:rPr>
              <w:t xml:space="preserve"> Emergency Instrument (SMEI)  </w:t>
            </w:r>
          </w:p>
        </w:tc>
        <w:tc>
          <w:tcPr>
            <w:tcW w:w="12048" w:type="dxa"/>
          </w:tcPr>
          <w:p w14:paraId="54F5464C" w14:textId="2753E7F5" w:rsidR="00914368" w:rsidRPr="003B11BD" w:rsidRDefault="13E9F5CC" w:rsidP="00F03230">
            <w:pPr>
              <w:pStyle w:val="Size10"/>
              <w:rPr>
                <w:noProof/>
              </w:rPr>
            </w:pPr>
            <w:r w:rsidRPr="003B11BD">
              <w:rPr>
                <w:noProof/>
              </w:rPr>
              <w:t>In principle</w:t>
            </w:r>
            <w:r w:rsidR="61153398" w:rsidRPr="003B11BD">
              <w:rPr>
                <w:noProof/>
              </w:rPr>
              <w:t>,</w:t>
            </w:r>
            <w:r w:rsidR="619A826A" w:rsidRPr="003B11BD">
              <w:rPr>
                <w:noProof/>
              </w:rPr>
              <w:t xml:space="preserve"> SMEI provides for a two-stage mechanism:</w:t>
            </w:r>
          </w:p>
          <w:p w14:paraId="287DA6CE" w14:textId="02B24825" w:rsidR="44CE0017" w:rsidRPr="003B11BD" w:rsidRDefault="44CE0017" w:rsidP="44CE0017">
            <w:pPr>
              <w:pStyle w:val="Size10"/>
              <w:rPr>
                <w:noProof/>
              </w:rPr>
            </w:pPr>
          </w:p>
          <w:p w14:paraId="5A65DB92" w14:textId="52E25C7E" w:rsidR="00914368" w:rsidRPr="003B11BD" w:rsidRDefault="4643E2AF" w:rsidP="44CE0017">
            <w:pPr>
              <w:pStyle w:val="Size10"/>
              <w:rPr>
                <w:noProof/>
              </w:rPr>
            </w:pPr>
            <w:r w:rsidRPr="003B11BD">
              <w:rPr>
                <w:noProof/>
              </w:rPr>
              <w:t xml:space="preserve">1) </w:t>
            </w:r>
            <w:r w:rsidR="00D43F3F" w:rsidRPr="003B11BD">
              <w:rPr>
                <w:noProof/>
              </w:rPr>
              <w:t>Single Market</w:t>
            </w:r>
            <w:r w:rsidR="619A826A" w:rsidRPr="003B11BD">
              <w:rPr>
                <w:noProof/>
              </w:rPr>
              <w:t xml:space="preserve"> vigilance mode addressing </w:t>
            </w:r>
            <w:r w:rsidR="0B716EB4" w:rsidRPr="003B11BD">
              <w:rPr>
                <w:noProof/>
              </w:rPr>
              <w:t>a threat of significant disruption of the supply of goods and services of strategic importance and which has the potential to escalate into a Single Market emergency within the next six months</w:t>
            </w:r>
          </w:p>
          <w:p w14:paraId="2DA32F53" w14:textId="5792D17C" w:rsidR="00914368" w:rsidRPr="003B11BD" w:rsidRDefault="30BCDAC0" w:rsidP="44CE0017">
            <w:pPr>
              <w:pStyle w:val="Size10"/>
              <w:numPr>
                <w:ilvl w:val="0"/>
                <w:numId w:val="231"/>
              </w:numPr>
              <w:rPr>
                <w:noProof/>
              </w:rPr>
            </w:pPr>
            <w:r w:rsidRPr="003B11BD">
              <w:rPr>
                <w:noProof/>
              </w:rPr>
              <w:t>Activation</w:t>
            </w:r>
            <w:r w:rsidR="6B5C29B1" w:rsidRPr="003B11BD">
              <w:rPr>
                <w:noProof/>
              </w:rPr>
              <w:t xml:space="preserve"> (Article 9*)</w:t>
            </w:r>
            <w:r w:rsidRPr="003B11BD">
              <w:rPr>
                <w:noProof/>
              </w:rPr>
              <w:t>: It</w:t>
            </w:r>
            <w:r w:rsidR="619A826A" w:rsidRPr="003B11BD">
              <w:rPr>
                <w:noProof/>
              </w:rPr>
              <w:t xml:space="preserve"> is activated by a Commission implementing act taking into consideration the opinion of the Advisory Group (composed of one representative per Member State).</w:t>
            </w:r>
            <w:r w:rsidR="27BC1DB4" w:rsidRPr="003B11BD">
              <w:rPr>
                <w:noProof/>
              </w:rPr>
              <w:t xml:space="preserve"> </w:t>
            </w:r>
          </w:p>
          <w:p w14:paraId="08772F4B" w14:textId="3D3ED2DC" w:rsidR="00914368" w:rsidRPr="003B11BD" w:rsidRDefault="27BC1DB4" w:rsidP="44CE0017">
            <w:pPr>
              <w:pStyle w:val="Size10"/>
              <w:numPr>
                <w:ilvl w:val="0"/>
                <w:numId w:val="231"/>
              </w:numPr>
              <w:rPr>
                <w:noProof/>
              </w:rPr>
            </w:pPr>
            <w:r w:rsidRPr="003B11BD">
              <w:rPr>
                <w:noProof/>
              </w:rPr>
              <w:t>Extension and deactivation</w:t>
            </w:r>
            <w:r w:rsidR="577C46CB" w:rsidRPr="003B11BD">
              <w:rPr>
                <w:noProof/>
              </w:rPr>
              <w:t xml:space="preserve"> (Article 10*)</w:t>
            </w:r>
            <w:r w:rsidRPr="003B11BD">
              <w:rPr>
                <w:noProof/>
              </w:rPr>
              <w:t xml:space="preserve">: </w:t>
            </w:r>
            <w:r w:rsidR="2A27A41F" w:rsidRPr="003B11BD">
              <w:rPr>
                <w:noProof/>
              </w:rPr>
              <w:t>The Commission, if it considers that the reasons for activating the vigilance mode remain valid, and taking into consideration the opinion provided by the advisory group, may extend the vigilance mode for a maximum duration of six months by means of an implementing act</w:t>
            </w:r>
            <w:r w:rsidR="073034D4" w:rsidRPr="003B11BD">
              <w:rPr>
                <w:noProof/>
              </w:rPr>
              <w:t xml:space="preserve"> (Art. 10 (1)*)</w:t>
            </w:r>
            <w:r w:rsidR="2A27A41F" w:rsidRPr="003B11BD">
              <w:rPr>
                <w:noProof/>
              </w:rPr>
              <w:t xml:space="preserve">. </w:t>
            </w:r>
            <w:r w:rsidR="4E01602B" w:rsidRPr="003B11BD">
              <w:rPr>
                <w:noProof/>
              </w:rPr>
              <w:t>Where the Commission, taking into consideration the opinion provided by the advisory group, finds that the threat is no longer present, it shall deactivate the vigilance mode in full or in part by means of an implementing act</w:t>
            </w:r>
            <w:r w:rsidR="39E0C54F" w:rsidRPr="003B11BD">
              <w:rPr>
                <w:noProof/>
              </w:rPr>
              <w:t xml:space="preserve"> (Article 10 (2)*)</w:t>
            </w:r>
            <w:r w:rsidR="69A7A5B3" w:rsidRPr="003B11BD">
              <w:rPr>
                <w:noProof/>
              </w:rPr>
              <w:t>.</w:t>
            </w:r>
          </w:p>
          <w:p w14:paraId="1906B151" w14:textId="51A6CD14" w:rsidR="00914368" w:rsidRPr="003B11BD" w:rsidRDefault="387CF7C2" w:rsidP="44CE0017">
            <w:pPr>
              <w:pStyle w:val="Size10"/>
              <w:rPr>
                <w:noProof/>
              </w:rPr>
            </w:pPr>
            <w:r w:rsidRPr="003B11BD">
              <w:rPr>
                <w:noProof/>
              </w:rPr>
              <w:t xml:space="preserve">2) </w:t>
            </w:r>
            <w:r w:rsidR="619A826A" w:rsidRPr="003B11BD">
              <w:rPr>
                <w:noProof/>
              </w:rPr>
              <w:t xml:space="preserve">The </w:t>
            </w:r>
            <w:r w:rsidR="00D43F3F" w:rsidRPr="003B11BD">
              <w:rPr>
                <w:noProof/>
              </w:rPr>
              <w:t>Single Market</w:t>
            </w:r>
            <w:r w:rsidR="619A826A" w:rsidRPr="003B11BD">
              <w:rPr>
                <w:noProof/>
              </w:rPr>
              <w:t xml:space="preserve"> emergency mode</w:t>
            </w:r>
          </w:p>
          <w:p w14:paraId="1C491936" w14:textId="42B1348E" w:rsidR="00914368" w:rsidRPr="003B11BD" w:rsidRDefault="55CA84D6" w:rsidP="44CE0017">
            <w:pPr>
              <w:pStyle w:val="Size10"/>
              <w:numPr>
                <w:ilvl w:val="0"/>
                <w:numId w:val="1"/>
              </w:numPr>
              <w:rPr>
                <w:noProof/>
              </w:rPr>
            </w:pPr>
            <w:r w:rsidRPr="003B11BD">
              <w:rPr>
                <w:noProof/>
              </w:rPr>
              <w:t>Activation</w:t>
            </w:r>
            <w:r w:rsidR="5EBAD873" w:rsidRPr="003B11BD">
              <w:rPr>
                <w:noProof/>
              </w:rPr>
              <w:t xml:space="preserve"> (Article 14*)</w:t>
            </w:r>
            <w:r w:rsidRPr="003B11BD">
              <w:rPr>
                <w:noProof/>
              </w:rPr>
              <w:t xml:space="preserve">: It </w:t>
            </w:r>
            <w:r w:rsidR="619A826A" w:rsidRPr="003B11BD">
              <w:rPr>
                <w:noProof/>
              </w:rPr>
              <w:t>shall be activated by means of a Council implementing act upon the Commission’s proposal taking into consideration the opinion of the Advisory Group.</w:t>
            </w:r>
          </w:p>
          <w:p w14:paraId="12E723C5" w14:textId="19432A68" w:rsidR="00914368" w:rsidRPr="003B11BD" w:rsidRDefault="4C2AD31C" w:rsidP="44CE0017">
            <w:pPr>
              <w:pStyle w:val="Size10"/>
              <w:numPr>
                <w:ilvl w:val="0"/>
                <w:numId w:val="1"/>
              </w:numPr>
              <w:rPr>
                <w:noProof/>
              </w:rPr>
            </w:pPr>
            <w:r w:rsidRPr="003B11BD">
              <w:rPr>
                <w:noProof/>
              </w:rPr>
              <w:t>Extension and deactivation</w:t>
            </w:r>
            <w:r w:rsidR="10A7FA55" w:rsidRPr="003B11BD">
              <w:rPr>
                <w:noProof/>
              </w:rPr>
              <w:t xml:space="preserve"> (Article 15*)</w:t>
            </w:r>
            <w:r w:rsidRPr="003B11BD">
              <w:rPr>
                <w:noProof/>
              </w:rPr>
              <w:t>:</w:t>
            </w:r>
            <w:r w:rsidR="290F51F9" w:rsidRPr="003B11BD">
              <w:rPr>
                <w:noProof/>
              </w:rPr>
              <w:t xml:space="preserve"> </w:t>
            </w:r>
            <w:r w:rsidR="5A34C9B7" w:rsidRPr="003B11BD">
              <w:rPr>
                <w:noProof/>
              </w:rPr>
              <w:t>Where the Commission considers, taking into consideration the opinion provided by the advisory group, that an extension of the Single Market emergency is necessary, it may propose to the Council to extend the Single Market emergency no later than 30 days before the expiry of the period for which the Single Market emergency has been activated</w:t>
            </w:r>
            <w:r w:rsidR="64203AF1" w:rsidRPr="003B11BD">
              <w:rPr>
                <w:noProof/>
              </w:rPr>
              <w:t xml:space="preserve"> (Article 15 (1)*)</w:t>
            </w:r>
            <w:r w:rsidR="5A34C9B7" w:rsidRPr="003B11BD">
              <w:rPr>
                <w:noProof/>
              </w:rPr>
              <w:t xml:space="preserve">. </w:t>
            </w:r>
            <w:r w:rsidR="290F51F9" w:rsidRPr="003B11BD">
              <w:rPr>
                <w:noProof/>
              </w:rPr>
              <w:t>Where the Commission, taking into consideration the opinion provided by the advisory group, considers that the criteria for activation of Single Market emergency are no longer fulfilled, it shall propose to the Council the deactivation of the Single Market emergency</w:t>
            </w:r>
            <w:r w:rsidR="4BA3AF1D" w:rsidRPr="003B11BD">
              <w:rPr>
                <w:noProof/>
              </w:rPr>
              <w:t xml:space="preserve"> (Article 15 (2)*)</w:t>
            </w:r>
            <w:r w:rsidR="79E3FB68" w:rsidRPr="003B11BD">
              <w:rPr>
                <w:noProof/>
              </w:rPr>
              <w:t>.</w:t>
            </w:r>
          </w:p>
          <w:p w14:paraId="7C26D400" w14:textId="53577909" w:rsidR="5752A152" w:rsidRPr="003B11BD" w:rsidRDefault="5752A152" w:rsidP="5752A152">
            <w:pPr>
              <w:pStyle w:val="Size10"/>
              <w:rPr>
                <w:noProof/>
              </w:rPr>
            </w:pPr>
          </w:p>
          <w:p w14:paraId="019D281F" w14:textId="2B0234ED" w:rsidR="54B94AC0" w:rsidRPr="003B11BD" w:rsidRDefault="54B94AC0" w:rsidP="5752A152">
            <w:pPr>
              <w:pStyle w:val="Size10"/>
              <w:rPr>
                <w:noProof/>
              </w:rPr>
            </w:pPr>
            <w:r w:rsidRPr="003B11BD">
              <w:rPr>
                <w:noProof/>
              </w:rPr>
              <w:t xml:space="preserve">*Proposal for a Regulation of the European Parliament and the Council establishing a Single Market emergency instrument and repealing Council Regulation No (EC) 2679/98  </w:t>
            </w:r>
          </w:p>
          <w:p w14:paraId="3A155326" w14:textId="32CA47C6" w:rsidR="00914368" w:rsidRPr="003B11BD" w:rsidRDefault="00914368" w:rsidP="00F03230">
            <w:pPr>
              <w:pStyle w:val="Size10"/>
              <w:rPr>
                <w:noProof/>
              </w:rPr>
            </w:pPr>
          </w:p>
        </w:tc>
      </w:tr>
      <w:tr w:rsidR="00914368" w:rsidRPr="003B11BD" w14:paraId="7FE34033" w14:textId="77777777" w:rsidTr="44CE0017">
        <w:tc>
          <w:tcPr>
            <w:tcW w:w="2235" w:type="dxa"/>
          </w:tcPr>
          <w:p w14:paraId="7541AFDD" w14:textId="357ABFC1" w:rsidR="00914368" w:rsidRPr="003B11BD" w:rsidRDefault="081E59D4" w:rsidP="00F03230">
            <w:pPr>
              <w:pStyle w:val="Size10"/>
              <w:rPr>
                <w:noProof/>
              </w:rPr>
            </w:pPr>
            <w:r w:rsidRPr="003B11BD">
              <w:rPr>
                <w:noProof/>
              </w:rPr>
              <w:t>Chips Act</w:t>
            </w:r>
          </w:p>
        </w:tc>
        <w:tc>
          <w:tcPr>
            <w:tcW w:w="12048" w:type="dxa"/>
          </w:tcPr>
          <w:p w14:paraId="45FCF38E" w14:textId="148B74D7" w:rsidR="00914368" w:rsidRPr="003B11BD" w:rsidRDefault="647C0DC6" w:rsidP="00F03230">
            <w:pPr>
              <w:pStyle w:val="Size10"/>
              <w:rPr>
                <w:noProof/>
              </w:rPr>
            </w:pPr>
            <w:r w:rsidRPr="003B11BD">
              <w:rPr>
                <w:noProof/>
              </w:rPr>
              <w:t>Article 18* Activation of the crisis stage</w:t>
            </w:r>
            <w:r w:rsidR="0DE99832" w:rsidRPr="003B11BD">
              <w:rPr>
                <w:noProof/>
              </w:rPr>
              <w:t>:</w:t>
            </w:r>
          </w:p>
          <w:p w14:paraId="3FB75282" w14:textId="0DC869C2" w:rsidR="0DE99832" w:rsidRPr="003B11BD" w:rsidRDefault="0DE99832" w:rsidP="00F03230">
            <w:pPr>
              <w:pStyle w:val="Size10"/>
              <w:numPr>
                <w:ilvl w:val="0"/>
                <w:numId w:val="230"/>
              </w:numPr>
              <w:rPr>
                <w:noProof/>
              </w:rPr>
            </w:pPr>
            <w:r w:rsidRPr="003B11BD">
              <w:rPr>
                <w:noProof/>
              </w:rPr>
              <w:t>Article 18(2)*  “Where an assessment of the Commission provides concrete, serious, and reliable evidence of a semiconductor crisis, the Commission may activate the crisis stage by means of implementing acts in accordance with Article 33(2)</w:t>
            </w:r>
            <w:r w:rsidR="53408792" w:rsidRPr="003B11BD">
              <w:rPr>
                <w:noProof/>
              </w:rPr>
              <w:t>*</w:t>
            </w:r>
            <w:r w:rsidRPr="003B11BD">
              <w:rPr>
                <w:noProof/>
              </w:rPr>
              <w:t>. The duration of the activation shall be specified in the implementing act. (…)”</w:t>
            </w:r>
          </w:p>
          <w:p w14:paraId="1ADC12D3" w14:textId="3CF31DC7" w:rsidR="6EB44C4A" w:rsidRPr="003B11BD" w:rsidRDefault="4AD18B69" w:rsidP="00F03230">
            <w:pPr>
              <w:pStyle w:val="Size10"/>
              <w:numPr>
                <w:ilvl w:val="0"/>
                <w:numId w:val="230"/>
              </w:numPr>
              <w:rPr>
                <w:noProof/>
              </w:rPr>
            </w:pPr>
            <w:r w:rsidRPr="003B11BD">
              <w:rPr>
                <w:noProof/>
              </w:rPr>
              <w:t xml:space="preserve">Article 18(3)* “Before the expiry of the duration for which the crisis stage was activated, the Commission shall, after consulting the European Semiconductor Board, assess whether the activation of the crisis stage should be prolonged. Where the assessment concludes that a prolongation is appropriate, the Commission may prolong the activation by means of implementing acts. </w:t>
            </w:r>
            <w:r w:rsidR="7420D3FF" w:rsidRPr="003B11BD">
              <w:rPr>
                <w:noProof/>
              </w:rPr>
              <w:t>The duration of the prolongation shall be specified in the implementing acts adopted in accordance with Article 33(2)*.</w:t>
            </w:r>
            <w:r w:rsidRPr="003B11BD">
              <w:rPr>
                <w:noProof/>
              </w:rPr>
              <w:t xml:space="preserve"> (…)”</w:t>
            </w:r>
          </w:p>
          <w:p w14:paraId="32AB7951" w14:textId="110E8825" w:rsidR="253440E6" w:rsidRPr="003B11BD" w:rsidRDefault="07CDB153" w:rsidP="00F03230">
            <w:pPr>
              <w:pStyle w:val="Size10"/>
              <w:rPr>
                <w:noProof/>
              </w:rPr>
            </w:pPr>
            <w:r w:rsidRPr="003B11BD">
              <w:rPr>
                <w:noProof/>
              </w:rPr>
              <w:t>*Proposal for a Regulation establishing a framework of measures for strengthening Europe's semiconductor ecosystem (Chips Act)</w:t>
            </w:r>
          </w:p>
          <w:p w14:paraId="144D9895" w14:textId="1A5376F9" w:rsidR="00914368" w:rsidRPr="003B11BD" w:rsidRDefault="00914368" w:rsidP="00F03230">
            <w:pPr>
              <w:pStyle w:val="Size10"/>
              <w:rPr>
                <w:noProof/>
              </w:rPr>
            </w:pPr>
          </w:p>
        </w:tc>
      </w:tr>
    </w:tbl>
    <w:p w14:paraId="1E6318AC" w14:textId="1B7F0E6D" w:rsidR="00C91993" w:rsidRPr="003B11BD" w:rsidRDefault="00240043" w:rsidP="00C905A4">
      <w:pPr>
        <w:pStyle w:val="Caption"/>
        <w:rPr>
          <w:noProof/>
          <w:lang w:val="en-IE"/>
        </w:rPr>
      </w:pPr>
      <w:r w:rsidRPr="003B11BD">
        <w:rPr>
          <w:noProof/>
          <w:lang w:val="en-IE"/>
        </w:rPr>
        <w:t>Note: based on COMMISSION STAFF WORKING DOCUMENT Impact Assessment Report Accompanying the document REGULATION OF THE EUROPEAN PARLIAMENT AND OF THE COUNCIL for a Single Market Emergency Instrument Brussels, 19.9.2022 SWD(2022) 289 final, Register of Commission Documents - SWD(2022)289 (europa.eu)</w:t>
      </w:r>
    </w:p>
    <w:p w14:paraId="077D38B0" w14:textId="1B7F0E6D" w:rsidR="00C905A4" w:rsidRPr="003B11BD" w:rsidRDefault="00C905A4" w:rsidP="000E3086">
      <w:pPr>
        <w:rPr>
          <w:noProof/>
          <w:lang w:val="en-IE"/>
        </w:rPr>
      </w:pPr>
    </w:p>
    <w:p w14:paraId="7CCB283B" w14:textId="1B7F0E6D" w:rsidR="00240043" w:rsidRPr="003B11BD" w:rsidRDefault="00240043" w:rsidP="000E3086">
      <w:pPr>
        <w:rPr>
          <w:noProof/>
          <w:lang w:val="en-IE"/>
        </w:rPr>
        <w:sectPr w:rsidR="00240043" w:rsidRPr="003B11BD" w:rsidSect="000B44D7">
          <w:headerReference w:type="even" r:id="rId95"/>
          <w:headerReference w:type="default" r:id="rId96"/>
          <w:footerReference w:type="even" r:id="rId97"/>
          <w:footerReference w:type="default" r:id="rId98"/>
          <w:headerReference w:type="first" r:id="rId99"/>
          <w:footerReference w:type="first" r:id="rId100"/>
          <w:pgSz w:w="16838" w:h="11906" w:orient="landscape"/>
          <w:pgMar w:top="1587" w:right="1020" w:bottom="1701" w:left="1020" w:header="601" w:footer="1077" w:gutter="0"/>
          <w:cols w:space="720"/>
          <w:titlePg/>
          <w:docGrid w:linePitch="326"/>
        </w:sectPr>
      </w:pPr>
    </w:p>
    <w:p w14:paraId="39136BBB" w14:textId="4A658476" w:rsidR="00724E8D" w:rsidRPr="003B11BD" w:rsidRDefault="00724E8D" w:rsidP="005E35C7">
      <w:pPr>
        <w:pStyle w:val="annexsubsection"/>
      </w:pPr>
      <w:r w:rsidRPr="003B11BD">
        <w:t xml:space="preserve">Compulsory </w:t>
      </w:r>
      <w:r w:rsidR="00C55853" w:rsidRPr="003B11BD">
        <w:t>licensing</w:t>
      </w:r>
      <w:r w:rsidRPr="003B11BD">
        <w:t xml:space="preserve"> during COVID crisis</w:t>
      </w:r>
    </w:p>
    <w:p w14:paraId="0ABB2692" w14:textId="3C4BC09C" w:rsidR="00724E8D" w:rsidRPr="003B11BD" w:rsidRDefault="00724E8D" w:rsidP="00724E8D">
      <w:pPr>
        <w:rPr>
          <w:rFonts w:eastAsiaTheme="minorEastAsia"/>
          <w:noProof/>
          <w:lang w:val="en-IE"/>
        </w:rPr>
      </w:pPr>
      <w:r w:rsidRPr="003B11BD">
        <w:rPr>
          <w:rFonts w:eastAsiaTheme="minorEastAsia"/>
          <w:noProof/>
          <w:lang w:val="en-IE"/>
        </w:rPr>
        <w:t xml:space="preserve">COVID-related </w:t>
      </w:r>
      <w:r w:rsidR="000B5D2D" w:rsidRPr="003B11BD">
        <w:rPr>
          <w:noProof/>
          <w:lang w:val="en-IE"/>
        </w:rPr>
        <w:t xml:space="preserve">compulsory licencing </w:t>
      </w:r>
      <w:r w:rsidRPr="003B11BD">
        <w:rPr>
          <w:rFonts w:eastAsiaTheme="minorEastAsia"/>
          <w:noProof/>
          <w:lang w:val="en-IE"/>
        </w:rPr>
        <w:t xml:space="preserve"> in the world:</w:t>
      </w:r>
    </w:p>
    <w:p w14:paraId="48C36B95" w14:textId="2D65334A" w:rsidR="00724E8D" w:rsidRPr="003B11BD" w:rsidRDefault="4F7A5182" w:rsidP="004C618F">
      <w:pPr>
        <w:pStyle w:val="Bullets"/>
        <w:rPr>
          <w:noProof/>
        </w:rPr>
      </w:pPr>
      <w:r w:rsidRPr="003B11BD">
        <w:rPr>
          <w:noProof/>
        </w:rPr>
        <w:t>Hungary: HIPO CL for Gilead’s remdesivir</w:t>
      </w:r>
      <w:r w:rsidR="00A4144C" w:rsidRPr="003B11BD">
        <w:rPr>
          <w:noProof/>
        </w:rPr>
        <w:t>;</w:t>
      </w:r>
      <w:r w:rsidRPr="003B11BD">
        <w:rPr>
          <w:noProof/>
        </w:rPr>
        <w:t xml:space="preserve"> </w:t>
      </w:r>
    </w:p>
    <w:p w14:paraId="0C0303FB" w14:textId="401B101D" w:rsidR="00724E8D" w:rsidRPr="003B11BD" w:rsidRDefault="4F7A5182" w:rsidP="004C618F">
      <w:pPr>
        <w:pStyle w:val="Bullets"/>
        <w:rPr>
          <w:noProof/>
        </w:rPr>
      </w:pPr>
      <w:r w:rsidRPr="003B11BD">
        <w:rPr>
          <w:noProof/>
        </w:rPr>
        <w:t>Israel: CL granted for Iopinavir/ritonavir (Kaletra) produced by Abbvie</w:t>
      </w:r>
      <w:r w:rsidR="00A4144C" w:rsidRPr="003B11BD">
        <w:rPr>
          <w:noProof/>
        </w:rPr>
        <w:t>;</w:t>
      </w:r>
    </w:p>
    <w:p w14:paraId="7B2F032F" w14:textId="64409E16" w:rsidR="00724E8D" w:rsidRPr="003B11BD" w:rsidRDefault="4F7A5182" w:rsidP="004C618F">
      <w:pPr>
        <w:pStyle w:val="Bullets"/>
        <w:rPr>
          <w:noProof/>
        </w:rPr>
      </w:pPr>
      <w:r w:rsidRPr="003B11BD">
        <w:rPr>
          <w:noProof/>
        </w:rPr>
        <w:t>Russia: CL granted by the government for the Eurasian patents (ЕА025252, ЕА025311, ЕА029712, ЕА020659, ЕА032239 and ЕА028742) Gilead for remdesivir</w:t>
      </w:r>
      <w:r w:rsidR="00A4144C" w:rsidRPr="003B11BD">
        <w:rPr>
          <w:noProof/>
        </w:rPr>
        <w:t>.</w:t>
      </w:r>
    </w:p>
    <w:p w14:paraId="650B0C9E" w14:textId="144C32EC" w:rsidR="00724E8D" w:rsidRPr="003B11BD" w:rsidRDefault="00724E8D" w:rsidP="00724E8D">
      <w:pPr>
        <w:pStyle w:val="Caption"/>
        <w:rPr>
          <w:noProof/>
          <w:lang w:val="en-IE"/>
        </w:rPr>
      </w:pPr>
      <w:r w:rsidRPr="003B11BD">
        <w:rPr>
          <w:noProof/>
          <w:lang w:val="en-IE"/>
        </w:rPr>
        <w:t xml:space="preserve">Source: </w:t>
      </w:r>
      <w:r w:rsidR="002D2640" w:rsidRPr="003B11BD">
        <w:rPr>
          <w:noProof/>
          <w:lang w:val="en-IE"/>
        </w:rPr>
        <w:t>CEIPI(2023), p</w:t>
      </w:r>
      <w:r w:rsidR="0097589D" w:rsidRPr="003B11BD">
        <w:rPr>
          <w:noProof/>
          <w:lang w:val="en-IE"/>
        </w:rPr>
        <w:t>.126</w:t>
      </w:r>
      <w:r w:rsidR="00A4144C" w:rsidRPr="003B11BD">
        <w:rPr>
          <w:noProof/>
          <w:lang w:val="en-IE"/>
        </w:rPr>
        <w:t>.</w:t>
      </w:r>
    </w:p>
    <w:p w14:paraId="1F7D95D0" w14:textId="7209A8C1" w:rsidR="00724E8D" w:rsidRPr="003B11BD" w:rsidRDefault="00724E8D" w:rsidP="005E35C7">
      <w:pPr>
        <w:pStyle w:val="annexsubsection"/>
        <w:rPr>
          <w:lang w:eastAsia="en-GB"/>
        </w:rPr>
      </w:pPr>
      <w:r w:rsidRPr="003B11BD">
        <w:rPr>
          <w:lang w:eastAsia="en-GB"/>
        </w:rPr>
        <w:t>Examples of compulsory licences</w:t>
      </w:r>
    </w:p>
    <w:p w14:paraId="09C85FC6" w14:textId="221915BB" w:rsidR="00FC6D56" w:rsidRPr="003B11BD" w:rsidRDefault="001134B7" w:rsidP="001134B7">
      <w:pPr>
        <w:pStyle w:val="Caption"/>
        <w:rPr>
          <w:noProof/>
          <w:lang w:val="en-IE"/>
        </w:rPr>
      </w:pPr>
      <w:bookmarkStart w:id="1156" w:name="_Ref121730766"/>
      <w:bookmarkStart w:id="1157" w:name="_Ref122599954"/>
      <w:r w:rsidRPr="003B11BD">
        <w:rPr>
          <w:noProof/>
          <w:lang w:val="en-IE"/>
        </w:rPr>
        <w:t xml:space="preserve">Table </w:t>
      </w:r>
      <w:r w:rsidR="00C6592A">
        <w:rPr>
          <w:noProof/>
          <w:lang w:val="en-IE"/>
        </w:rPr>
        <w:t>25</w:t>
      </w:r>
      <w:bookmarkEnd w:id="1156"/>
      <w:r w:rsidR="005E40B8" w:rsidRPr="003B11BD">
        <w:rPr>
          <w:noProof/>
          <w:lang w:val="en-IE"/>
        </w:rPr>
        <w:t>: Identified case law on compulsory licences</w:t>
      </w:r>
      <w:bookmarkEnd w:id="1157"/>
    </w:p>
    <w:tbl>
      <w:tblPr>
        <w:tblStyle w:val="TableGrid"/>
        <w:tblpPr w:topFromText="68" w:bottomFromText="68" w:vertAnchor="text" w:horzAnchor="margin" w:tblpX="105" w:tblpY="200"/>
        <w:tblW w:w="14710" w:type="dxa"/>
        <w:tblLayout w:type="fixed"/>
        <w:tblLook w:val="04A0" w:firstRow="1" w:lastRow="0" w:firstColumn="1" w:lastColumn="0" w:noHBand="0" w:noVBand="1"/>
      </w:tblPr>
      <w:tblGrid>
        <w:gridCol w:w="1101"/>
        <w:gridCol w:w="709"/>
        <w:gridCol w:w="1461"/>
        <w:gridCol w:w="1140"/>
        <w:gridCol w:w="1226"/>
        <w:gridCol w:w="5812"/>
        <w:gridCol w:w="1560"/>
        <w:gridCol w:w="1701"/>
      </w:tblGrid>
      <w:tr w:rsidR="00C458B8" w:rsidRPr="003B11BD" w14:paraId="4130CC67" w14:textId="77777777" w:rsidTr="002D2640">
        <w:trPr>
          <w:trHeight w:val="275"/>
        </w:trPr>
        <w:tc>
          <w:tcPr>
            <w:tcW w:w="1101" w:type="dxa"/>
            <w:hideMark/>
          </w:tcPr>
          <w:p w14:paraId="2E933FF9" w14:textId="79403C1F" w:rsidR="00C458B8" w:rsidRPr="003B11BD" w:rsidRDefault="00C458B8" w:rsidP="00F03230">
            <w:pPr>
              <w:pStyle w:val="Size10"/>
              <w:rPr>
                <w:noProof/>
              </w:rPr>
            </w:pPr>
            <w:r w:rsidRPr="003B11BD">
              <w:rPr>
                <w:noProof/>
              </w:rPr>
              <w:t>Member State</w:t>
            </w:r>
            <w:r w:rsidR="00935D5F" w:rsidRPr="003B11BD">
              <w:rPr>
                <w:noProof/>
              </w:rPr>
              <w:t xml:space="preserve"> / EU</w:t>
            </w:r>
          </w:p>
        </w:tc>
        <w:tc>
          <w:tcPr>
            <w:tcW w:w="709" w:type="dxa"/>
          </w:tcPr>
          <w:p w14:paraId="6209FA1D" w14:textId="77777777" w:rsidR="00C458B8" w:rsidRPr="003B11BD" w:rsidRDefault="00C458B8" w:rsidP="00F03230">
            <w:pPr>
              <w:pStyle w:val="Size10"/>
              <w:rPr>
                <w:noProof/>
              </w:rPr>
            </w:pPr>
            <w:r w:rsidRPr="003B11BD">
              <w:rPr>
                <w:noProof/>
              </w:rPr>
              <w:t>Year</w:t>
            </w:r>
          </w:p>
        </w:tc>
        <w:tc>
          <w:tcPr>
            <w:tcW w:w="1461" w:type="dxa"/>
          </w:tcPr>
          <w:p w14:paraId="33CD0F64" w14:textId="77777777" w:rsidR="00C458B8" w:rsidRPr="003B11BD" w:rsidRDefault="00C458B8" w:rsidP="00F03230">
            <w:pPr>
              <w:pStyle w:val="Size10"/>
              <w:rPr>
                <w:noProof/>
              </w:rPr>
            </w:pPr>
            <w:r w:rsidRPr="003B11BD">
              <w:rPr>
                <w:noProof/>
              </w:rPr>
              <w:t>Domain / product</w:t>
            </w:r>
          </w:p>
        </w:tc>
        <w:tc>
          <w:tcPr>
            <w:tcW w:w="1140" w:type="dxa"/>
          </w:tcPr>
          <w:p w14:paraId="5CD43589" w14:textId="77777777" w:rsidR="00C458B8" w:rsidRPr="003B11BD" w:rsidRDefault="00C458B8" w:rsidP="00F03230">
            <w:pPr>
              <w:pStyle w:val="Size10"/>
              <w:rPr>
                <w:noProof/>
              </w:rPr>
            </w:pPr>
            <w:r w:rsidRPr="003B11BD">
              <w:rPr>
                <w:noProof/>
              </w:rPr>
              <w:t>Outcome</w:t>
            </w:r>
          </w:p>
        </w:tc>
        <w:tc>
          <w:tcPr>
            <w:tcW w:w="1226" w:type="dxa"/>
          </w:tcPr>
          <w:p w14:paraId="5416AA2D" w14:textId="77777777" w:rsidR="00C458B8" w:rsidRPr="003B11BD" w:rsidRDefault="00C458B8" w:rsidP="00F03230">
            <w:pPr>
              <w:pStyle w:val="Size10"/>
              <w:rPr>
                <w:noProof/>
              </w:rPr>
            </w:pPr>
            <w:r w:rsidRPr="003B11BD">
              <w:rPr>
                <w:noProof/>
              </w:rPr>
              <w:t>Duration until CL granting</w:t>
            </w:r>
          </w:p>
        </w:tc>
        <w:tc>
          <w:tcPr>
            <w:tcW w:w="5812" w:type="dxa"/>
          </w:tcPr>
          <w:p w14:paraId="048B5F49" w14:textId="77777777" w:rsidR="00C458B8" w:rsidRPr="003B11BD" w:rsidRDefault="00C458B8" w:rsidP="00F03230">
            <w:pPr>
              <w:pStyle w:val="Size10"/>
              <w:rPr>
                <w:noProof/>
              </w:rPr>
            </w:pPr>
            <w:r w:rsidRPr="003B11BD">
              <w:rPr>
                <w:noProof/>
              </w:rPr>
              <w:t>Further information</w:t>
            </w:r>
          </w:p>
        </w:tc>
        <w:tc>
          <w:tcPr>
            <w:tcW w:w="1560" w:type="dxa"/>
          </w:tcPr>
          <w:p w14:paraId="71D32C50" w14:textId="77777777" w:rsidR="00C458B8" w:rsidRPr="003B11BD" w:rsidRDefault="00C458B8" w:rsidP="00F03230">
            <w:pPr>
              <w:pStyle w:val="Size10"/>
              <w:rPr>
                <w:noProof/>
              </w:rPr>
            </w:pPr>
            <w:r w:rsidRPr="003B11BD">
              <w:rPr>
                <w:noProof/>
              </w:rPr>
              <w:t>The parties</w:t>
            </w:r>
          </w:p>
        </w:tc>
        <w:tc>
          <w:tcPr>
            <w:tcW w:w="1701" w:type="dxa"/>
          </w:tcPr>
          <w:p w14:paraId="4D57ED20" w14:textId="77777777" w:rsidR="00C458B8" w:rsidRPr="003B11BD" w:rsidRDefault="00C458B8" w:rsidP="00F03230">
            <w:pPr>
              <w:pStyle w:val="Size10"/>
              <w:rPr>
                <w:noProof/>
              </w:rPr>
            </w:pPr>
            <w:r w:rsidRPr="003B11BD">
              <w:rPr>
                <w:noProof/>
              </w:rPr>
              <w:t>Source</w:t>
            </w:r>
          </w:p>
        </w:tc>
      </w:tr>
      <w:tr w:rsidR="00C458B8" w:rsidRPr="003B11BD" w14:paraId="2DCECCD7" w14:textId="77777777" w:rsidTr="002D2640">
        <w:trPr>
          <w:trHeight w:val="275"/>
        </w:trPr>
        <w:tc>
          <w:tcPr>
            <w:tcW w:w="1101" w:type="dxa"/>
          </w:tcPr>
          <w:p w14:paraId="081E54DA" w14:textId="77777777" w:rsidR="00C458B8" w:rsidRPr="003B11BD" w:rsidRDefault="00C458B8" w:rsidP="00F03230">
            <w:pPr>
              <w:pStyle w:val="Size10"/>
              <w:rPr>
                <w:noProof/>
              </w:rPr>
            </w:pPr>
            <w:r w:rsidRPr="003B11BD">
              <w:rPr>
                <w:noProof/>
              </w:rPr>
              <w:t>Austria</w:t>
            </w:r>
          </w:p>
        </w:tc>
        <w:tc>
          <w:tcPr>
            <w:tcW w:w="709" w:type="dxa"/>
          </w:tcPr>
          <w:p w14:paraId="0EA9E2F9" w14:textId="77777777" w:rsidR="00C458B8" w:rsidRPr="003B11BD" w:rsidRDefault="00C458B8" w:rsidP="00F03230">
            <w:pPr>
              <w:pStyle w:val="Size10"/>
              <w:rPr>
                <w:noProof/>
              </w:rPr>
            </w:pPr>
            <w:r w:rsidRPr="003B11BD">
              <w:rPr>
                <w:noProof/>
              </w:rPr>
              <w:t>1972</w:t>
            </w:r>
          </w:p>
        </w:tc>
        <w:tc>
          <w:tcPr>
            <w:tcW w:w="1461" w:type="dxa"/>
          </w:tcPr>
          <w:p w14:paraId="267531A4" w14:textId="77777777" w:rsidR="00C458B8" w:rsidRPr="003B11BD" w:rsidRDefault="00C458B8" w:rsidP="00F03230">
            <w:pPr>
              <w:pStyle w:val="Size10"/>
              <w:rPr>
                <w:noProof/>
              </w:rPr>
            </w:pPr>
            <w:r w:rsidRPr="003B11BD">
              <w:rPr>
                <w:noProof/>
              </w:rPr>
              <w:t>Medicine / Inderal, propranolol hydrochloride</w:t>
            </w:r>
          </w:p>
        </w:tc>
        <w:tc>
          <w:tcPr>
            <w:tcW w:w="1140" w:type="dxa"/>
          </w:tcPr>
          <w:p w14:paraId="78FE297B" w14:textId="77777777" w:rsidR="00C458B8" w:rsidRPr="003B11BD" w:rsidRDefault="00C458B8" w:rsidP="00F03230">
            <w:pPr>
              <w:pStyle w:val="Size10"/>
              <w:rPr>
                <w:noProof/>
              </w:rPr>
            </w:pPr>
            <w:r w:rsidRPr="003B11BD">
              <w:rPr>
                <w:noProof/>
              </w:rPr>
              <w:t>Issued and cancelled in review procedure</w:t>
            </w:r>
          </w:p>
        </w:tc>
        <w:tc>
          <w:tcPr>
            <w:tcW w:w="1226" w:type="dxa"/>
          </w:tcPr>
          <w:p w14:paraId="498A49C5" w14:textId="77777777" w:rsidR="00C458B8" w:rsidRPr="003B11BD" w:rsidRDefault="00C458B8" w:rsidP="00F03230">
            <w:pPr>
              <w:pStyle w:val="Size10"/>
              <w:rPr>
                <w:noProof/>
              </w:rPr>
            </w:pPr>
            <w:r w:rsidRPr="003B11BD">
              <w:rPr>
                <w:noProof/>
              </w:rPr>
              <w:t>Ca. 2 years and 8 months</w:t>
            </w:r>
          </w:p>
        </w:tc>
        <w:tc>
          <w:tcPr>
            <w:tcW w:w="5812" w:type="dxa"/>
          </w:tcPr>
          <w:p w14:paraId="593CEE98" w14:textId="77777777" w:rsidR="00C458B8" w:rsidRPr="003B11BD" w:rsidRDefault="00C458B8" w:rsidP="00F03230">
            <w:pPr>
              <w:pStyle w:val="Size10"/>
              <w:rPr>
                <w:noProof/>
              </w:rPr>
            </w:pPr>
            <w:r w:rsidRPr="003B11BD">
              <w:rPr>
                <w:noProof/>
              </w:rPr>
              <w:t>Application made on grounds of no sufficient exploitation of the patent.</w:t>
            </w:r>
          </w:p>
          <w:p w14:paraId="6244EBA9" w14:textId="77777777" w:rsidR="00C458B8" w:rsidRPr="003B11BD" w:rsidRDefault="00C458B8" w:rsidP="00F03230">
            <w:pPr>
              <w:pStyle w:val="Size10"/>
              <w:rPr>
                <w:noProof/>
              </w:rPr>
            </w:pPr>
            <w:r w:rsidRPr="003B11BD">
              <w:rPr>
                <w:noProof/>
              </w:rPr>
              <w:t xml:space="preserve">The CL was granted in first instance, but the appeal of the patentee against this decision was successful before the Supreme Court, and the application was dismissed. </w:t>
            </w:r>
          </w:p>
          <w:p w14:paraId="4F7B5490" w14:textId="77A35CF8" w:rsidR="00C458B8" w:rsidRPr="003B11BD" w:rsidRDefault="00C458B8" w:rsidP="00F03230">
            <w:pPr>
              <w:pStyle w:val="Size10"/>
              <w:rPr>
                <w:noProof/>
              </w:rPr>
            </w:pPr>
            <w:r w:rsidRPr="003B11BD">
              <w:rPr>
                <w:noProof/>
              </w:rPr>
              <w:t xml:space="preserve">The question at issue was whether the import of a product manufactured abroad using a patented process in Austria was or was not an “exploitation of the invention in Austria”. While the first instance did not accept such importation as an exploitation of the invention in Austria and therefore granted a CL, the board of appeals approached the issue from a different perspective and argued that under the circumstances, it was unreasonable to demand from the patentee to exploit the patent in Austria and reversed the first instance’s decision so that the CL was denied. </w:t>
            </w:r>
          </w:p>
          <w:p w14:paraId="4967EB69" w14:textId="77777777" w:rsidR="00C458B8" w:rsidRPr="003B11BD" w:rsidRDefault="00C458B8" w:rsidP="00F03230">
            <w:pPr>
              <w:pStyle w:val="Size10"/>
              <w:rPr>
                <w:noProof/>
              </w:rPr>
            </w:pPr>
            <w:r w:rsidRPr="003B11BD">
              <w:rPr>
                <w:noProof/>
              </w:rPr>
              <w:t>Remarkably, this case and further CJEU case law (C-235/89, C-30/90, C-191/90) finally led to the provision being amended.</w:t>
            </w:r>
          </w:p>
        </w:tc>
        <w:tc>
          <w:tcPr>
            <w:tcW w:w="1560" w:type="dxa"/>
          </w:tcPr>
          <w:p w14:paraId="32BEEAF2" w14:textId="77777777" w:rsidR="00C458B8" w:rsidRPr="003B11BD" w:rsidRDefault="00C458B8" w:rsidP="00F03230">
            <w:pPr>
              <w:pStyle w:val="Size10"/>
              <w:rPr>
                <w:noProof/>
              </w:rPr>
            </w:pPr>
            <w:r w:rsidRPr="003B11BD">
              <w:rPr>
                <w:noProof/>
              </w:rPr>
              <w:t xml:space="preserve">Claimant: Austrian company Arcana KG </w:t>
            </w:r>
          </w:p>
          <w:p w14:paraId="61480A8C" w14:textId="77777777" w:rsidR="00C458B8" w:rsidRPr="003B11BD" w:rsidRDefault="00C458B8" w:rsidP="00F03230">
            <w:pPr>
              <w:pStyle w:val="Size10"/>
              <w:rPr>
                <w:noProof/>
              </w:rPr>
            </w:pPr>
            <w:r w:rsidRPr="003B11BD">
              <w:rPr>
                <w:noProof/>
              </w:rPr>
              <w:t>Dr. G. Hurka</w:t>
            </w:r>
          </w:p>
          <w:p w14:paraId="23C98563" w14:textId="77777777" w:rsidR="00C458B8" w:rsidRPr="003B11BD" w:rsidRDefault="00C458B8" w:rsidP="00F03230">
            <w:pPr>
              <w:pStyle w:val="Size10"/>
              <w:rPr>
                <w:noProof/>
              </w:rPr>
            </w:pPr>
          </w:p>
          <w:p w14:paraId="050EE95B" w14:textId="77777777" w:rsidR="00C458B8" w:rsidRPr="003B11BD" w:rsidRDefault="00C458B8" w:rsidP="00F03230">
            <w:pPr>
              <w:pStyle w:val="Size10"/>
              <w:rPr>
                <w:noProof/>
              </w:rPr>
            </w:pPr>
            <w:r w:rsidRPr="003B11BD">
              <w:rPr>
                <w:noProof/>
              </w:rPr>
              <w:t>Defendant:  British company Imperial Chemical Industries Ltd</w:t>
            </w:r>
          </w:p>
        </w:tc>
        <w:tc>
          <w:tcPr>
            <w:tcW w:w="1701" w:type="dxa"/>
          </w:tcPr>
          <w:p w14:paraId="281AF8FD" w14:textId="77777777" w:rsidR="00C458B8" w:rsidRPr="003B11BD" w:rsidRDefault="00C458B8" w:rsidP="00F03230">
            <w:pPr>
              <w:pStyle w:val="Size10"/>
              <w:rPr>
                <w:noProof/>
              </w:rPr>
            </w:pPr>
            <w:r w:rsidRPr="003B11BD">
              <w:rPr>
                <w:noProof/>
              </w:rPr>
              <w:t>“Compulsory Licensing in Europe: A Country-by-Country Overview” (EPO, 2018), p. 10-11</w:t>
            </w:r>
          </w:p>
        </w:tc>
      </w:tr>
      <w:tr w:rsidR="00C458B8" w:rsidRPr="003B11BD" w14:paraId="3787280E" w14:textId="77777777" w:rsidTr="002D2640">
        <w:trPr>
          <w:trHeight w:val="93"/>
        </w:trPr>
        <w:tc>
          <w:tcPr>
            <w:tcW w:w="1101" w:type="dxa"/>
          </w:tcPr>
          <w:p w14:paraId="71952028" w14:textId="77777777" w:rsidR="00C458B8" w:rsidRPr="003B11BD" w:rsidRDefault="00C458B8" w:rsidP="00F03230">
            <w:pPr>
              <w:pStyle w:val="Size10"/>
              <w:rPr>
                <w:noProof/>
              </w:rPr>
            </w:pPr>
            <w:r w:rsidRPr="003B11BD">
              <w:rPr>
                <w:noProof/>
              </w:rPr>
              <w:t>Belgium</w:t>
            </w:r>
          </w:p>
        </w:tc>
        <w:tc>
          <w:tcPr>
            <w:tcW w:w="709" w:type="dxa"/>
          </w:tcPr>
          <w:p w14:paraId="00FF8663" w14:textId="77777777" w:rsidR="00C458B8" w:rsidRPr="003B11BD" w:rsidRDefault="00C458B8" w:rsidP="00F03230">
            <w:pPr>
              <w:pStyle w:val="Size10"/>
              <w:rPr>
                <w:noProof/>
              </w:rPr>
            </w:pPr>
            <w:r w:rsidRPr="003B11BD">
              <w:rPr>
                <w:noProof/>
              </w:rPr>
              <w:t>2022</w:t>
            </w:r>
          </w:p>
        </w:tc>
        <w:tc>
          <w:tcPr>
            <w:tcW w:w="1461" w:type="dxa"/>
          </w:tcPr>
          <w:p w14:paraId="65D32E26" w14:textId="77777777" w:rsidR="00C458B8" w:rsidRPr="003B11BD" w:rsidRDefault="00C458B8" w:rsidP="00F03230">
            <w:pPr>
              <w:pStyle w:val="Size10"/>
              <w:rPr>
                <w:noProof/>
              </w:rPr>
            </w:pPr>
            <w:r w:rsidRPr="003B11BD">
              <w:rPr>
                <w:noProof/>
              </w:rPr>
              <w:t>EP2160038B2 method for Tone Signalling</w:t>
            </w:r>
          </w:p>
        </w:tc>
        <w:tc>
          <w:tcPr>
            <w:tcW w:w="1140" w:type="dxa"/>
          </w:tcPr>
          <w:p w14:paraId="719E4BC2" w14:textId="77777777" w:rsidR="00C458B8" w:rsidRPr="003B11BD" w:rsidRDefault="00C458B8" w:rsidP="00F03230">
            <w:pPr>
              <w:pStyle w:val="Size10"/>
              <w:rPr>
                <w:noProof/>
              </w:rPr>
            </w:pPr>
            <w:r w:rsidRPr="003B11BD">
              <w:rPr>
                <w:noProof/>
              </w:rPr>
              <w:t>Appeal pending</w:t>
            </w:r>
          </w:p>
        </w:tc>
        <w:tc>
          <w:tcPr>
            <w:tcW w:w="1226" w:type="dxa"/>
          </w:tcPr>
          <w:p w14:paraId="60CD429E" w14:textId="77777777" w:rsidR="00C458B8" w:rsidRPr="003B11BD" w:rsidRDefault="00C458B8" w:rsidP="00F03230">
            <w:pPr>
              <w:pStyle w:val="Size10"/>
              <w:rPr>
                <w:noProof/>
              </w:rPr>
            </w:pPr>
          </w:p>
          <w:p w14:paraId="3D818C07"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5812" w:type="dxa"/>
          </w:tcPr>
          <w:p w14:paraId="2DE5C036" w14:textId="77777777" w:rsidR="00C458B8" w:rsidRPr="003B11BD" w:rsidRDefault="00C458B8" w:rsidP="00F03230">
            <w:pPr>
              <w:pStyle w:val="Size10"/>
              <w:rPr>
                <w:noProof/>
              </w:rPr>
            </w:pPr>
            <w:r w:rsidRPr="003B11BD">
              <w:rPr>
                <w:noProof/>
              </w:rPr>
              <w:t>With respect to Télé-Secours, the Court considered that Tunstall’s behaviour was abusive because the patented system became necessary to Télé-Secours’ activities over the years. This system was the safest way to connect the hardware sold by Tunstall to the Télé-Secours call center. If Télé-Secours could not use the patented system with third parties’ software, it would be forced to stay with Tunstall. The Court therefore considered that Tunstall’s refusal to license was an abuse of the economic dependency of Télé-Secours.</w:t>
            </w:r>
          </w:p>
          <w:p w14:paraId="72E086FD" w14:textId="77777777" w:rsidR="00C458B8" w:rsidRPr="003B11BD" w:rsidRDefault="00C458B8" w:rsidP="00F03230">
            <w:pPr>
              <w:pStyle w:val="Size10"/>
              <w:rPr>
                <w:noProof/>
              </w:rPr>
            </w:pPr>
            <w:r w:rsidRPr="003B11BD">
              <w:rPr>
                <w:noProof/>
              </w:rPr>
              <w:t>With respect to Victrix the Court also considered that Tunstall’s refusal to license was abusive. This license was necessary for Victrix to compete on the Belgian market and the refusal was discriminatory because Tunstall already licensed its technology to other major actors of the telecare market.</w:t>
            </w:r>
          </w:p>
          <w:p w14:paraId="77250914" w14:textId="77777777" w:rsidR="00C458B8" w:rsidRPr="003B11BD" w:rsidRDefault="00C458B8" w:rsidP="00F03230">
            <w:pPr>
              <w:pStyle w:val="Size10"/>
              <w:rPr>
                <w:noProof/>
              </w:rPr>
            </w:pPr>
            <w:r w:rsidRPr="003B11BD">
              <w:rPr>
                <w:noProof/>
              </w:rPr>
              <w:t>The Brussels court ordered Tunstall to grant a non-exclusive license to Télé-Secours and to Victrix for the remaining duration of the patent and for the Belgian territory. The the license fee should be equal to the average price paid by the other licensees taking into consideration the remaining duration of the patent. The parties have three months to conclude a license agreement. It also ordered Tunstall to furnish all information needed to use the protocols it developed based on its patented telecommunication system.</w:t>
            </w:r>
          </w:p>
        </w:tc>
        <w:tc>
          <w:tcPr>
            <w:tcW w:w="1560" w:type="dxa"/>
          </w:tcPr>
          <w:p w14:paraId="62DA2D50" w14:textId="77777777" w:rsidR="00C458B8" w:rsidRPr="003B11BD" w:rsidRDefault="00C458B8" w:rsidP="00F03230">
            <w:pPr>
              <w:pStyle w:val="Size10"/>
              <w:rPr>
                <w:noProof/>
              </w:rPr>
            </w:pPr>
            <w:r w:rsidRPr="003B11BD">
              <w:rPr>
                <w:noProof/>
              </w:rPr>
              <w:t>Claimant: Tunstall (UK)</w:t>
            </w:r>
          </w:p>
          <w:p w14:paraId="67094960" w14:textId="77777777" w:rsidR="00C458B8" w:rsidRPr="003B11BD" w:rsidRDefault="00C458B8" w:rsidP="00F03230">
            <w:pPr>
              <w:pStyle w:val="Size10"/>
              <w:rPr>
                <w:noProof/>
              </w:rPr>
            </w:pPr>
          </w:p>
          <w:p w14:paraId="6A50D69E" w14:textId="77777777" w:rsidR="00C458B8" w:rsidRPr="003B11BD" w:rsidRDefault="00C458B8" w:rsidP="00F03230">
            <w:pPr>
              <w:pStyle w:val="Size10"/>
              <w:rPr>
                <w:noProof/>
              </w:rPr>
            </w:pPr>
            <w:r w:rsidRPr="003B11BD">
              <w:rPr>
                <w:noProof/>
              </w:rPr>
              <w:t>Defendants : Victris SL (Spain) &amp; Téle-Secourts (Belgium)</w:t>
            </w:r>
          </w:p>
        </w:tc>
        <w:tc>
          <w:tcPr>
            <w:tcW w:w="1701" w:type="dxa"/>
          </w:tcPr>
          <w:p w14:paraId="3A465712" w14:textId="77777777" w:rsidR="00C458B8" w:rsidRPr="003B11BD" w:rsidRDefault="00C458B8" w:rsidP="00F03230">
            <w:pPr>
              <w:pStyle w:val="Size10"/>
              <w:rPr>
                <w:noProof/>
              </w:rPr>
            </w:pPr>
          </w:p>
        </w:tc>
      </w:tr>
      <w:tr w:rsidR="00C458B8" w:rsidRPr="003B11BD" w14:paraId="7CB30B0B" w14:textId="77777777" w:rsidTr="002D2640">
        <w:trPr>
          <w:trHeight w:val="93"/>
        </w:trPr>
        <w:tc>
          <w:tcPr>
            <w:tcW w:w="1101" w:type="dxa"/>
          </w:tcPr>
          <w:p w14:paraId="571864BF" w14:textId="77777777" w:rsidR="00C458B8" w:rsidRPr="003B11BD" w:rsidRDefault="00C458B8" w:rsidP="00F03230">
            <w:pPr>
              <w:pStyle w:val="Size10"/>
              <w:rPr>
                <w:noProof/>
              </w:rPr>
            </w:pPr>
            <w:r w:rsidRPr="003B11BD">
              <w:rPr>
                <w:noProof/>
              </w:rPr>
              <w:t>Bulgaria</w:t>
            </w:r>
          </w:p>
        </w:tc>
        <w:tc>
          <w:tcPr>
            <w:tcW w:w="709" w:type="dxa"/>
          </w:tcPr>
          <w:p w14:paraId="5DDDCE0C"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461" w:type="dxa"/>
          </w:tcPr>
          <w:p w14:paraId="21369A52"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140" w:type="dxa"/>
          </w:tcPr>
          <w:p w14:paraId="46CB0E36"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226" w:type="dxa"/>
          </w:tcPr>
          <w:p w14:paraId="76ECFFF6"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5812" w:type="dxa"/>
          </w:tcPr>
          <w:p w14:paraId="7D24721B" w14:textId="77777777" w:rsidR="00C458B8" w:rsidRPr="003B11BD" w:rsidRDefault="00C458B8" w:rsidP="00F03230">
            <w:pPr>
              <w:pStyle w:val="Size10"/>
              <w:rPr>
                <w:noProof/>
              </w:rPr>
            </w:pPr>
            <w:r w:rsidRPr="003B11BD">
              <w:rPr>
                <w:noProof/>
              </w:rPr>
              <w:t>No CL procedures were issued in Bulgaria (at least since 1993, the year the current Bulgarian Law of Patents and Utility Models Registration was first adopted).</w:t>
            </w:r>
          </w:p>
        </w:tc>
        <w:tc>
          <w:tcPr>
            <w:tcW w:w="1560" w:type="dxa"/>
          </w:tcPr>
          <w:p w14:paraId="7A3A6BD1"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701" w:type="dxa"/>
          </w:tcPr>
          <w:p w14:paraId="2E47346D" w14:textId="77777777" w:rsidR="00C458B8" w:rsidRPr="003B11BD" w:rsidRDefault="00C458B8" w:rsidP="00F03230">
            <w:pPr>
              <w:pStyle w:val="Size10"/>
              <w:rPr>
                <w:noProof/>
              </w:rPr>
            </w:pPr>
            <w:r w:rsidRPr="003B11BD">
              <w:rPr>
                <w:noProof/>
              </w:rPr>
              <w:t>“Compulsory Licensing in Europe: A Country-by-Country Overview” (EPO, 2018), p. 18</w:t>
            </w:r>
          </w:p>
        </w:tc>
      </w:tr>
      <w:tr w:rsidR="00C458B8" w:rsidRPr="003B11BD" w14:paraId="2312D94D" w14:textId="77777777" w:rsidTr="002D2640">
        <w:trPr>
          <w:trHeight w:val="93"/>
        </w:trPr>
        <w:tc>
          <w:tcPr>
            <w:tcW w:w="1101" w:type="dxa"/>
          </w:tcPr>
          <w:p w14:paraId="7BBB8FD7" w14:textId="77777777" w:rsidR="00C458B8" w:rsidRPr="003B11BD" w:rsidRDefault="00C458B8" w:rsidP="00F03230">
            <w:pPr>
              <w:pStyle w:val="Size10"/>
              <w:rPr>
                <w:noProof/>
              </w:rPr>
            </w:pPr>
            <w:r w:rsidRPr="003B11BD">
              <w:rPr>
                <w:noProof/>
              </w:rPr>
              <w:t>Croatia</w:t>
            </w:r>
          </w:p>
        </w:tc>
        <w:tc>
          <w:tcPr>
            <w:tcW w:w="709" w:type="dxa"/>
          </w:tcPr>
          <w:p w14:paraId="658A2C34"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461" w:type="dxa"/>
          </w:tcPr>
          <w:p w14:paraId="00CEC5E6"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140" w:type="dxa"/>
          </w:tcPr>
          <w:p w14:paraId="178AB776"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226" w:type="dxa"/>
          </w:tcPr>
          <w:p w14:paraId="3FACF878"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5812" w:type="dxa"/>
          </w:tcPr>
          <w:p w14:paraId="69C4E753" w14:textId="77777777" w:rsidR="00C458B8" w:rsidRPr="003B11BD" w:rsidRDefault="00C458B8" w:rsidP="00F03230">
            <w:pPr>
              <w:pStyle w:val="Size10"/>
              <w:rPr>
                <w:noProof/>
              </w:rPr>
            </w:pPr>
            <w:r w:rsidRPr="003B11BD">
              <w:rPr>
                <w:noProof/>
              </w:rPr>
              <w:t>There have been no cases concerning CL in Croatia.</w:t>
            </w:r>
          </w:p>
        </w:tc>
        <w:tc>
          <w:tcPr>
            <w:tcW w:w="1560" w:type="dxa"/>
          </w:tcPr>
          <w:p w14:paraId="41EB4780"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701" w:type="dxa"/>
          </w:tcPr>
          <w:p w14:paraId="7A22C600" w14:textId="77777777" w:rsidR="00C458B8" w:rsidRPr="003B11BD" w:rsidRDefault="00C458B8" w:rsidP="00F03230">
            <w:pPr>
              <w:pStyle w:val="Size10"/>
              <w:rPr>
                <w:noProof/>
              </w:rPr>
            </w:pPr>
            <w:r w:rsidRPr="003B11BD">
              <w:rPr>
                <w:noProof/>
              </w:rPr>
              <w:t>“Compulsory Licensing in Europe: A Country-by-Country Overview” (EPO, 2018), p. 56</w:t>
            </w:r>
          </w:p>
        </w:tc>
      </w:tr>
      <w:tr w:rsidR="00C458B8" w:rsidRPr="003B11BD" w14:paraId="4B087F35" w14:textId="77777777" w:rsidTr="002D2640">
        <w:trPr>
          <w:trHeight w:val="93"/>
        </w:trPr>
        <w:tc>
          <w:tcPr>
            <w:tcW w:w="1101" w:type="dxa"/>
          </w:tcPr>
          <w:p w14:paraId="252716A5" w14:textId="77777777" w:rsidR="00C458B8" w:rsidRPr="003B11BD" w:rsidRDefault="00C458B8" w:rsidP="00F03230">
            <w:pPr>
              <w:pStyle w:val="Size10"/>
              <w:rPr>
                <w:noProof/>
              </w:rPr>
            </w:pPr>
            <w:r w:rsidRPr="003B11BD">
              <w:rPr>
                <w:noProof/>
              </w:rPr>
              <w:t>Cyprus</w:t>
            </w:r>
          </w:p>
        </w:tc>
        <w:tc>
          <w:tcPr>
            <w:tcW w:w="709" w:type="dxa"/>
          </w:tcPr>
          <w:p w14:paraId="679C9034"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461" w:type="dxa"/>
          </w:tcPr>
          <w:p w14:paraId="7C551A0A"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140" w:type="dxa"/>
          </w:tcPr>
          <w:p w14:paraId="67D4FB33"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226" w:type="dxa"/>
          </w:tcPr>
          <w:p w14:paraId="70B5C03F"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5812" w:type="dxa"/>
          </w:tcPr>
          <w:p w14:paraId="079D203C" w14:textId="27399665" w:rsidR="00C458B8" w:rsidRPr="003B11BD" w:rsidRDefault="00C458B8" w:rsidP="00F03230">
            <w:pPr>
              <w:pStyle w:val="Size10"/>
              <w:rPr>
                <w:noProof/>
              </w:rPr>
            </w:pPr>
            <w:r w:rsidRPr="003B11BD">
              <w:rPr>
                <w:noProof/>
              </w:rPr>
              <w:t>There has been only one case in recent years, which related to licensing of a medication for a genetic condition ordered by the Council of Ministers under Art. 55 Cypriot Patents Law, Law 16(I) of 1998, as amended (1998 to 2006), but there is no reported decision as the issue was not contested.</w:t>
            </w:r>
          </w:p>
        </w:tc>
        <w:tc>
          <w:tcPr>
            <w:tcW w:w="1560" w:type="dxa"/>
          </w:tcPr>
          <w:p w14:paraId="31EA4E47"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701" w:type="dxa"/>
          </w:tcPr>
          <w:p w14:paraId="04C9C147" w14:textId="77777777" w:rsidR="00C458B8" w:rsidRPr="003B11BD" w:rsidRDefault="00C458B8" w:rsidP="00F03230">
            <w:pPr>
              <w:pStyle w:val="Size10"/>
              <w:rPr>
                <w:noProof/>
              </w:rPr>
            </w:pPr>
            <w:r w:rsidRPr="003B11BD">
              <w:rPr>
                <w:noProof/>
              </w:rPr>
              <w:t>“Compulsory Licensing in Europe: A Country-by-Country Overview” (EPO, 2018), p. 25</w:t>
            </w:r>
          </w:p>
        </w:tc>
      </w:tr>
      <w:tr w:rsidR="00C458B8" w:rsidRPr="003B11BD" w14:paraId="4CD44302" w14:textId="77777777" w:rsidTr="002D2640">
        <w:trPr>
          <w:trHeight w:val="93"/>
        </w:trPr>
        <w:tc>
          <w:tcPr>
            <w:tcW w:w="1101" w:type="dxa"/>
          </w:tcPr>
          <w:p w14:paraId="2004F9DC" w14:textId="77777777" w:rsidR="00C458B8" w:rsidRPr="003B11BD" w:rsidRDefault="00C458B8" w:rsidP="00F03230">
            <w:pPr>
              <w:pStyle w:val="Size10"/>
              <w:rPr>
                <w:noProof/>
              </w:rPr>
            </w:pPr>
            <w:r w:rsidRPr="003B11BD">
              <w:rPr>
                <w:noProof/>
              </w:rPr>
              <w:t>Czech Republic</w:t>
            </w:r>
          </w:p>
        </w:tc>
        <w:tc>
          <w:tcPr>
            <w:tcW w:w="709" w:type="dxa"/>
          </w:tcPr>
          <w:p w14:paraId="79F22C15" w14:textId="77777777" w:rsidR="00C458B8" w:rsidRPr="003B11BD" w:rsidRDefault="00C458B8" w:rsidP="00F03230">
            <w:pPr>
              <w:pStyle w:val="Size10"/>
              <w:rPr>
                <w:noProof/>
              </w:rPr>
            </w:pPr>
            <w:r w:rsidRPr="003B11BD">
              <w:rPr>
                <w:noProof/>
              </w:rPr>
              <w:t>2000</w:t>
            </w:r>
          </w:p>
        </w:tc>
        <w:tc>
          <w:tcPr>
            <w:tcW w:w="1461" w:type="dxa"/>
          </w:tcPr>
          <w:p w14:paraId="5A92268D" w14:textId="77777777" w:rsidR="00C458B8" w:rsidRPr="003B11BD" w:rsidRDefault="00C458B8" w:rsidP="00F03230">
            <w:pPr>
              <w:pStyle w:val="Size10"/>
              <w:rPr>
                <w:noProof/>
              </w:rPr>
            </w:pPr>
            <w:r w:rsidRPr="003B11BD">
              <w:rPr>
                <w:noProof/>
              </w:rPr>
              <w:t xml:space="preserve">No available information </w:t>
            </w:r>
          </w:p>
        </w:tc>
        <w:tc>
          <w:tcPr>
            <w:tcW w:w="1140" w:type="dxa"/>
          </w:tcPr>
          <w:p w14:paraId="33DDD20E" w14:textId="77777777" w:rsidR="00C458B8" w:rsidRPr="003B11BD" w:rsidRDefault="00C458B8" w:rsidP="00F03230">
            <w:pPr>
              <w:pStyle w:val="Size10"/>
              <w:rPr>
                <w:noProof/>
              </w:rPr>
            </w:pPr>
            <w:r w:rsidRPr="003B11BD">
              <w:rPr>
                <w:noProof/>
              </w:rPr>
              <w:t>Not issued</w:t>
            </w:r>
          </w:p>
        </w:tc>
        <w:tc>
          <w:tcPr>
            <w:tcW w:w="1226" w:type="dxa"/>
          </w:tcPr>
          <w:p w14:paraId="5FD02CF7" w14:textId="77777777" w:rsidR="00C458B8" w:rsidRPr="003B11BD" w:rsidRDefault="00C458B8" w:rsidP="00F03230">
            <w:pPr>
              <w:pStyle w:val="Size10"/>
              <w:rPr>
                <w:noProof/>
              </w:rPr>
            </w:pPr>
            <w:r w:rsidRPr="003B11BD">
              <w:rPr>
                <w:noProof/>
              </w:rPr>
              <w:softHyphen/>
            </w:r>
            <w:r w:rsidRPr="003B11BD">
              <w:rPr>
                <w:noProof/>
              </w:rPr>
              <w:softHyphen/>
            </w:r>
            <w:r w:rsidRPr="003B11BD">
              <w:rPr>
                <w:noProof/>
              </w:rPr>
              <w:softHyphen/>
            </w:r>
            <w:r w:rsidRPr="003B11BD">
              <w:rPr>
                <w:noProof/>
              </w:rPr>
              <w:softHyphen/>
              <w:t xml:space="preserve"> – –</w:t>
            </w:r>
          </w:p>
        </w:tc>
        <w:tc>
          <w:tcPr>
            <w:tcW w:w="5812" w:type="dxa"/>
          </w:tcPr>
          <w:p w14:paraId="5059DD51" w14:textId="77777777" w:rsidR="00C458B8" w:rsidRPr="003B11BD" w:rsidRDefault="00C458B8" w:rsidP="00F03230">
            <w:pPr>
              <w:pStyle w:val="Size10"/>
              <w:rPr>
                <w:noProof/>
              </w:rPr>
            </w:pPr>
            <w:r w:rsidRPr="003B11BD">
              <w:rPr>
                <w:noProof/>
              </w:rPr>
              <w:t>The application for a CL was rejected, because the patentee proved that it sufficiently works the invention through licensees in the Czech Republic.</w:t>
            </w:r>
          </w:p>
        </w:tc>
        <w:tc>
          <w:tcPr>
            <w:tcW w:w="1560" w:type="dxa"/>
          </w:tcPr>
          <w:p w14:paraId="228C413F" w14:textId="77777777" w:rsidR="00C458B8" w:rsidRPr="003B11BD" w:rsidRDefault="00C458B8" w:rsidP="00F03230">
            <w:pPr>
              <w:pStyle w:val="Size10"/>
              <w:rPr>
                <w:noProof/>
              </w:rPr>
            </w:pPr>
            <w:r w:rsidRPr="003B11BD">
              <w:rPr>
                <w:noProof/>
              </w:rPr>
              <w:t>Claimant:  Czech company EXIMPO</w:t>
            </w:r>
          </w:p>
          <w:p w14:paraId="79AFD909" w14:textId="77777777" w:rsidR="00C458B8" w:rsidRPr="003B11BD" w:rsidRDefault="00C458B8" w:rsidP="00F03230">
            <w:pPr>
              <w:pStyle w:val="Size10"/>
              <w:rPr>
                <w:noProof/>
              </w:rPr>
            </w:pPr>
          </w:p>
          <w:p w14:paraId="6A263596" w14:textId="77777777" w:rsidR="00C458B8" w:rsidRPr="003B11BD" w:rsidRDefault="00C458B8" w:rsidP="00F03230">
            <w:pPr>
              <w:pStyle w:val="Size10"/>
              <w:rPr>
                <w:noProof/>
              </w:rPr>
            </w:pPr>
            <w:r w:rsidRPr="003B11BD">
              <w:rPr>
                <w:noProof/>
              </w:rPr>
              <w:t xml:space="preserve">Defendant:  Philips </w:t>
            </w:r>
          </w:p>
          <w:p w14:paraId="56E2BD7E" w14:textId="77777777" w:rsidR="00C458B8" w:rsidRPr="003B11BD" w:rsidRDefault="00C458B8" w:rsidP="00F03230">
            <w:pPr>
              <w:pStyle w:val="Size10"/>
              <w:rPr>
                <w:noProof/>
              </w:rPr>
            </w:pPr>
            <w:r w:rsidRPr="003B11BD">
              <w:rPr>
                <w:noProof/>
              </w:rPr>
              <w:t>Electronics, N.V.</w:t>
            </w:r>
          </w:p>
        </w:tc>
        <w:tc>
          <w:tcPr>
            <w:tcW w:w="1701" w:type="dxa"/>
          </w:tcPr>
          <w:p w14:paraId="538C6A3B" w14:textId="77777777" w:rsidR="00C458B8" w:rsidRPr="003B11BD" w:rsidRDefault="00C458B8" w:rsidP="00F03230">
            <w:pPr>
              <w:pStyle w:val="Size10"/>
              <w:rPr>
                <w:noProof/>
              </w:rPr>
            </w:pPr>
            <w:r w:rsidRPr="003B11BD">
              <w:rPr>
                <w:noProof/>
              </w:rPr>
              <w:t>“Compulsory Licensing in Europe: A Country-by-Country Overview” (EPO, 2018), p. 28</w:t>
            </w:r>
          </w:p>
        </w:tc>
      </w:tr>
      <w:tr w:rsidR="00C458B8" w:rsidRPr="003B11BD" w14:paraId="55C5E380" w14:textId="77777777" w:rsidTr="002D2640">
        <w:trPr>
          <w:trHeight w:val="93"/>
        </w:trPr>
        <w:tc>
          <w:tcPr>
            <w:tcW w:w="1101" w:type="dxa"/>
            <w:vMerge w:val="restart"/>
          </w:tcPr>
          <w:p w14:paraId="061B7AF2" w14:textId="77777777" w:rsidR="00C458B8" w:rsidRPr="003B11BD" w:rsidRDefault="00C458B8" w:rsidP="00F03230">
            <w:pPr>
              <w:pStyle w:val="Size10"/>
              <w:rPr>
                <w:noProof/>
              </w:rPr>
            </w:pPr>
            <w:r w:rsidRPr="003B11BD">
              <w:rPr>
                <w:noProof/>
              </w:rPr>
              <w:t>Denmark</w:t>
            </w:r>
          </w:p>
        </w:tc>
        <w:tc>
          <w:tcPr>
            <w:tcW w:w="709" w:type="dxa"/>
          </w:tcPr>
          <w:p w14:paraId="674859DF" w14:textId="77777777" w:rsidR="00C458B8" w:rsidRPr="003B11BD" w:rsidRDefault="00C458B8" w:rsidP="00F03230">
            <w:pPr>
              <w:pStyle w:val="Size10"/>
              <w:rPr>
                <w:noProof/>
              </w:rPr>
            </w:pPr>
            <w:r w:rsidRPr="003B11BD">
              <w:rPr>
                <w:noProof/>
              </w:rPr>
              <w:t>1943</w:t>
            </w:r>
          </w:p>
        </w:tc>
        <w:tc>
          <w:tcPr>
            <w:tcW w:w="1461" w:type="dxa"/>
          </w:tcPr>
          <w:p w14:paraId="5DACB68C" w14:textId="77777777" w:rsidR="00C458B8" w:rsidRPr="003B11BD" w:rsidRDefault="00C458B8" w:rsidP="00F03230">
            <w:pPr>
              <w:pStyle w:val="Size10"/>
              <w:rPr>
                <w:noProof/>
              </w:rPr>
            </w:pPr>
            <w:r w:rsidRPr="003B11BD">
              <w:rPr>
                <w:noProof/>
              </w:rPr>
              <w:t>Medicine /  Isopropylantipyrin</w:t>
            </w:r>
          </w:p>
        </w:tc>
        <w:tc>
          <w:tcPr>
            <w:tcW w:w="1140" w:type="dxa"/>
          </w:tcPr>
          <w:p w14:paraId="45E40056" w14:textId="77777777" w:rsidR="00C458B8" w:rsidRPr="003B11BD" w:rsidRDefault="00C458B8" w:rsidP="00F03230">
            <w:pPr>
              <w:pStyle w:val="Size10"/>
              <w:rPr>
                <w:noProof/>
              </w:rPr>
            </w:pPr>
            <w:r w:rsidRPr="003B11BD">
              <w:rPr>
                <w:noProof/>
              </w:rPr>
              <w:t>Issued</w:t>
            </w:r>
          </w:p>
        </w:tc>
        <w:tc>
          <w:tcPr>
            <w:tcW w:w="1226" w:type="dxa"/>
          </w:tcPr>
          <w:p w14:paraId="56EDB729" w14:textId="77777777" w:rsidR="00C458B8" w:rsidRPr="003B11BD" w:rsidRDefault="00C458B8" w:rsidP="00F03230">
            <w:pPr>
              <w:pStyle w:val="Size10"/>
              <w:rPr>
                <w:noProof/>
              </w:rPr>
            </w:pPr>
            <w:r w:rsidRPr="003B11BD">
              <w:rPr>
                <w:noProof/>
              </w:rPr>
              <w:t>No available information</w:t>
            </w:r>
          </w:p>
        </w:tc>
        <w:tc>
          <w:tcPr>
            <w:tcW w:w="5812" w:type="dxa"/>
          </w:tcPr>
          <w:p w14:paraId="78988A84" w14:textId="77777777" w:rsidR="00C458B8" w:rsidRPr="003B11BD" w:rsidRDefault="00C458B8" w:rsidP="00F03230">
            <w:pPr>
              <w:pStyle w:val="Size10"/>
              <w:rPr>
                <w:noProof/>
              </w:rPr>
            </w:pPr>
            <w:r w:rsidRPr="003B11BD">
              <w:rPr>
                <w:noProof/>
              </w:rPr>
              <w:t>Application made on grounds of no sufficient exploitation of the patent.</w:t>
            </w:r>
          </w:p>
          <w:p w14:paraId="144C9525" w14:textId="77777777" w:rsidR="00C458B8" w:rsidRPr="003B11BD" w:rsidRDefault="00C458B8" w:rsidP="00F03230">
            <w:pPr>
              <w:pStyle w:val="Size10"/>
              <w:rPr>
                <w:noProof/>
              </w:rPr>
            </w:pPr>
            <w:r w:rsidRPr="003B11BD">
              <w:rPr>
                <w:noProof/>
              </w:rPr>
              <w:t>The Supreme Court confirmed a CL for production of a medicine during the Second World War as the product was not exploited in Denmark.</w:t>
            </w:r>
          </w:p>
        </w:tc>
        <w:tc>
          <w:tcPr>
            <w:tcW w:w="1560" w:type="dxa"/>
          </w:tcPr>
          <w:p w14:paraId="5902696F" w14:textId="77777777" w:rsidR="00C458B8" w:rsidRPr="003B11BD" w:rsidRDefault="00C458B8" w:rsidP="00F03230">
            <w:pPr>
              <w:pStyle w:val="Size10"/>
              <w:rPr>
                <w:noProof/>
              </w:rPr>
            </w:pPr>
            <w:r w:rsidRPr="003B11BD">
              <w:rPr>
                <w:noProof/>
              </w:rPr>
              <w:t>No available information</w:t>
            </w:r>
          </w:p>
        </w:tc>
        <w:tc>
          <w:tcPr>
            <w:tcW w:w="1701" w:type="dxa"/>
          </w:tcPr>
          <w:p w14:paraId="4C939B9E" w14:textId="77777777" w:rsidR="00C458B8" w:rsidRPr="003B11BD" w:rsidRDefault="00C458B8" w:rsidP="00F03230">
            <w:pPr>
              <w:pStyle w:val="Size10"/>
              <w:rPr>
                <w:noProof/>
              </w:rPr>
            </w:pPr>
            <w:r w:rsidRPr="003B11BD">
              <w:rPr>
                <w:noProof/>
              </w:rPr>
              <w:t>“Compulsory Licensing in Europe: A Country-by-Country Overview” (EPO, 2018), p. 34</w:t>
            </w:r>
          </w:p>
        </w:tc>
      </w:tr>
      <w:tr w:rsidR="00C458B8" w:rsidRPr="003B11BD" w14:paraId="78973D3A" w14:textId="77777777" w:rsidTr="002D2640">
        <w:trPr>
          <w:trHeight w:val="93"/>
        </w:trPr>
        <w:tc>
          <w:tcPr>
            <w:tcW w:w="1101" w:type="dxa"/>
            <w:vMerge/>
          </w:tcPr>
          <w:p w14:paraId="23B57CF2" w14:textId="77777777" w:rsidR="00C458B8" w:rsidRPr="003B11BD" w:rsidRDefault="00C458B8" w:rsidP="00F03230">
            <w:pPr>
              <w:pStyle w:val="Size10"/>
              <w:rPr>
                <w:noProof/>
              </w:rPr>
            </w:pPr>
          </w:p>
        </w:tc>
        <w:tc>
          <w:tcPr>
            <w:tcW w:w="709" w:type="dxa"/>
          </w:tcPr>
          <w:p w14:paraId="0487026B" w14:textId="77777777" w:rsidR="00C458B8" w:rsidRPr="003B11BD" w:rsidRDefault="00C458B8" w:rsidP="00F03230">
            <w:pPr>
              <w:pStyle w:val="Size10"/>
              <w:rPr>
                <w:noProof/>
              </w:rPr>
            </w:pPr>
            <w:r w:rsidRPr="003B11BD">
              <w:rPr>
                <w:noProof/>
              </w:rPr>
              <w:t>1966</w:t>
            </w:r>
          </w:p>
        </w:tc>
        <w:tc>
          <w:tcPr>
            <w:tcW w:w="1461" w:type="dxa"/>
          </w:tcPr>
          <w:p w14:paraId="4A7486AE" w14:textId="77777777" w:rsidR="00C458B8" w:rsidRPr="003B11BD" w:rsidRDefault="00C458B8" w:rsidP="00F03230">
            <w:pPr>
              <w:pStyle w:val="Size10"/>
              <w:rPr>
                <w:noProof/>
              </w:rPr>
            </w:pPr>
            <w:r w:rsidRPr="003B11BD">
              <w:rPr>
                <w:noProof/>
              </w:rPr>
              <w:t>Medicine /  Phenylbutazone</w:t>
            </w:r>
          </w:p>
        </w:tc>
        <w:tc>
          <w:tcPr>
            <w:tcW w:w="1140" w:type="dxa"/>
          </w:tcPr>
          <w:p w14:paraId="735FA9CF" w14:textId="77777777" w:rsidR="00C458B8" w:rsidRPr="003B11BD" w:rsidRDefault="00C458B8" w:rsidP="00F03230">
            <w:pPr>
              <w:pStyle w:val="Size10"/>
              <w:rPr>
                <w:noProof/>
              </w:rPr>
            </w:pPr>
            <w:r w:rsidRPr="003B11BD">
              <w:rPr>
                <w:noProof/>
              </w:rPr>
              <w:t>Issued</w:t>
            </w:r>
          </w:p>
        </w:tc>
        <w:tc>
          <w:tcPr>
            <w:tcW w:w="1226" w:type="dxa"/>
          </w:tcPr>
          <w:p w14:paraId="380259EB" w14:textId="77777777" w:rsidR="00C458B8" w:rsidRPr="003B11BD" w:rsidRDefault="00C458B8" w:rsidP="00F03230">
            <w:pPr>
              <w:pStyle w:val="Size10"/>
              <w:rPr>
                <w:noProof/>
              </w:rPr>
            </w:pPr>
            <w:r w:rsidRPr="003B11BD">
              <w:rPr>
                <w:noProof/>
              </w:rPr>
              <w:t>No available information</w:t>
            </w:r>
          </w:p>
        </w:tc>
        <w:tc>
          <w:tcPr>
            <w:tcW w:w="5812" w:type="dxa"/>
          </w:tcPr>
          <w:p w14:paraId="4D405F9E" w14:textId="77777777" w:rsidR="00C458B8" w:rsidRPr="003B11BD" w:rsidRDefault="00C458B8" w:rsidP="00F03230">
            <w:pPr>
              <w:pStyle w:val="Size10"/>
              <w:rPr>
                <w:noProof/>
              </w:rPr>
            </w:pPr>
            <w:r w:rsidRPr="003B11BD">
              <w:rPr>
                <w:noProof/>
              </w:rPr>
              <w:t>Application made on grounds of no sufficient exploitation of the patent.</w:t>
            </w:r>
          </w:p>
          <w:p w14:paraId="70F044E4" w14:textId="77777777" w:rsidR="00C458B8" w:rsidRPr="003B11BD" w:rsidRDefault="00C458B8" w:rsidP="00F03230">
            <w:pPr>
              <w:pStyle w:val="Size10"/>
              <w:rPr>
                <w:noProof/>
              </w:rPr>
            </w:pPr>
            <w:r w:rsidRPr="003B11BD">
              <w:rPr>
                <w:noProof/>
              </w:rPr>
              <w:t>The Danish Patents Commission granted a CL (today, only the courts have such competence) to a defendant due to the fact that the patent had not been sufficiently exploited in Denmark considering the demand for it and without there being any legitimate reasons for it. The decision was confirmed by the Maritime and Commercial Court and subsequently by the Supreme Court.</w:t>
            </w:r>
          </w:p>
        </w:tc>
        <w:tc>
          <w:tcPr>
            <w:tcW w:w="1560" w:type="dxa"/>
          </w:tcPr>
          <w:p w14:paraId="4C8FD8D0" w14:textId="77777777" w:rsidR="00C458B8" w:rsidRPr="003B11BD" w:rsidRDefault="00C458B8" w:rsidP="00F03230">
            <w:pPr>
              <w:pStyle w:val="Size10"/>
              <w:rPr>
                <w:noProof/>
              </w:rPr>
            </w:pPr>
            <w:r w:rsidRPr="003B11BD">
              <w:rPr>
                <w:noProof/>
              </w:rPr>
              <w:t>No available information</w:t>
            </w:r>
          </w:p>
        </w:tc>
        <w:tc>
          <w:tcPr>
            <w:tcW w:w="1701" w:type="dxa"/>
          </w:tcPr>
          <w:p w14:paraId="457D7250" w14:textId="19A67B91" w:rsidR="00C458B8" w:rsidRPr="003B11BD" w:rsidRDefault="00C458B8" w:rsidP="00F03230">
            <w:pPr>
              <w:pStyle w:val="Size10"/>
              <w:rPr>
                <w:noProof/>
              </w:rPr>
            </w:pPr>
            <w:r w:rsidRPr="003B11BD">
              <w:rPr>
                <w:noProof/>
              </w:rPr>
              <w:t>“Compulsory Licensing in Europe: A Country-by-Country Overview” (EPO, 2018), p. 34</w:t>
            </w:r>
          </w:p>
        </w:tc>
      </w:tr>
      <w:tr w:rsidR="00C458B8" w:rsidRPr="003B11BD" w14:paraId="5EC47CC9" w14:textId="77777777" w:rsidTr="002D2640">
        <w:trPr>
          <w:trHeight w:val="93"/>
        </w:trPr>
        <w:tc>
          <w:tcPr>
            <w:tcW w:w="1101" w:type="dxa"/>
            <w:vMerge/>
          </w:tcPr>
          <w:p w14:paraId="5D14D5ED" w14:textId="77777777" w:rsidR="00C458B8" w:rsidRPr="003B11BD" w:rsidRDefault="00C458B8" w:rsidP="00F03230">
            <w:pPr>
              <w:pStyle w:val="Size10"/>
              <w:rPr>
                <w:noProof/>
              </w:rPr>
            </w:pPr>
          </w:p>
        </w:tc>
        <w:tc>
          <w:tcPr>
            <w:tcW w:w="709" w:type="dxa"/>
          </w:tcPr>
          <w:p w14:paraId="035FC8AE" w14:textId="77777777" w:rsidR="00C458B8" w:rsidRPr="003B11BD" w:rsidRDefault="00C458B8" w:rsidP="00F03230">
            <w:pPr>
              <w:pStyle w:val="Size10"/>
              <w:rPr>
                <w:noProof/>
              </w:rPr>
            </w:pPr>
            <w:r w:rsidRPr="003B11BD">
              <w:rPr>
                <w:noProof/>
              </w:rPr>
              <w:t>1972</w:t>
            </w:r>
          </w:p>
        </w:tc>
        <w:tc>
          <w:tcPr>
            <w:tcW w:w="1461" w:type="dxa"/>
          </w:tcPr>
          <w:p w14:paraId="0CA27E0D" w14:textId="77777777" w:rsidR="00C458B8" w:rsidRPr="003B11BD" w:rsidRDefault="00C458B8" w:rsidP="00F03230">
            <w:pPr>
              <w:pStyle w:val="Size10"/>
              <w:rPr>
                <w:noProof/>
              </w:rPr>
            </w:pPr>
            <w:r w:rsidRPr="003B11BD">
              <w:rPr>
                <w:noProof/>
              </w:rPr>
              <w:t>Military / Delaying mechanism, which is part of the catapult seat</w:t>
            </w:r>
          </w:p>
        </w:tc>
        <w:tc>
          <w:tcPr>
            <w:tcW w:w="1140" w:type="dxa"/>
          </w:tcPr>
          <w:p w14:paraId="50CA6D19" w14:textId="77777777" w:rsidR="00C458B8" w:rsidRPr="003B11BD" w:rsidRDefault="00C458B8" w:rsidP="00F03230">
            <w:pPr>
              <w:pStyle w:val="Size10"/>
              <w:rPr>
                <w:noProof/>
              </w:rPr>
            </w:pPr>
            <w:r w:rsidRPr="003B11BD">
              <w:rPr>
                <w:noProof/>
              </w:rPr>
              <w:t>Issued</w:t>
            </w:r>
          </w:p>
        </w:tc>
        <w:tc>
          <w:tcPr>
            <w:tcW w:w="1226" w:type="dxa"/>
          </w:tcPr>
          <w:p w14:paraId="00C830A7" w14:textId="77777777" w:rsidR="00C458B8" w:rsidRPr="003B11BD" w:rsidRDefault="00C458B8" w:rsidP="00F03230">
            <w:pPr>
              <w:pStyle w:val="Size10"/>
              <w:rPr>
                <w:noProof/>
              </w:rPr>
            </w:pPr>
            <w:r w:rsidRPr="003B11BD">
              <w:rPr>
                <w:noProof/>
              </w:rPr>
              <w:t>No available information</w:t>
            </w:r>
          </w:p>
        </w:tc>
        <w:tc>
          <w:tcPr>
            <w:tcW w:w="5812" w:type="dxa"/>
          </w:tcPr>
          <w:p w14:paraId="1AFF1E9B" w14:textId="77777777" w:rsidR="00C458B8" w:rsidRPr="003B11BD" w:rsidRDefault="00C458B8" w:rsidP="00F03230">
            <w:pPr>
              <w:pStyle w:val="Size10"/>
              <w:rPr>
                <w:noProof/>
              </w:rPr>
            </w:pPr>
            <w:r w:rsidRPr="003B11BD">
              <w:rPr>
                <w:noProof/>
              </w:rPr>
              <w:t xml:space="preserve">The Danish Ministry of </w:t>
            </w:r>
          </w:p>
          <w:p w14:paraId="4845F308" w14:textId="77777777" w:rsidR="00C458B8" w:rsidRPr="003B11BD" w:rsidRDefault="00C458B8" w:rsidP="00F03230">
            <w:pPr>
              <w:pStyle w:val="Size10"/>
              <w:rPr>
                <w:noProof/>
              </w:rPr>
            </w:pPr>
            <w:r w:rsidRPr="003B11BD">
              <w:rPr>
                <w:noProof/>
              </w:rPr>
              <w:t xml:space="preserve">Defence had imported SAAB Draken fighter planes that had </w:t>
            </w:r>
          </w:p>
          <w:p w14:paraId="3E894D44" w14:textId="77777777" w:rsidR="00C458B8" w:rsidRPr="003B11BD" w:rsidRDefault="00C458B8" w:rsidP="00F03230">
            <w:pPr>
              <w:pStyle w:val="Size10"/>
              <w:rPr>
                <w:noProof/>
              </w:rPr>
            </w:pPr>
            <w:r w:rsidRPr="003B11BD">
              <w:rPr>
                <w:noProof/>
              </w:rPr>
              <w:t xml:space="preserve">catapult seats. An English company had a patent to a </w:t>
            </w:r>
          </w:p>
          <w:p w14:paraId="3465F349" w14:textId="77777777" w:rsidR="00C458B8" w:rsidRPr="003B11BD" w:rsidRDefault="00C458B8" w:rsidP="00F03230">
            <w:pPr>
              <w:pStyle w:val="Size10"/>
              <w:rPr>
                <w:noProof/>
              </w:rPr>
            </w:pPr>
            <w:r w:rsidRPr="003B11BD">
              <w:rPr>
                <w:noProof/>
              </w:rPr>
              <w:t xml:space="preserve">delaying mechanism that was part of the catapult seat. The </w:t>
            </w:r>
          </w:p>
          <w:p w14:paraId="4632F93B" w14:textId="77777777" w:rsidR="00C458B8" w:rsidRPr="003B11BD" w:rsidRDefault="00C458B8" w:rsidP="00F03230">
            <w:pPr>
              <w:pStyle w:val="Size10"/>
              <w:rPr>
                <w:noProof/>
              </w:rPr>
            </w:pPr>
            <w:r w:rsidRPr="003B11BD">
              <w:rPr>
                <w:noProof/>
              </w:rPr>
              <w:t xml:space="preserve">Danish Ministry of Defence and SAAB were awarded a </w:t>
            </w:r>
          </w:p>
          <w:p w14:paraId="2C9031BD" w14:textId="77777777" w:rsidR="00C458B8" w:rsidRPr="003B11BD" w:rsidRDefault="00C458B8" w:rsidP="00F03230">
            <w:pPr>
              <w:pStyle w:val="Size10"/>
              <w:rPr>
                <w:noProof/>
              </w:rPr>
            </w:pPr>
            <w:r w:rsidRPr="003B11BD">
              <w:rPr>
                <w:noProof/>
              </w:rPr>
              <w:t>compulsory licence for said delaying mechanism.</w:t>
            </w:r>
          </w:p>
        </w:tc>
        <w:tc>
          <w:tcPr>
            <w:tcW w:w="1560" w:type="dxa"/>
          </w:tcPr>
          <w:p w14:paraId="32D0E951" w14:textId="77777777" w:rsidR="00C458B8" w:rsidRPr="003B11BD" w:rsidRDefault="00C458B8" w:rsidP="00F03230">
            <w:pPr>
              <w:pStyle w:val="Size10"/>
              <w:rPr>
                <w:noProof/>
              </w:rPr>
            </w:pPr>
            <w:r w:rsidRPr="003B11BD">
              <w:rPr>
                <w:noProof/>
              </w:rPr>
              <w:t xml:space="preserve">Claimant:  Danish Ministry of </w:t>
            </w:r>
          </w:p>
          <w:p w14:paraId="1393911C" w14:textId="77777777" w:rsidR="00C458B8" w:rsidRPr="003B11BD" w:rsidRDefault="00C458B8" w:rsidP="00F03230">
            <w:pPr>
              <w:pStyle w:val="Size10"/>
              <w:rPr>
                <w:noProof/>
              </w:rPr>
            </w:pPr>
            <w:r w:rsidRPr="003B11BD">
              <w:rPr>
                <w:noProof/>
              </w:rPr>
              <w:t>Defence and SAAB</w:t>
            </w:r>
          </w:p>
          <w:p w14:paraId="734A6F4D" w14:textId="77777777" w:rsidR="00C458B8" w:rsidRPr="003B11BD" w:rsidRDefault="00C458B8" w:rsidP="00F03230">
            <w:pPr>
              <w:pStyle w:val="Size10"/>
              <w:rPr>
                <w:noProof/>
              </w:rPr>
            </w:pPr>
            <w:r w:rsidRPr="003B11BD">
              <w:rPr>
                <w:noProof/>
              </w:rPr>
              <w:t>Defendant: no available information</w:t>
            </w:r>
          </w:p>
        </w:tc>
        <w:tc>
          <w:tcPr>
            <w:tcW w:w="1701" w:type="dxa"/>
          </w:tcPr>
          <w:p w14:paraId="099CC880" w14:textId="264B8B55" w:rsidR="00C458B8" w:rsidRPr="003B11BD" w:rsidRDefault="00C458B8" w:rsidP="00F03230">
            <w:pPr>
              <w:pStyle w:val="Size10"/>
              <w:rPr>
                <w:noProof/>
              </w:rPr>
            </w:pPr>
            <w:r w:rsidRPr="003B11BD">
              <w:rPr>
                <w:noProof/>
              </w:rPr>
              <w:t>“Compulsory Licensing in Europe: A Country-by-Country Overview” (EPO, 2018), p. 34</w:t>
            </w:r>
          </w:p>
        </w:tc>
      </w:tr>
      <w:tr w:rsidR="00C458B8" w:rsidRPr="003B11BD" w14:paraId="12239014" w14:textId="77777777" w:rsidTr="2AFC8E44">
        <w:trPr>
          <w:trHeight w:val="2010"/>
        </w:trPr>
        <w:tc>
          <w:tcPr>
            <w:tcW w:w="1101" w:type="dxa"/>
          </w:tcPr>
          <w:p w14:paraId="32F42441" w14:textId="77777777" w:rsidR="00C458B8" w:rsidRPr="003B11BD" w:rsidRDefault="00C458B8" w:rsidP="00F03230">
            <w:pPr>
              <w:pStyle w:val="Size10"/>
              <w:rPr>
                <w:noProof/>
              </w:rPr>
            </w:pPr>
            <w:r w:rsidRPr="003B11BD">
              <w:rPr>
                <w:noProof/>
              </w:rPr>
              <w:t>Estonia</w:t>
            </w:r>
          </w:p>
        </w:tc>
        <w:tc>
          <w:tcPr>
            <w:tcW w:w="709" w:type="dxa"/>
          </w:tcPr>
          <w:p w14:paraId="5B1FA768"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461" w:type="dxa"/>
          </w:tcPr>
          <w:p w14:paraId="686619CB"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140" w:type="dxa"/>
          </w:tcPr>
          <w:p w14:paraId="2FF878DC"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226" w:type="dxa"/>
          </w:tcPr>
          <w:p w14:paraId="6A4149EA"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5812" w:type="dxa"/>
          </w:tcPr>
          <w:p w14:paraId="65BD8679" w14:textId="77777777" w:rsidR="00C458B8" w:rsidRPr="003B11BD" w:rsidRDefault="00C458B8" w:rsidP="00F03230">
            <w:pPr>
              <w:pStyle w:val="Size10"/>
              <w:rPr>
                <w:noProof/>
              </w:rPr>
            </w:pPr>
            <w:r w:rsidRPr="003B11BD">
              <w:rPr>
                <w:noProof/>
              </w:rPr>
              <w:t>There have been no cases concerning CL in Estonia.</w:t>
            </w:r>
          </w:p>
        </w:tc>
        <w:tc>
          <w:tcPr>
            <w:tcW w:w="1560" w:type="dxa"/>
          </w:tcPr>
          <w:p w14:paraId="32DCC273"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701" w:type="dxa"/>
          </w:tcPr>
          <w:p w14:paraId="5A1C7E3B" w14:textId="77777777" w:rsidR="00C458B8" w:rsidRPr="003B11BD" w:rsidRDefault="00C458B8" w:rsidP="00F03230">
            <w:pPr>
              <w:pStyle w:val="Size10"/>
              <w:rPr>
                <w:noProof/>
              </w:rPr>
            </w:pPr>
            <w:r w:rsidRPr="003B11BD">
              <w:rPr>
                <w:noProof/>
              </w:rPr>
              <w:t>“Compulsory Licensing in Europe: A Country-by-Country Overview” (EPO, 2018), p. 36</w:t>
            </w:r>
          </w:p>
        </w:tc>
      </w:tr>
      <w:tr w:rsidR="00C458B8" w:rsidRPr="003B11BD" w14:paraId="07DBC532" w14:textId="77777777" w:rsidTr="002D2640">
        <w:trPr>
          <w:trHeight w:val="275"/>
        </w:trPr>
        <w:tc>
          <w:tcPr>
            <w:tcW w:w="1101" w:type="dxa"/>
          </w:tcPr>
          <w:p w14:paraId="06F65639" w14:textId="77777777" w:rsidR="00C458B8" w:rsidRPr="003B11BD" w:rsidRDefault="00C458B8" w:rsidP="00F03230">
            <w:pPr>
              <w:pStyle w:val="Size10"/>
              <w:rPr>
                <w:noProof/>
              </w:rPr>
            </w:pPr>
            <w:r w:rsidRPr="003B11BD">
              <w:rPr>
                <w:noProof/>
              </w:rPr>
              <w:t>Finland</w:t>
            </w:r>
          </w:p>
        </w:tc>
        <w:tc>
          <w:tcPr>
            <w:tcW w:w="709" w:type="dxa"/>
          </w:tcPr>
          <w:p w14:paraId="335684BA" w14:textId="77777777" w:rsidR="00C458B8" w:rsidRPr="003B11BD" w:rsidRDefault="00C458B8" w:rsidP="00F03230">
            <w:pPr>
              <w:pStyle w:val="Size10"/>
              <w:rPr>
                <w:noProof/>
              </w:rPr>
            </w:pPr>
            <w:r w:rsidRPr="003B11BD">
              <w:rPr>
                <w:noProof/>
              </w:rPr>
              <w:t>1979</w:t>
            </w:r>
          </w:p>
        </w:tc>
        <w:tc>
          <w:tcPr>
            <w:tcW w:w="1461" w:type="dxa"/>
          </w:tcPr>
          <w:p w14:paraId="192E9A01" w14:textId="77777777" w:rsidR="00C458B8" w:rsidRPr="003B11BD" w:rsidRDefault="00C458B8" w:rsidP="00F03230">
            <w:pPr>
              <w:pStyle w:val="Size10"/>
              <w:rPr>
                <w:noProof/>
              </w:rPr>
            </w:pPr>
            <w:r w:rsidRPr="003B11BD">
              <w:rPr>
                <w:noProof/>
              </w:rPr>
              <w:t>Medicine</w:t>
            </w:r>
          </w:p>
        </w:tc>
        <w:tc>
          <w:tcPr>
            <w:tcW w:w="1140" w:type="dxa"/>
          </w:tcPr>
          <w:p w14:paraId="2BD6E850" w14:textId="77777777" w:rsidR="00C458B8" w:rsidRPr="003B11BD" w:rsidRDefault="00C458B8" w:rsidP="00F03230">
            <w:pPr>
              <w:pStyle w:val="Size10"/>
              <w:rPr>
                <w:noProof/>
              </w:rPr>
            </w:pPr>
            <w:r w:rsidRPr="003B11BD">
              <w:rPr>
                <w:noProof/>
              </w:rPr>
              <w:t>Not issued</w:t>
            </w:r>
          </w:p>
        </w:tc>
        <w:tc>
          <w:tcPr>
            <w:tcW w:w="1226" w:type="dxa"/>
          </w:tcPr>
          <w:p w14:paraId="6E9B17A2" w14:textId="77777777" w:rsidR="00C458B8" w:rsidRPr="003B11BD" w:rsidRDefault="00C458B8" w:rsidP="00F03230">
            <w:pPr>
              <w:pStyle w:val="Size10"/>
              <w:rPr>
                <w:noProof/>
              </w:rPr>
            </w:pPr>
            <w:r w:rsidRPr="003B11BD">
              <w:rPr>
                <w:noProof/>
              </w:rPr>
              <w:t>No available information</w:t>
            </w:r>
          </w:p>
        </w:tc>
        <w:tc>
          <w:tcPr>
            <w:tcW w:w="5812" w:type="dxa"/>
          </w:tcPr>
          <w:p w14:paraId="4EE68222" w14:textId="77777777" w:rsidR="00C458B8" w:rsidRPr="003B11BD" w:rsidRDefault="00C458B8" w:rsidP="00F03230">
            <w:pPr>
              <w:pStyle w:val="Size10"/>
              <w:rPr>
                <w:noProof/>
              </w:rPr>
            </w:pPr>
            <w:r w:rsidRPr="003B11BD">
              <w:rPr>
                <w:noProof/>
              </w:rPr>
              <w:t>Application made on grounds of no sufficient exploitation of the patent and of public interest.</w:t>
            </w:r>
          </w:p>
          <w:p w14:paraId="3BD6CA51" w14:textId="77777777" w:rsidR="00C458B8" w:rsidRPr="003B11BD" w:rsidRDefault="00C458B8" w:rsidP="00F03230">
            <w:pPr>
              <w:pStyle w:val="Size10"/>
              <w:rPr>
                <w:noProof/>
              </w:rPr>
            </w:pPr>
            <w:r w:rsidRPr="003B11BD">
              <w:rPr>
                <w:noProof/>
              </w:rPr>
              <w:t>The District Court concluded that also subjective reasons, such as market-related and economic reasons presented by the defendant in the case, could constitute a legitimate ground for non-exploitation of a patent within the meaning of Section 45 Finnish Patents Act (550/1967). As the demand for the drug was sufficiently satisfied through import and production in Finland, and was available at a reasonable price, also no such public interest as set forth in Section 47 existed. The decision was later confirmed by the Court of Appeals, and further appealed to the Supreme Court. The parties settled before the Supreme Court was able to render its decision.</w:t>
            </w:r>
          </w:p>
        </w:tc>
        <w:tc>
          <w:tcPr>
            <w:tcW w:w="1560" w:type="dxa"/>
          </w:tcPr>
          <w:p w14:paraId="3A1C4963" w14:textId="77777777" w:rsidR="00C458B8" w:rsidRPr="003B11BD" w:rsidRDefault="00C458B8" w:rsidP="00F03230">
            <w:pPr>
              <w:pStyle w:val="Size10"/>
              <w:rPr>
                <w:noProof/>
              </w:rPr>
            </w:pPr>
            <w:r w:rsidRPr="003B11BD">
              <w:rPr>
                <w:noProof/>
              </w:rPr>
              <w:t>No available information</w:t>
            </w:r>
          </w:p>
        </w:tc>
        <w:tc>
          <w:tcPr>
            <w:tcW w:w="1701" w:type="dxa"/>
          </w:tcPr>
          <w:p w14:paraId="6A382B23" w14:textId="77777777" w:rsidR="00C458B8" w:rsidRPr="003B11BD" w:rsidRDefault="00C458B8" w:rsidP="00F03230">
            <w:pPr>
              <w:pStyle w:val="Size10"/>
              <w:rPr>
                <w:noProof/>
              </w:rPr>
            </w:pPr>
            <w:r w:rsidRPr="003B11BD">
              <w:rPr>
                <w:noProof/>
              </w:rPr>
              <w:t>“Compulsory Licensing in Europe: A Country-by-Country Overview” (EPO, 2018), p. 42</w:t>
            </w:r>
          </w:p>
        </w:tc>
      </w:tr>
      <w:tr w:rsidR="00C458B8" w:rsidRPr="003B11BD" w14:paraId="69DBE17D" w14:textId="77777777" w:rsidTr="002D2640">
        <w:trPr>
          <w:trHeight w:val="275"/>
        </w:trPr>
        <w:tc>
          <w:tcPr>
            <w:tcW w:w="1101" w:type="dxa"/>
            <w:vMerge w:val="restart"/>
          </w:tcPr>
          <w:p w14:paraId="1528BCB9" w14:textId="77777777" w:rsidR="00C458B8" w:rsidRPr="003B11BD" w:rsidRDefault="00C458B8" w:rsidP="00F03230">
            <w:pPr>
              <w:pStyle w:val="Size10"/>
              <w:rPr>
                <w:noProof/>
              </w:rPr>
            </w:pPr>
            <w:r w:rsidRPr="003B11BD">
              <w:rPr>
                <w:noProof/>
              </w:rPr>
              <w:t>France</w:t>
            </w:r>
          </w:p>
        </w:tc>
        <w:tc>
          <w:tcPr>
            <w:tcW w:w="709" w:type="dxa"/>
          </w:tcPr>
          <w:p w14:paraId="56DCC977" w14:textId="77777777" w:rsidR="00C458B8" w:rsidRPr="003B11BD" w:rsidRDefault="00C458B8" w:rsidP="00F03230">
            <w:pPr>
              <w:pStyle w:val="Size10"/>
              <w:rPr>
                <w:noProof/>
              </w:rPr>
            </w:pPr>
            <w:r w:rsidRPr="003B11BD">
              <w:rPr>
                <w:noProof/>
              </w:rPr>
              <w:t>1983</w:t>
            </w:r>
          </w:p>
        </w:tc>
        <w:tc>
          <w:tcPr>
            <w:tcW w:w="1461" w:type="dxa"/>
          </w:tcPr>
          <w:p w14:paraId="6F29C646" w14:textId="77777777" w:rsidR="00C458B8" w:rsidRPr="003B11BD" w:rsidRDefault="00C458B8" w:rsidP="00F03230">
            <w:pPr>
              <w:pStyle w:val="Size10"/>
              <w:rPr>
                <w:noProof/>
              </w:rPr>
            </w:pPr>
            <w:r w:rsidRPr="003B11BD">
              <w:rPr>
                <w:noProof/>
              </w:rPr>
              <w:t>Motor vehicle safety / Coupling head intended to air brake systems on motor vehicles</w:t>
            </w:r>
          </w:p>
        </w:tc>
        <w:tc>
          <w:tcPr>
            <w:tcW w:w="1140" w:type="dxa"/>
          </w:tcPr>
          <w:p w14:paraId="30A868C9" w14:textId="77777777" w:rsidR="00C458B8" w:rsidRPr="003B11BD" w:rsidRDefault="00C458B8" w:rsidP="00F03230">
            <w:pPr>
              <w:pStyle w:val="Size10"/>
              <w:rPr>
                <w:noProof/>
              </w:rPr>
            </w:pPr>
            <w:r w:rsidRPr="003B11BD">
              <w:rPr>
                <w:noProof/>
              </w:rPr>
              <w:t>Issued</w:t>
            </w:r>
          </w:p>
        </w:tc>
        <w:tc>
          <w:tcPr>
            <w:tcW w:w="1226" w:type="dxa"/>
          </w:tcPr>
          <w:p w14:paraId="47C8BC83" w14:textId="77777777" w:rsidR="00C458B8" w:rsidRPr="003B11BD" w:rsidRDefault="00C458B8" w:rsidP="00F03230">
            <w:pPr>
              <w:pStyle w:val="Size10"/>
              <w:rPr>
                <w:noProof/>
              </w:rPr>
            </w:pPr>
            <w:r w:rsidRPr="003B11BD">
              <w:rPr>
                <w:noProof/>
              </w:rPr>
              <w:t>No available information</w:t>
            </w:r>
          </w:p>
        </w:tc>
        <w:tc>
          <w:tcPr>
            <w:tcW w:w="5812" w:type="dxa"/>
          </w:tcPr>
          <w:p w14:paraId="7AF4D117" w14:textId="77777777" w:rsidR="00C458B8" w:rsidRPr="003B11BD" w:rsidRDefault="00C458B8" w:rsidP="00F03230">
            <w:pPr>
              <w:pStyle w:val="Size10"/>
              <w:rPr>
                <w:noProof/>
              </w:rPr>
            </w:pPr>
            <w:r w:rsidRPr="003B11BD">
              <w:rPr>
                <w:noProof/>
              </w:rPr>
              <w:t>Application made on grounds of no sufficient exploitation of the patent.</w:t>
            </w:r>
          </w:p>
          <w:p w14:paraId="1D0667F4" w14:textId="77777777" w:rsidR="00C458B8" w:rsidRPr="003B11BD" w:rsidRDefault="00C458B8" w:rsidP="00F03230">
            <w:pPr>
              <w:pStyle w:val="Size10"/>
              <w:rPr>
                <w:noProof/>
              </w:rPr>
            </w:pPr>
          </w:p>
          <w:p w14:paraId="19CEB437" w14:textId="77777777" w:rsidR="00C458B8" w:rsidRPr="003B11BD" w:rsidRDefault="00C458B8" w:rsidP="00F03230">
            <w:pPr>
              <w:pStyle w:val="Size10"/>
              <w:rPr>
                <w:noProof/>
              </w:rPr>
            </w:pPr>
            <w:r w:rsidRPr="003B11BD">
              <w:rPr>
                <w:noProof/>
              </w:rPr>
              <w:t>A CL was granted to the alleged infringer because the patent owner did not exploit the patent in France (the patent was however exploited in Germany).</w:t>
            </w:r>
          </w:p>
        </w:tc>
        <w:tc>
          <w:tcPr>
            <w:tcW w:w="1560" w:type="dxa"/>
          </w:tcPr>
          <w:p w14:paraId="29E45AC7" w14:textId="77777777" w:rsidR="00C458B8" w:rsidRPr="003B11BD" w:rsidRDefault="00C458B8" w:rsidP="00F03230">
            <w:pPr>
              <w:pStyle w:val="Size10"/>
              <w:rPr>
                <w:noProof/>
              </w:rPr>
            </w:pPr>
            <w:r w:rsidRPr="003B11BD">
              <w:rPr>
                <w:noProof/>
              </w:rPr>
              <w:t>No available information</w:t>
            </w:r>
          </w:p>
          <w:p w14:paraId="387B51FF" w14:textId="77777777" w:rsidR="00C458B8" w:rsidRPr="003B11BD" w:rsidRDefault="00C458B8" w:rsidP="00F03230">
            <w:pPr>
              <w:pStyle w:val="Size10"/>
              <w:rPr>
                <w:noProof/>
              </w:rPr>
            </w:pPr>
          </w:p>
          <w:p w14:paraId="6E0564F9" w14:textId="77777777" w:rsidR="00C458B8" w:rsidRPr="003B11BD" w:rsidRDefault="00C458B8" w:rsidP="00F03230">
            <w:pPr>
              <w:pStyle w:val="Size10"/>
              <w:rPr>
                <w:noProof/>
              </w:rPr>
            </w:pPr>
          </w:p>
        </w:tc>
        <w:tc>
          <w:tcPr>
            <w:tcW w:w="1701" w:type="dxa"/>
          </w:tcPr>
          <w:p w14:paraId="5FFF8D48" w14:textId="77777777" w:rsidR="00C458B8" w:rsidRPr="003B11BD" w:rsidRDefault="00C458B8" w:rsidP="00F03230">
            <w:pPr>
              <w:pStyle w:val="Size10"/>
              <w:rPr>
                <w:noProof/>
              </w:rPr>
            </w:pPr>
            <w:r w:rsidRPr="003B11BD">
              <w:rPr>
                <w:noProof/>
              </w:rPr>
              <w:t>“Compulsory Licensing in Europe: A Country-by-Country Overview” (EPO, 2018), p. 45</w:t>
            </w:r>
          </w:p>
        </w:tc>
      </w:tr>
      <w:tr w:rsidR="00C458B8" w:rsidRPr="003B11BD" w14:paraId="2EAABAE9" w14:textId="77777777" w:rsidTr="002D2640">
        <w:trPr>
          <w:trHeight w:val="275"/>
        </w:trPr>
        <w:tc>
          <w:tcPr>
            <w:tcW w:w="1101" w:type="dxa"/>
            <w:vMerge/>
          </w:tcPr>
          <w:p w14:paraId="33666C8D" w14:textId="77777777" w:rsidR="00C458B8" w:rsidRPr="003B11BD" w:rsidRDefault="00C458B8" w:rsidP="00F03230">
            <w:pPr>
              <w:pStyle w:val="Size10"/>
              <w:rPr>
                <w:noProof/>
              </w:rPr>
            </w:pPr>
          </w:p>
        </w:tc>
        <w:tc>
          <w:tcPr>
            <w:tcW w:w="709" w:type="dxa"/>
          </w:tcPr>
          <w:p w14:paraId="7B5F2586" w14:textId="77777777" w:rsidR="00C458B8" w:rsidRPr="003B11BD" w:rsidRDefault="00C458B8" w:rsidP="00F03230">
            <w:pPr>
              <w:pStyle w:val="Size10"/>
              <w:rPr>
                <w:noProof/>
              </w:rPr>
            </w:pPr>
            <w:r w:rsidRPr="003B11BD">
              <w:rPr>
                <w:noProof/>
              </w:rPr>
              <w:t>1997</w:t>
            </w:r>
          </w:p>
        </w:tc>
        <w:tc>
          <w:tcPr>
            <w:tcW w:w="1461" w:type="dxa"/>
          </w:tcPr>
          <w:p w14:paraId="0C2F90C0" w14:textId="77777777" w:rsidR="00C458B8" w:rsidRPr="003B11BD" w:rsidRDefault="00C458B8" w:rsidP="00F03230">
            <w:pPr>
              <w:pStyle w:val="Size10"/>
              <w:rPr>
                <w:noProof/>
              </w:rPr>
            </w:pPr>
            <w:r w:rsidRPr="003B11BD">
              <w:rPr>
                <w:noProof/>
              </w:rPr>
              <w:t>Industrial production of meat / Machine for the automatic production of  skewers</w:t>
            </w:r>
          </w:p>
        </w:tc>
        <w:tc>
          <w:tcPr>
            <w:tcW w:w="1140" w:type="dxa"/>
          </w:tcPr>
          <w:p w14:paraId="17D0CE06" w14:textId="77777777" w:rsidR="00C458B8" w:rsidRPr="003B11BD" w:rsidRDefault="00C458B8" w:rsidP="00F03230">
            <w:pPr>
              <w:pStyle w:val="Size10"/>
              <w:rPr>
                <w:noProof/>
              </w:rPr>
            </w:pPr>
            <w:r w:rsidRPr="003B11BD">
              <w:rPr>
                <w:noProof/>
              </w:rPr>
              <w:t>Issued</w:t>
            </w:r>
          </w:p>
        </w:tc>
        <w:tc>
          <w:tcPr>
            <w:tcW w:w="1226" w:type="dxa"/>
          </w:tcPr>
          <w:p w14:paraId="407C7F77" w14:textId="77777777" w:rsidR="00C458B8" w:rsidRPr="003B11BD" w:rsidRDefault="00C458B8" w:rsidP="00F03230">
            <w:pPr>
              <w:pStyle w:val="Size10"/>
              <w:rPr>
                <w:noProof/>
              </w:rPr>
            </w:pPr>
            <w:r w:rsidRPr="003B11BD">
              <w:rPr>
                <w:noProof/>
              </w:rPr>
              <w:t>No available information</w:t>
            </w:r>
          </w:p>
        </w:tc>
        <w:tc>
          <w:tcPr>
            <w:tcW w:w="5812" w:type="dxa"/>
          </w:tcPr>
          <w:p w14:paraId="0332D66B" w14:textId="77777777" w:rsidR="00C458B8" w:rsidRPr="003B11BD" w:rsidRDefault="00C458B8" w:rsidP="00F03230">
            <w:pPr>
              <w:pStyle w:val="Size10"/>
              <w:rPr>
                <w:noProof/>
              </w:rPr>
            </w:pPr>
            <w:r w:rsidRPr="003B11BD">
              <w:rPr>
                <w:noProof/>
              </w:rPr>
              <w:t>Application made on grounds of no sufficient exploitation of the patent.</w:t>
            </w:r>
          </w:p>
          <w:p w14:paraId="505886B6" w14:textId="77777777" w:rsidR="00C458B8" w:rsidRPr="003B11BD" w:rsidRDefault="00C458B8" w:rsidP="00F03230">
            <w:pPr>
              <w:pStyle w:val="Size10"/>
              <w:rPr>
                <w:noProof/>
              </w:rPr>
            </w:pPr>
          </w:p>
          <w:p w14:paraId="6F34C4AA" w14:textId="77777777" w:rsidR="00C458B8" w:rsidRPr="003B11BD" w:rsidRDefault="00C458B8" w:rsidP="00F03230">
            <w:pPr>
              <w:pStyle w:val="Size10"/>
              <w:rPr>
                <w:noProof/>
              </w:rPr>
            </w:pPr>
            <w:r w:rsidRPr="003B11BD">
              <w:rPr>
                <w:noProof/>
              </w:rPr>
              <w:t>The defendant was the owner of a patent on a machine for the automatic production of skewers, which the defendant was not exploiting. For this reason, the Court of Appeal granted a licence on the patent to the claimant, a company commercialising a machine for the automatic production of skewers.</w:t>
            </w:r>
          </w:p>
        </w:tc>
        <w:tc>
          <w:tcPr>
            <w:tcW w:w="1560" w:type="dxa"/>
          </w:tcPr>
          <w:p w14:paraId="5669A8B7" w14:textId="77777777" w:rsidR="00C458B8" w:rsidRPr="003B11BD" w:rsidRDefault="00C458B8" w:rsidP="00F03230">
            <w:pPr>
              <w:pStyle w:val="Size10"/>
              <w:rPr>
                <w:noProof/>
              </w:rPr>
            </w:pPr>
            <w:r w:rsidRPr="003B11BD">
              <w:rPr>
                <w:noProof/>
              </w:rPr>
              <w:t>Claimant: NIJAL</w:t>
            </w:r>
          </w:p>
          <w:p w14:paraId="2E7A512B" w14:textId="77777777" w:rsidR="00C458B8" w:rsidRPr="003B11BD" w:rsidRDefault="00C458B8" w:rsidP="00F03230">
            <w:pPr>
              <w:pStyle w:val="Size10"/>
              <w:rPr>
                <w:noProof/>
              </w:rPr>
            </w:pPr>
          </w:p>
          <w:p w14:paraId="2588AC8C" w14:textId="77777777" w:rsidR="00C458B8" w:rsidRPr="003B11BD" w:rsidRDefault="00C458B8" w:rsidP="00F03230">
            <w:pPr>
              <w:pStyle w:val="Size10"/>
              <w:rPr>
                <w:noProof/>
              </w:rPr>
            </w:pPr>
            <w:r w:rsidRPr="003B11BD">
              <w:rPr>
                <w:noProof/>
              </w:rPr>
              <w:t>Defendant: EMSENS</w:t>
            </w:r>
          </w:p>
        </w:tc>
        <w:tc>
          <w:tcPr>
            <w:tcW w:w="1701" w:type="dxa"/>
          </w:tcPr>
          <w:p w14:paraId="07504D1B" w14:textId="51170930" w:rsidR="00C458B8" w:rsidRPr="003B11BD" w:rsidRDefault="00C458B8" w:rsidP="00F03230">
            <w:pPr>
              <w:pStyle w:val="Size10"/>
              <w:rPr>
                <w:noProof/>
              </w:rPr>
            </w:pPr>
            <w:r w:rsidRPr="003B11BD">
              <w:rPr>
                <w:noProof/>
              </w:rPr>
              <w:t>“Compulsory Licensing in Europe: A Country-by-Country Overview” (EPO, 2018), p. 45</w:t>
            </w:r>
          </w:p>
        </w:tc>
      </w:tr>
      <w:tr w:rsidR="00C458B8" w:rsidRPr="003B11BD" w14:paraId="11B7E33F" w14:textId="77777777" w:rsidTr="002D2640">
        <w:trPr>
          <w:trHeight w:val="275"/>
        </w:trPr>
        <w:tc>
          <w:tcPr>
            <w:tcW w:w="1101" w:type="dxa"/>
            <w:vMerge/>
          </w:tcPr>
          <w:p w14:paraId="66D135AA" w14:textId="77777777" w:rsidR="00C458B8" w:rsidRPr="003B11BD" w:rsidRDefault="00C458B8" w:rsidP="00F03230">
            <w:pPr>
              <w:pStyle w:val="Size10"/>
              <w:rPr>
                <w:noProof/>
              </w:rPr>
            </w:pPr>
          </w:p>
        </w:tc>
        <w:tc>
          <w:tcPr>
            <w:tcW w:w="709" w:type="dxa"/>
          </w:tcPr>
          <w:p w14:paraId="03049D5E" w14:textId="77777777" w:rsidR="00C458B8" w:rsidRPr="003B11BD" w:rsidRDefault="00C458B8" w:rsidP="00F03230">
            <w:pPr>
              <w:pStyle w:val="Size10"/>
              <w:rPr>
                <w:noProof/>
              </w:rPr>
            </w:pPr>
            <w:r w:rsidRPr="003B11BD">
              <w:rPr>
                <w:noProof/>
              </w:rPr>
              <w:t>2003</w:t>
            </w:r>
          </w:p>
        </w:tc>
        <w:tc>
          <w:tcPr>
            <w:tcW w:w="1461" w:type="dxa"/>
          </w:tcPr>
          <w:p w14:paraId="6315D41F" w14:textId="77777777" w:rsidR="00C458B8" w:rsidRPr="003B11BD" w:rsidRDefault="00C458B8" w:rsidP="00F03230">
            <w:pPr>
              <w:pStyle w:val="Size10"/>
              <w:rPr>
                <w:noProof/>
              </w:rPr>
            </w:pPr>
            <w:r w:rsidRPr="003B11BD">
              <w:rPr>
                <w:noProof/>
              </w:rPr>
              <w:t>No available information</w:t>
            </w:r>
          </w:p>
        </w:tc>
        <w:tc>
          <w:tcPr>
            <w:tcW w:w="1140" w:type="dxa"/>
          </w:tcPr>
          <w:p w14:paraId="57779336" w14:textId="77777777" w:rsidR="00C458B8" w:rsidRPr="003B11BD" w:rsidRDefault="00C458B8" w:rsidP="00F03230">
            <w:pPr>
              <w:pStyle w:val="Size10"/>
              <w:rPr>
                <w:noProof/>
              </w:rPr>
            </w:pPr>
            <w:r w:rsidRPr="003B11BD">
              <w:rPr>
                <w:noProof/>
              </w:rPr>
              <w:t>Not issued</w:t>
            </w:r>
          </w:p>
        </w:tc>
        <w:tc>
          <w:tcPr>
            <w:tcW w:w="1226" w:type="dxa"/>
          </w:tcPr>
          <w:p w14:paraId="21576951"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5812" w:type="dxa"/>
          </w:tcPr>
          <w:p w14:paraId="31701514" w14:textId="77777777" w:rsidR="00C458B8" w:rsidRPr="003B11BD" w:rsidRDefault="00C458B8" w:rsidP="00F03230">
            <w:pPr>
              <w:pStyle w:val="Size10"/>
              <w:rPr>
                <w:noProof/>
              </w:rPr>
            </w:pPr>
            <w:r w:rsidRPr="003B11BD">
              <w:rPr>
                <w:noProof/>
              </w:rPr>
              <w:t>The requested CL was not granted because the patent had expired.</w:t>
            </w:r>
          </w:p>
        </w:tc>
        <w:tc>
          <w:tcPr>
            <w:tcW w:w="1560" w:type="dxa"/>
          </w:tcPr>
          <w:p w14:paraId="33E57323" w14:textId="77777777" w:rsidR="00C458B8" w:rsidRPr="003B11BD" w:rsidRDefault="00C458B8" w:rsidP="00F03230">
            <w:pPr>
              <w:pStyle w:val="Size10"/>
              <w:rPr>
                <w:noProof/>
              </w:rPr>
            </w:pPr>
            <w:r w:rsidRPr="003B11BD">
              <w:rPr>
                <w:noProof/>
              </w:rPr>
              <w:t>No available information</w:t>
            </w:r>
          </w:p>
        </w:tc>
        <w:tc>
          <w:tcPr>
            <w:tcW w:w="1701" w:type="dxa"/>
          </w:tcPr>
          <w:p w14:paraId="047EDB83" w14:textId="4C73AE41" w:rsidR="00C458B8" w:rsidRPr="003B11BD" w:rsidRDefault="00C458B8" w:rsidP="00F03230">
            <w:pPr>
              <w:pStyle w:val="Size10"/>
              <w:rPr>
                <w:noProof/>
              </w:rPr>
            </w:pPr>
            <w:r w:rsidRPr="003B11BD">
              <w:rPr>
                <w:noProof/>
              </w:rPr>
              <w:t>“Compulsory Licensing in Europe: A Country-by-Country Overview” (EPO, 2018), p. 44</w:t>
            </w:r>
          </w:p>
        </w:tc>
      </w:tr>
      <w:tr w:rsidR="00C458B8" w:rsidRPr="003B11BD" w14:paraId="1FA84FF4" w14:textId="77777777" w:rsidTr="002D2640">
        <w:trPr>
          <w:trHeight w:val="90"/>
        </w:trPr>
        <w:tc>
          <w:tcPr>
            <w:tcW w:w="1101" w:type="dxa"/>
            <w:vMerge w:val="restart"/>
          </w:tcPr>
          <w:p w14:paraId="56959345" w14:textId="77777777" w:rsidR="00C458B8" w:rsidRPr="003B11BD" w:rsidRDefault="00C458B8" w:rsidP="00F03230">
            <w:pPr>
              <w:pStyle w:val="Size10"/>
              <w:rPr>
                <w:noProof/>
              </w:rPr>
            </w:pPr>
            <w:r w:rsidRPr="003B11BD">
              <w:rPr>
                <w:noProof/>
              </w:rPr>
              <w:t>Germany</w:t>
            </w:r>
          </w:p>
        </w:tc>
        <w:tc>
          <w:tcPr>
            <w:tcW w:w="709" w:type="dxa"/>
          </w:tcPr>
          <w:p w14:paraId="433F9E6D" w14:textId="77777777" w:rsidR="00C458B8" w:rsidRPr="003B11BD" w:rsidRDefault="00C458B8" w:rsidP="00F03230">
            <w:pPr>
              <w:pStyle w:val="Size10"/>
              <w:rPr>
                <w:noProof/>
              </w:rPr>
            </w:pPr>
            <w:r w:rsidRPr="003B11BD">
              <w:rPr>
                <w:noProof/>
              </w:rPr>
              <w:t>1995</w:t>
            </w:r>
          </w:p>
        </w:tc>
        <w:tc>
          <w:tcPr>
            <w:tcW w:w="1461" w:type="dxa"/>
          </w:tcPr>
          <w:p w14:paraId="7AAD85B3" w14:textId="77777777" w:rsidR="00C458B8" w:rsidRPr="003B11BD" w:rsidRDefault="00C458B8" w:rsidP="00F03230">
            <w:pPr>
              <w:pStyle w:val="Size10"/>
              <w:rPr>
                <w:noProof/>
              </w:rPr>
            </w:pPr>
            <w:r w:rsidRPr="003B11BD">
              <w:rPr>
                <w:noProof/>
              </w:rPr>
              <w:t>Medicine / Interferon gamma (rheumatoid arthritis)</w:t>
            </w:r>
          </w:p>
        </w:tc>
        <w:tc>
          <w:tcPr>
            <w:tcW w:w="1140" w:type="dxa"/>
          </w:tcPr>
          <w:p w14:paraId="6DEF1684" w14:textId="77777777" w:rsidR="00C458B8" w:rsidRPr="003B11BD" w:rsidRDefault="00C458B8" w:rsidP="00F03230">
            <w:pPr>
              <w:pStyle w:val="Size10"/>
              <w:rPr>
                <w:noProof/>
              </w:rPr>
            </w:pPr>
            <w:r w:rsidRPr="003B11BD">
              <w:rPr>
                <w:noProof/>
              </w:rPr>
              <w:t>Issued and cancelled in review procedure</w:t>
            </w:r>
          </w:p>
        </w:tc>
        <w:tc>
          <w:tcPr>
            <w:tcW w:w="1226" w:type="dxa"/>
          </w:tcPr>
          <w:p w14:paraId="083FB4C7"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5812" w:type="dxa"/>
          </w:tcPr>
          <w:p w14:paraId="0F06DC49" w14:textId="77777777" w:rsidR="00C458B8" w:rsidRPr="003B11BD" w:rsidRDefault="00C458B8" w:rsidP="00F03230">
            <w:pPr>
              <w:pStyle w:val="Size10"/>
              <w:rPr>
                <w:noProof/>
              </w:rPr>
            </w:pPr>
            <w:r w:rsidRPr="003B11BD">
              <w:rPr>
                <w:noProof/>
              </w:rPr>
              <w:t>The requested CL was not granted because the patent had expired.</w:t>
            </w:r>
          </w:p>
        </w:tc>
        <w:tc>
          <w:tcPr>
            <w:tcW w:w="1560" w:type="dxa"/>
          </w:tcPr>
          <w:p w14:paraId="153D9385" w14:textId="77777777" w:rsidR="00C458B8" w:rsidRPr="003B11BD" w:rsidRDefault="00C458B8" w:rsidP="00F03230">
            <w:pPr>
              <w:pStyle w:val="Size10"/>
              <w:rPr>
                <w:noProof/>
              </w:rPr>
            </w:pPr>
            <w:r w:rsidRPr="003B11BD">
              <w:rPr>
                <w:noProof/>
              </w:rPr>
              <w:t>Confidential</w:t>
            </w:r>
          </w:p>
        </w:tc>
        <w:tc>
          <w:tcPr>
            <w:tcW w:w="1701" w:type="dxa"/>
          </w:tcPr>
          <w:p w14:paraId="7651153A" w14:textId="77777777" w:rsidR="00C458B8" w:rsidRPr="003B11BD" w:rsidRDefault="00C458B8" w:rsidP="00F03230">
            <w:pPr>
              <w:pStyle w:val="Size10"/>
              <w:rPr>
                <w:noProof/>
              </w:rPr>
            </w:pPr>
            <w:r w:rsidRPr="003B11BD">
              <w:rPr>
                <w:noProof/>
              </w:rPr>
              <w:t>WHO/WIPO/WTO (2020), p. 240</w:t>
            </w:r>
          </w:p>
        </w:tc>
      </w:tr>
      <w:tr w:rsidR="00C458B8" w:rsidRPr="003B11BD" w14:paraId="3F0EB7F6" w14:textId="77777777" w:rsidTr="002D2640">
        <w:trPr>
          <w:trHeight w:val="90"/>
        </w:trPr>
        <w:tc>
          <w:tcPr>
            <w:tcW w:w="1101" w:type="dxa"/>
            <w:vMerge/>
          </w:tcPr>
          <w:p w14:paraId="170FFD1D" w14:textId="77777777" w:rsidR="00C458B8" w:rsidRPr="003B11BD" w:rsidRDefault="00C458B8" w:rsidP="00F03230">
            <w:pPr>
              <w:pStyle w:val="Size10"/>
              <w:rPr>
                <w:noProof/>
              </w:rPr>
            </w:pPr>
          </w:p>
        </w:tc>
        <w:tc>
          <w:tcPr>
            <w:tcW w:w="709" w:type="dxa"/>
          </w:tcPr>
          <w:p w14:paraId="5B6E0139" w14:textId="77777777" w:rsidR="00C458B8" w:rsidRPr="003B11BD" w:rsidRDefault="00C458B8" w:rsidP="00F03230">
            <w:pPr>
              <w:pStyle w:val="Size10"/>
              <w:rPr>
                <w:noProof/>
              </w:rPr>
            </w:pPr>
            <w:r w:rsidRPr="003B11BD">
              <w:rPr>
                <w:noProof/>
              </w:rPr>
              <w:t>2016</w:t>
            </w:r>
          </w:p>
        </w:tc>
        <w:tc>
          <w:tcPr>
            <w:tcW w:w="1461" w:type="dxa"/>
          </w:tcPr>
          <w:p w14:paraId="2631D0AF" w14:textId="77777777" w:rsidR="00C458B8" w:rsidRPr="003B11BD" w:rsidRDefault="00C458B8" w:rsidP="00F03230">
            <w:pPr>
              <w:pStyle w:val="Size10"/>
              <w:rPr>
                <w:noProof/>
              </w:rPr>
            </w:pPr>
            <w:r w:rsidRPr="003B11BD">
              <w:rPr>
                <w:noProof/>
              </w:rPr>
              <w:t>Medicine / Raltegravir (HIV/AIDS)</w:t>
            </w:r>
          </w:p>
        </w:tc>
        <w:tc>
          <w:tcPr>
            <w:tcW w:w="1140" w:type="dxa"/>
          </w:tcPr>
          <w:p w14:paraId="601F8F68" w14:textId="77777777" w:rsidR="00C458B8" w:rsidRPr="003B11BD" w:rsidRDefault="00C458B8" w:rsidP="00F03230">
            <w:pPr>
              <w:pStyle w:val="Size10"/>
              <w:rPr>
                <w:noProof/>
              </w:rPr>
            </w:pPr>
            <w:r w:rsidRPr="003B11BD">
              <w:rPr>
                <w:noProof/>
              </w:rPr>
              <w:t>Issued</w:t>
            </w:r>
          </w:p>
        </w:tc>
        <w:tc>
          <w:tcPr>
            <w:tcW w:w="1226" w:type="dxa"/>
          </w:tcPr>
          <w:p w14:paraId="35CD6DB6" w14:textId="77777777" w:rsidR="00C458B8" w:rsidRPr="003B11BD" w:rsidRDefault="00C458B8" w:rsidP="00F03230">
            <w:pPr>
              <w:pStyle w:val="Size10"/>
              <w:rPr>
                <w:noProof/>
              </w:rPr>
            </w:pPr>
            <w:r w:rsidRPr="003B11BD">
              <w:rPr>
                <w:noProof/>
              </w:rPr>
              <w:t>Ca. 2 years and 2 months (including the negotiation phase)</w:t>
            </w:r>
          </w:p>
        </w:tc>
        <w:tc>
          <w:tcPr>
            <w:tcW w:w="5812" w:type="dxa"/>
          </w:tcPr>
          <w:p w14:paraId="24F6AC4C" w14:textId="77777777" w:rsidR="00C458B8" w:rsidRPr="003B11BD" w:rsidRDefault="00C458B8" w:rsidP="00F03230">
            <w:pPr>
              <w:pStyle w:val="Size10"/>
              <w:rPr>
                <w:noProof/>
              </w:rPr>
            </w:pPr>
            <w:r w:rsidRPr="003B11BD">
              <w:rPr>
                <w:noProof/>
              </w:rPr>
              <w:t>Preliminary CL granted to a pharmaceutical company involved in an injunction procedure with another pharmaceutical company. The patent was eventually invalidated.</w:t>
            </w:r>
          </w:p>
        </w:tc>
        <w:tc>
          <w:tcPr>
            <w:tcW w:w="1560" w:type="dxa"/>
          </w:tcPr>
          <w:p w14:paraId="263C9689" w14:textId="77777777" w:rsidR="00C458B8" w:rsidRPr="003B11BD" w:rsidRDefault="00C458B8" w:rsidP="00F03230">
            <w:pPr>
              <w:pStyle w:val="Size10"/>
              <w:rPr>
                <w:noProof/>
              </w:rPr>
            </w:pPr>
            <w:r w:rsidRPr="003B11BD">
              <w:rPr>
                <w:noProof/>
              </w:rPr>
              <w:t>Applicant: Shionogi</w:t>
            </w:r>
          </w:p>
          <w:p w14:paraId="7D67BEB6" w14:textId="77777777" w:rsidR="00C458B8" w:rsidRPr="003B11BD" w:rsidRDefault="00C458B8" w:rsidP="00F03230">
            <w:pPr>
              <w:pStyle w:val="Size10"/>
              <w:rPr>
                <w:noProof/>
              </w:rPr>
            </w:pPr>
          </w:p>
          <w:p w14:paraId="100C4E1F" w14:textId="77777777" w:rsidR="00C458B8" w:rsidRPr="003B11BD" w:rsidRDefault="00C458B8" w:rsidP="00F03230">
            <w:pPr>
              <w:pStyle w:val="Size10"/>
              <w:rPr>
                <w:noProof/>
              </w:rPr>
            </w:pPr>
            <w:r w:rsidRPr="003B11BD">
              <w:rPr>
                <w:noProof/>
              </w:rPr>
              <w:t>Defendant: Merck Sharp &amp; Dohme</w:t>
            </w:r>
          </w:p>
        </w:tc>
        <w:tc>
          <w:tcPr>
            <w:tcW w:w="1701" w:type="dxa"/>
          </w:tcPr>
          <w:p w14:paraId="431DB46F" w14:textId="77777777" w:rsidR="00C458B8" w:rsidRPr="003B11BD" w:rsidRDefault="00C458B8" w:rsidP="00F03230">
            <w:pPr>
              <w:pStyle w:val="Size10"/>
              <w:rPr>
                <w:noProof/>
              </w:rPr>
            </w:pPr>
            <w:r w:rsidRPr="003B11BD">
              <w:rPr>
                <w:noProof/>
              </w:rPr>
              <w:t>WHO/WIPO/WTO (2020), p. 240</w:t>
            </w:r>
          </w:p>
          <w:p w14:paraId="659FD080" w14:textId="5C41E95E" w:rsidR="00C458B8" w:rsidRPr="003B11BD" w:rsidRDefault="00C458B8" w:rsidP="00F03230">
            <w:pPr>
              <w:pStyle w:val="Size10"/>
              <w:rPr>
                <w:noProof/>
              </w:rPr>
            </w:pPr>
          </w:p>
        </w:tc>
      </w:tr>
      <w:tr w:rsidR="00C458B8" w:rsidRPr="003B11BD" w14:paraId="5948D9AB" w14:textId="77777777" w:rsidTr="002D2640">
        <w:trPr>
          <w:trHeight w:val="90"/>
        </w:trPr>
        <w:tc>
          <w:tcPr>
            <w:tcW w:w="1101" w:type="dxa"/>
            <w:vMerge/>
          </w:tcPr>
          <w:p w14:paraId="32B41CB4" w14:textId="77777777" w:rsidR="00C458B8" w:rsidRPr="003B11BD" w:rsidRDefault="00C458B8" w:rsidP="00F03230">
            <w:pPr>
              <w:pStyle w:val="Size10"/>
              <w:rPr>
                <w:noProof/>
              </w:rPr>
            </w:pPr>
          </w:p>
        </w:tc>
        <w:tc>
          <w:tcPr>
            <w:tcW w:w="709" w:type="dxa"/>
          </w:tcPr>
          <w:p w14:paraId="42BDF20B" w14:textId="77777777" w:rsidR="00C458B8" w:rsidRPr="003B11BD" w:rsidRDefault="00C458B8" w:rsidP="00F03230">
            <w:pPr>
              <w:pStyle w:val="Size10"/>
              <w:rPr>
                <w:noProof/>
              </w:rPr>
            </w:pPr>
            <w:r w:rsidRPr="003B11BD">
              <w:rPr>
                <w:noProof/>
              </w:rPr>
              <w:t>2018</w:t>
            </w:r>
          </w:p>
        </w:tc>
        <w:tc>
          <w:tcPr>
            <w:tcW w:w="1461" w:type="dxa"/>
          </w:tcPr>
          <w:p w14:paraId="0BFB62DF" w14:textId="77777777" w:rsidR="00C458B8" w:rsidRPr="003B11BD" w:rsidRDefault="00C458B8" w:rsidP="00F03230">
            <w:pPr>
              <w:pStyle w:val="Size10"/>
              <w:rPr>
                <w:noProof/>
              </w:rPr>
            </w:pPr>
            <w:r w:rsidRPr="003B11BD">
              <w:rPr>
                <w:noProof/>
              </w:rPr>
              <w:t>Medicine / alirocumab (cholesterol-lowering treatment)</w:t>
            </w:r>
          </w:p>
        </w:tc>
        <w:tc>
          <w:tcPr>
            <w:tcW w:w="1140" w:type="dxa"/>
          </w:tcPr>
          <w:p w14:paraId="460CB471" w14:textId="77777777" w:rsidR="00C458B8" w:rsidRPr="003B11BD" w:rsidRDefault="00C458B8" w:rsidP="00F03230">
            <w:pPr>
              <w:pStyle w:val="Size10"/>
              <w:rPr>
                <w:noProof/>
              </w:rPr>
            </w:pPr>
            <w:r w:rsidRPr="003B11BD">
              <w:rPr>
                <w:noProof/>
              </w:rPr>
              <w:t>Not issued</w:t>
            </w:r>
          </w:p>
        </w:tc>
        <w:tc>
          <w:tcPr>
            <w:tcW w:w="1226" w:type="dxa"/>
          </w:tcPr>
          <w:p w14:paraId="70732C10"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5812" w:type="dxa"/>
          </w:tcPr>
          <w:p w14:paraId="0D6E59ED" w14:textId="77777777" w:rsidR="00C458B8" w:rsidRPr="003B11BD" w:rsidRDefault="00C458B8" w:rsidP="00F03230">
            <w:pPr>
              <w:pStyle w:val="Size10"/>
              <w:rPr>
                <w:noProof/>
              </w:rPr>
            </w:pPr>
            <w:r w:rsidRPr="003B11BD">
              <w:rPr>
                <w:noProof/>
              </w:rPr>
              <w:t>The requested CL was not granted because the patent had expired.</w:t>
            </w:r>
          </w:p>
        </w:tc>
        <w:tc>
          <w:tcPr>
            <w:tcW w:w="1560" w:type="dxa"/>
          </w:tcPr>
          <w:p w14:paraId="5D7C932A" w14:textId="77777777" w:rsidR="00C458B8" w:rsidRPr="003B11BD" w:rsidRDefault="00C458B8" w:rsidP="00F03230">
            <w:pPr>
              <w:pStyle w:val="Size10"/>
              <w:rPr>
                <w:noProof/>
              </w:rPr>
            </w:pPr>
            <w:r w:rsidRPr="003B11BD">
              <w:rPr>
                <w:noProof/>
              </w:rPr>
              <w:t>Confidential</w:t>
            </w:r>
          </w:p>
        </w:tc>
        <w:tc>
          <w:tcPr>
            <w:tcW w:w="1701" w:type="dxa"/>
          </w:tcPr>
          <w:p w14:paraId="0F26A9B2" w14:textId="5ED7F149" w:rsidR="00C458B8" w:rsidRPr="003B11BD" w:rsidRDefault="00C458B8" w:rsidP="00F03230">
            <w:pPr>
              <w:pStyle w:val="Size10"/>
              <w:rPr>
                <w:noProof/>
              </w:rPr>
            </w:pPr>
            <w:r w:rsidRPr="003B11BD">
              <w:rPr>
                <w:noProof/>
              </w:rPr>
              <w:t>WHO/WIPO/WTO (2020), p. 240</w:t>
            </w:r>
          </w:p>
        </w:tc>
      </w:tr>
      <w:tr w:rsidR="00C458B8" w:rsidRPr="003B11BD" w14:paraId="4BE5F7BC" w14:textId="77777777" w:rsidTr="002D2640">
        <w:trPr>
          <w:trHeight w:val="90"/>
        </w:trPr>
        <w:tc>
          <w:tcPr>
            <w:tcW w:w="1101" w:type="dxa"/>
          </w:tcPr>
          <w:p w14:paraId="5AD36450" w14:textId="77777777" w:rsidR="00C458B8" w:rsidRPr="003B11BD" w:rsidRDefault="00C458B8" w:rsidP="00F03230">
            <w:pPr>
              <w:pStyle w:val="Size10"/>
              <w:rPr>
                <w:noProof/>
              </w:rPr>
            </w:pPr>
            <w:r w:rsidRPr="003B11BD">
              <w:rPr>
                <w:noProof/>
              </w:rPr>
              <w:t>Greece</w:t>
            </w:r>
          </w:p>
        </w:tc>
        <w:tc>
          <w:tcPr>
            <w:tcW w:w="709" w:type="dxa"/>
          </w:tcPr>
          <w:p w14:paraId="7ABC402E"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461" w:type="dxa"/>
          </w:tcPr>
          <w:p w14:paraId="22F70CDD"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140" w:type="dxa"/>
          </w:tcPr>
          <w:p w14:paraId="7AB54057"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226" w:type="dxa"/>
          </w:tcPr>
          <w:p w14:paraId="16724371"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5812" w:type="dxa"/>
          </w:tcPr>
          <w:p w14:paraId="38920704" w14:textId="77777777" w:rsidR="00C458B8" w:rsidRPr="003B11BD" w:rsidRDefault="00C458B8" w:rsidP="00F03230">
            <w:pPr>
              <w:pStyle w:val="Size10"/>
              <w:rPr>
                <w:noProof/>
              </w:rPr>
            </w:pPr>
            <w:r w:rsidRPr="003B11BD">
              <w:rPr>
                <w:noProof/>
              </w:rPr>
              <w:t>There have been no cases concerning CL in Greece.</w:t>
            </w:r>
          </w:p>
        </w:tc>
        <w:tc>
          <w:tcPr>
            <w:tcW w:w="1560" w:type="dxa"/>
          </w:tcPr>
          <w:p w14:paraId="5523EA6F" w14:textId="77777777" w:rsidR="00C458B8" w:rsidRPr="003B11BD" w:rsidRDefault="00C458B8" w:rsidP="00F03230">
            <w:pPr>
              <w:pStyle w:val="Size10"/>
              <w:rPr>
                <w:noProof/>
              </w:rPr>
            </w:pPr>
            <w:r w:rsidRPr="003B11BD">
              <w:rPr>
                <w:noProof/>
              </w:rPr>
              <w:softHyphen/>
            </w:r>
            <w:r w:rsidRPr="003B11BD">
              <w:rPr>
                <w:noProof/>
              </w:rPr>
              <w:softHyphen/>
              <w:t xml:space="preserve"> – –</w:t>
            </w:r>
          </w:p>
        </w:tc>
        <w:tc>
          <w:tcPr>
            <w:tcW w:w="1701" w:type="dxa"/>
          </w:tcPr>
          <w:p w14:paraId="5DE59730" w14:textId="77777777" w:rsidR="00C458B8" w:rsidRPr="003B11BD" w:rsidRDefault="00C458B8" w:rsidP="00F03230">
            <w:pPr>
              <w:pStyle w:val="Size10"/>
              <w:rPr>
                <w:noProof/>
              </w:rPr>
            </w:pPr>
            <w:r w:rsidRPr="003B11BD">
              <w:rPr>
                <w:noProof/>
              </w:rPr>
              <w:t>“Compulsory Licensing in Europe: A Country-by-Country Overview” (EPO, 2018), p. 54</w:t>
            </w:r>
          </w:p>
        </w:tc>
      </w:tr>
      <w:tr w:rsidR="00C458B8" w:rsidRPr="003B11BD" w14:paraId="46D934E1" w14:textId="77777777" w:rsidTr="002D2640">
        <w:trPr>
          <w:trHeight w:val="90"/>
        </w:trPr>
        <w:tc>
          <w:tcPr>
            <w:tcW w:w="1101" w:type="dxa"/>
          </w:tcPr>
          <w:p w14:paraId="505DC555" w14:textId="77777777" w:rsidR="00C458B8" w:rsidRPr="003B11BD" w:rsidRDefault="00C458B8" w:rsidP="00F03230">
            <w:pPr>
              <w:pStyle w:val="Size10"/>
              <w:rPr>
                <w:noProof/>
              </w:rPr>
            </w:pPr>
            <w:r w:rsidRPr="003B11BD">
              <w:rPr>
                <w:noProof/>
              </w:rPr>
              <w:t>Hungary</w:t>
            </w:r>
          </w:p>
        </w:tc>
        <w:tc>
          <w:tcPr>
            <w:tcW w:w="709" w:type="dxa"/>
          </w:tcPr>
          <w:p w14:paraId="38682625" w14:textId="77777777" w:rsidR="00C458B8" w:rsidRPr="003B11BD" w:rsidRDefault="00C458B8" w:rsidP="00F03230">
            <w:pPr>
              <w:pStyle w:val="Size10"/>
              <w:rPr>
                <w:noProof/>
              </w:rPr>
            </w:pPr>
            <w:r w:rsidRPr="003B11BD">
              <w:rPr>
                <w:noProof/>
              </w:rPr>
              <w:t>No available informa-tion</w:t>
            </w:r>
          </w:p>
        </w:tc>
        <w:tc>
          <w:tcPr>
            <w:tcW w:w="1461" w:type="dxa"/>
          </w:tcPr>
          <w:p w14:paraId="0E8C323C" w14:textId="77777777" w:rsidR="00C458B8" w:rsidRPr="003B11BD" w:rsidRDefault="00C458B8" w:rsidP="00F03230">
            <w:pPr>
              <w:pStyle w:val="Size10"/>
              <w:rPr>
                <w:noProof/>
              </w:rPr>
            </w:pPr>
            <w:r w:rsidRPr="003B11BD">
              <w:rPr>
                <w:noProof/>
              </w:rPr>
              <w:t>Medicine /  active ingredient for reducing blood pressure</w:t>
            </w:r>
          </w:p>
        </w:tc>
        <w:tc>
          <w:tcPr>
            <w:tcW w:w="1140" w:type="dxa"/>
          </w:tcPr>
          <w:p w14:paraId="336FE4A4" w14:textId="77777777" w:rsidR="00C458B8" w:rsidRPr="003B11BD" w:rsidRDefault="00C458B8" w:rsidP="00F03230">
            <w:pPr>
              <w:pStyle w:val="Size10"/>
              <w:rPr>
                <w:noProof/>
              </w:rPr>
            </w:pPr>
            <w:r w:rsidRPr="003B11BD">
              <w:rPr>
                <w:noProof/>
              </w:rPr>
              <w:t>Not issued in the first instance, but decision annulled at second instance</w:t>
            </w:r>
          </w:p>
        </w:tc>
        <w:tc>
          <w:tcPr>
            <w:tcW w:w="1226" w:type="dxa"/>
          </w:tcPr>
          <w:p w14:paraId="66A32DEF" w14:textId="77777777" w:rsidR="00C458B8" w:rsidRPr="003B11BD" w:rsidRDefault="00C458B8" w:rsidP="00F03230">
            <w:pPr>
              <w:pStyle w:val="Size10"/>
              <w:rPr>
                <w:noProof/>
              </w:rPr>
            </w:pPr>
            <w:r w:rsidRPr="003B11BD">
              <w:rPr>
                <w:noProof/>
              </w:rPr>
              <w:t>No available information</w:t>
            </w:r>
          </w:p>
        </w:tc>
        <w:tc>
          <w:tcPr>
            <w:tcW w:w="5812" w:type="dxa"/>
          </w:tcPr>
          <w:p w14:paraId="1D26192C" w14:textId="77777777" w:rsidR="00C458B8" w:rsidRPr="003B11BD" w:rsidRDefault="00C458B8" w:rsidP="00F03230">
            <w:pPr>
              <w:pStyle w:val="Size10"/>
              <w:rPr>
                <w:noProof/>
              </w:rPr>
            </w:pPr>
            <w:r w:rsidRPr="003B11BD">
              <w:rPr>
                <w:noProof/>
              </w:rPr>
              <w:t>Application made on grounds of dependency of patents.</w:t>
            </w:r>
          </w:p>
          <w:p w14:paraId="7828A5F8" w14:textId="77777777" w:rsidR="00C458B8" w:rsidRPr="003B11BD" w:rsidRDefault="00C458B8" w:rsidP="00F03230">
            <w:pPr>
              <w:pStyle w:val="Size10"/>
              <w:rPr>
                <w:noProof/>
              </w:rPr>
            </w:pPr>
            <w:r w:rsidRPr="003B11BD">
              <w:rPr>
                <w:noProof/>
              </w:rPr>
              <w:t>The specificity of the present case is that a process patent was compared with a product patent.</w:t>
            </w:r>
          </w:p>
          <w:p w14:paraId="60682576" w14:textId="77777777" w:rsidR="00C458B8" w:rsidRPr="003B11BD" w:rsidRDefault="00C458B8" w:rsidP="00F03230">
            <w:pPr>
              <w:pStyle w:val="Size10"/>
              <w:rPr>
                <w:noProof/>
              </w:rPr>
            </w:pPr>
            <w:r w:rsidRPr="003B11BD">
              <w:rPr>
                <w:noProof/>
              </w:rPr>
              <w:t>The court of first instance rejected to grant a CL and established that the plaintiff had failed to provide an appropriate basis of comparison, since it is not enough to prove that the dependent patent represents an important technical advance of considerable economic significance; it should also be demonstrated that this progress exists in respect of the earlier patent.</w:t>
            </w:r>
          </w:p>
          <w:p w14:paraId="315F5A11" w14:textId="77777777" w:rsidR="00C458B8" w:rsidRPr="003B11BD" w:rsidRDefault="00C458B8" w:rsidP="00F03230">
            <w:pPr>
              <w:pStyle w:val="Size10"/>
              <w:rPr>
                <w:noProof/>
              </w:rPr>
            </w:pPr>
            <w:r w:rsidRPr="003B11BD">
              <w:rPr>
                <w:noProof/>
              </w:rPr>
              <w:t xml:space="preserve">At second instance, the Metropolitan Appeal Court annulled the decision of the Metropolitan Court and ordered the first instance court to reopen the case. The Metropolitan Appeal Court established that in terms of “significant technical progress” a comparison between the product and process patents was also possible. </w:t>
            </w:r>
          </w:p>
          <w:p w14:paraId="08EAF9B0" w14:textId="77777777" w:rsidR="00C458B8" w:rsidRPr="003B11BD" w:rsidRDefault="00C458B8" w:rsidP="00F03230">
            <w:pPr>
              <w:pStyle w:val="Size10"/>
              <w:rPr>
                <w:noProof/>
              </w:rPr>
            </w:pPr>
            <w:r w:rsidRPr="003B11BD">
              <w:rPr>
                <w:noProof/>
              </w:rPr>
              <w:t>The decision of the Metropolitan Appeal Court was not challenged by the Curia (Supreme Court) because the basic patent’s term had expired.</w:t>
            </w:r>
          </w:p>
        </w:tc>
        <w:tc>
          <w:tcPr>
            <w:tcW w:w="1560" w:type="dxa"/>
          </w:tcPr>
          <w:p w14:paraId="39798E09" w14:textId="77777777" w:rsidR="00C458B8" w:rsidRPr="003B11BD" w:rsidRDefault="00C458B8" w:rsidP="00F03230">
            <w:pPr>
              <w:pStyle w:val="Size10"/>
              <w:rPr>
                <w:noProof/>
              </w:rPr>
            </w:pPr>
            <w:r w:rsidRPr="003B11BD">
              <w:rPr>
                <w:noProof/>
              </w:rPr>
              <w:t>No available</w:t>
            </w:r>
          </w:p>
          <w:p w14:paraId="074AB27C" w14:textId="77777777" w:rsidR="00C458B8" w:rsidRPr="003B11BD" w:rsidRDefault="00C458B8" w:rsidP="00F03230">
            <w:pPr>
              <w:pStyle w:val="Size10"/>
              <w:rPr>
                <w:noProof/>
              </w:rPr>
            </w:pPr>
            <w:r w:rsidRPr="003B11BD">
              <w:rPr>
                <w:noProof/>
              </w:rPr>
              <w:t>information</w:t>
            </w:r>
          </w:p>
        </w:tc>
        <w:tc>
          <w:tcPr>
            <w:tcW w:w="1701" w:type="dxa"/>
          </w:tcPr>
          <w:p w14:paraId="57ADEFE6" w14:textId="77777777" w:rsidR="00C458B8" w:rsidRPr="003B11BD" w:rsidRDefault="00C458B8" w:rsidP="00F03230">
            <w:pPr>
              <w:pStyle w:val="Size10"/>
              <w:rPr>
                <w:noProof/>
              </w:rPr>
            </w:pPr>
            <w:r w:rsidRPr="003B11BD">
              <w:rPr>
                <w:noProof/>
              </w:rPr>
              <w:t>“Compulsory Licensing in Europe: A Country-by-Country Overview” (EPO, 2018), p. 59</w:t>
            </w:r>
          </w:p>
        </w:tc>
      </w:tr>
      <w:tr w:rsidR="00C458B8" w:rsidRPr="003B11BD" w14:paraId="248D9586" w14:textId="77777777" w:rsidTr="002D2640">
        <w:trPr>
          <w:trHeight w:val="90"/>
        </w:trPr>
        <w:tc>
          <w:tcPr>
            <w:tcW w:w="1101" w:type="dxa"/>
          </w:tcPr>
          <w:p w14:paraId="15CE6BEA" w14:textId="77777777" w:rsidR="00C458B8" w:rsidRPr="003B11BD" w:rsidRDefault="00C458B8" w:rsidP="00F03230">
            <w:pPr>
              <w:pStyle w:val="Size10"/>
              <w:rPr>
                <w:noProof/>
              </w:rPr>
            </w:pPr>
            <w:r w:rsidRPr="003B11BD">
              <w:rPr>
                <w:noProof/>
              </w:rPr>
              <w:t>Ireland</w:t>
            </w:r>
          </w:p>
        </w:tc>
        <w:tc>
          <w:tcPr>
            <w:tcW w:w="709" w:type="dxa"/>
          </w:tcPr>
          <w:p w14:paraId="2B0EB11F" w14:textId="77777777" w:rsidR="00C458B8" w:rsidRPr="003B11BD" w:rsidRDefault="00C458B8" w:rsidP="00F03230">
            <w:pPr>
              <w:pStyle w:val="Size10"/>
              <w:rPr>
                <w:noProof/>
              </w:rPr>
            </w:pPr>
            <w:r w:rsidRPr="003B11BD">
              <w:rPr>
                <w:noProof/>
              </w:rPr>
              <w:t>1966</w:t>
            </w:r>
          </w:p>
        </w:tc>
        <w:tc>
          <w:tcPr>
            <w:tcW w:w="1461" w:type="dxa"/>
          </w:tcPr>
          <w:p w14:paraId="6DADC62E" w14:textId="77777777" w:rsidR="00C458B8" w:rsidRPr="003B11BD" w:rsidRDefault="00C458B8" w:rsidP="00F03230">
            <w:pPr>
              <w:pStyle w:val="Size10"/>
              <w:rPr>
                <w:noProof/>
              </w:rPr>
            </w:pPr>
            <w:r w:rsidRPr="003B11BD">
              <w:rPr>
                <w:noProof/>
              </w:rPr>
              <w:t>Industry / Sealing head used for securing metal caps to bottles and jars so as to create an air-tight seal</w:t>
            </w:r>
          </w:p>
        </w:tc>
        <w:tc>
          <w:tcPr>
            <w:tcW w:w="1140" w:type="dxa"/>
          </w:tcPr>
          <w:p w14:paraId="3E98BD56" w14:textId="77777777" w:rsidR="00C458B8" w:rsidRPr="003B11BD" w:rsidRDefault="00C458B8" w:rsidP="00F03230">
            <w:pPr>
              <w:pStyle w:val="Size10"/>
              <w:rPr>
                <w:noProof/>
              </w:rPr>
            </w:pPr>
            <w:r w:rsidRPr="003B11BD">
              <w:rPr>
                <w:noProof/>
              </w:rPr>
              <w:t>Not issued</w:t>
            </w:r>
          </w:p>
        </w:tc>
        <w:tc>
          <w:tcPr>
            <w:tcW w:w="1226" w:type="dxa"/>
          </w:tcPr>
          <w:p w14:paraId="04A45201" w14:textId="77777777" w:rsidR="00C458B8" w:rsidRPr="003B11BD" w:rsidRDefault="00C458B8" w:rsidP="00F03230">
            <w:pPr>
              <w:pStyle w:val="Size10"/>
              <w:rPr>
                <w:noProof/>
              </w:rPr>
            </w:pPr>
            <w:r w:rsidRPr="003B11BD">
              <w:rPr>
                <w:noProof/>
              </w:rPr>
              <w:t>– –</w:t>
            </w:r>
          </w:p>
        </w:tc>
        <w:tc>
          <w:tcPr>
            <w:tcW w:w="5812" w:type="dxa"/>
          </w:tcPr>
          <w:p w14:paraId="2EEAA7F6" w14:textId="77777777" w:rsidR="00C458B8" w:rsidRPr="003B11BD" w:rsidRDefault="00C458B8" w:rsidP="00F03230">
            <w:pPr>
              <w:pStyle w:val="Size10"/>
              <w:rPr>
                <w:noProof/>
              </w:rPr>
            </w:pPr>
            <w:r w:rsidRPr="003B11BD">
              <w:rPr>
                <w:noProof/>
              </w:rPr>
              <w:t>Application made on grounds of abuse of monopoly rights.</w:t>
            </w:r>
          </w:p>
          <w:p w14:paraId="7B3A59A9" w14:textId="77777777" w:rsidR="00C458B8" w:rsidRPr="003B11BD" w:rsidRDefault="00C458B8" w:rsidP="00F03230">
            <w:pPr>
              <w:pStyle w:val="Size10"/>
              <w:rPr>
                <w:noProof/>
              </w:rPr>
            </w:pPr>
          </w:p>
          <w:p w14:paraId="088EABAC" w14:textId="77777777" w:rsidR="00C458B8" w:rsidRPr="003B11BD" w:rsidRDefault="00C458B8" w:rsidP="00F03230">
            <w:pPr>
              <w:pStyle w:val="Size10"/>
              <w:rPr>
                <w:noProof/>
              </w:rPr>
            </w:pPr>
            <w:r w:rsidRPr="003B11BD">
              <w:rPr>
                <w:noProof/>
              </w:rPr>
              <w:t>The Irish Supreme Court held that even though there was a void restrictive clause in an agreement, this did not necessarily mean that demand was not being met on reasonable terms. However, this case was decided under legislation that has now been repealed.</w:t>
            </w:r>
          </w:p>
        </w:tc>
        <w:tc>
          <w:tcPr>
            <w:tcW w:w="1560" w:type="dxa"/>
          </w:tcPr>
          <w:p w14:paraId="645CA1F3" w14:textId="77777777" w:rsidR="00C458B8" w:rsidRPr="003B11BD" w:rsidRDefault="00C458B8" w:rsidP="00F03230">
            <w:pPr>
              <w:pStyle w:val="Size10"/>
              <w:rPr>
                <w:noProof/>
              </w:rPr>
            </w:pPr>
            <w:r w:rsidRPr="003B11BD">
              <w:rPr>
                <w:noProof/>
              </w:rPr>
              <w:t>Claimant:  Thomas Hunter Ltd.</w:t>
            </w:r>
          </w:p>
          <w:p w14:paraId="50BDD785" w14:textId="77777777" w:rsidR="00C458B8" w:rsidRPr="003B11BD" w:rsidRDefault="00C458B8" w:rsidP="00F03230">
            <w:pPr>
              <w:pStyle w:val="Size10"/>
              <w:rPr>
                <w:noProof/>
              </w:rPr>
            </w:pPr>
          </w:p>
          <w:p w14:paraId="1E01E6E7" w14:textId="77777777" w:rsidR="00C458B8" w:rsidRPr="003B11BD" w:rsidRDefault="00C458B8" w:rsidP="00F03230">
            <w:pPr>
              <w:pStyle w:val="Size10"/>
              <w:rPr>
                <w:noProof/>
              </w:rPr>
            </w:pPr>
            <w:r w:rsidRPr="003B11BD">
              <w:rPr>
                <w:noProof/>
              </w:rPr>
              <w:t xml:space="preserve">Defendant: </w:t>
            </w:r>
          </w:p>
          <w:p w14:paraId="4A0400BD" w14:textId="77777777" w:rsidR="00C458B8" w:rsidRPr="003B11BD" w:rsidRDefault="00C458B8" w:rsidP="00F03230">
            <w:pPr>
              <w:pStyle w:val="Size10"/>
              <w:rPr>
                <w:noProof/>
              </w:rPr>
            </w:pPr>
            <w:r w:rsidRPr="003B11BD">
              <w:rPr>
                <w:noProof/>
              </w:rPr>
              <w:t>James Fox &amp; Company Ltd. and B. &amp; J. Metal Caps Ltd.</w:t>
            </w:r>
          </w:p>
        </w:tc>
        <w:tc>
          <w:tcPr>
            <w:tcW w:w="1701" w:type="dxa"/>
          </w:tcPr>
          <w:p w14:paraId="169D1DD1" w14:textId="77777777" w:rsidR="00C458B8" w:rsidRPr="003B11BD" w:rsidRDefault="00C458B8" w:rsidP="00F03230">
            <w:pPr>
              <w:pStyle w:val="Size10"/>
              <w:rPr>
                <w:noProof/>
              </w:rPr>
            </w:pPr>
            <w:r w:rsidRPr="003B11BD">
              <w:rPr>
                <w:noProof/>
              </w:rPr>
              <w:t>“Compulsory Licensing in Europe: A Country-by-Country Overview” (EPO, 2018), p. 63</w:t>
            </w:r>
          </w:p>
        </w:tc>
      </w:tr>
      <w:tr w:rsidR="00C458B8" w:rsidRPr="003B11BD" w14:paraId="3F6D161F" w14:textId="77777777" w:rsidTr="002D2640">
        <w:trPr>
          <w:trHeight w:val="135"/>
        </w:trPr>
        <w:tc>
          <w:tcPr>
            <w:tcW w:w="1101" w:type="dxa"/>
            <w:vMerge w:val="restart"/>
          </w:tcPr>
          <w:p w14:paraId="66ADEACD" w14:textId="77777777" w:rsidR="00C458B8" w:rsidRPr="003B11BD" w:rsidRDefault="00C458B8" w:rsidP="00F03230">
            <w:pPr>
              <w:pStyle w:val="Size10"/>
              <w:rPr>
                <w:noProof/>
              </w:rPr>
            </w:pPr>
            <w:r w:rsidRPr="003B11BD">
              <w:rPr>
                <w:noProof/>
              </w:rPr>
              <w:t>Italy</w:t>
            </w:r>
          </w:p>
        </w:tc>
        <w:tc>
          <w:tcPr>
            <w:tcW w:w="709" w:type="dxa"/>
          </w:tcPr>
          <w:p w14:paraId="3915B25C" w14:textId="77777777" w:rsidR="00C458B8" w:rsidRPr="003B11BD" w:rsidRDefault="00C458B8" w:rsidP="00F03230">
            <w:pPr>
              <w:pStyle w:val="Size10"/>
              <w:rPr>
                <w:noProof/>
              </w:rPr>
            </w:pPr>
            <w:r w:rsidRPr="003B11BD">
              <w:rPr>
                <w:noProof/>
              </w:rPr>
              <w:t>2005</w:t>
            </w:r>
          </w:p>
        </w:tc>
        <w:tc>
          <w:tcPr>
            <w:tcW w:w="1461" w:type="dxa"/>
          </w:tcPr>
          <w:p w14:paraId="10683EE1" w14:textId="77777777" w:rsidR="00C458B8" w:rsidRPr="003B11BD" w:rsidRDefault="00C458B8" w:rsidP="00F03230">
            <w:pPr>
              <w:pStyle w:val="Size10"/>
              <w:rPr>
                <w:noProof/>
              </w:rPr>
            </w:pPr>
            <w:r w:rsidRPr="003B11BD">
              <w:rPr>
                <w:noProof/>
              </w:rPr>
              <w:t>Medicine / imipenem-cilastatin (antibiotic)</w:t>
            </w:r>
          </w:p>
          <w:p w14:paraId="0A40EDD9" w14:textId="77777777" w:rsidR="00C458B8" w:rsidRPr="003B11BD" w:rsidRDefault="00C458B8" w:rsidP="00F03230">
            <w:pPr>
              <w:pStyle w:val="Size10"/>
              <w:rPr>
                <w:noProof/>
              </w:rPr>
            </w:pPr>
            <w:r w:rsidRPr="003B11BD">
              <w:rPr>
                <w:noProof/>
              </w:rPr>
              <w:t>SPC</w:t>
            </w:r>
          </w:p>
        </w:tc>
        <w:tc>
          <w:tcPr>
            <w:tcW w:w="1140" w:type="dxa"/>
          </w:tcPr>
          <w:p w14:paraId="77F14278" w14:textId="77777777" w:rsidR="00C458B8" w:rsidRPr="003B11BD" w:rsidRDefault="00C458B8" w:rsidP="00F03230">
            <w:pPr>
              <w:pStyle w:val="Size10"/>
              <w:rPr>
                <w:noProof/>
              </w:rPr>
            </w:pPr>
            <w:r w:rsidRPr="003B11BD">
              <w:rPr>
                <w:noProof/>
              </w:rPr>
              <w:t>Issued</w:t>
            </w:r>
          </w:p>
        </w:tc>
        <w:tc>
          <w:tcPr>
            <w:tcW w:w="1226" w:type="dxa"/>
          </w:tcPr>
          <w:p w14:paraId="7D8FEEF9" w14:textId="77777777" w:rsidR="00C458B8" w:rsidRPr="003B11BD" w:rsidRDefault="00C458B8" w:rsidP="00F03230">
            <w:pPr>
              <w:pStyle w:val="Size10"/>
              <w:rPr>
                <w:noProof/>
              </w:rPr>
            </w:pPr>
            <w:r w:rsidRPr="003B11BD">
              <w:rPr>
                <w:noProof/>
              </w:rPr>
              <w:t>At least ca. 1 year and 10 months</w:t>
            </w:r>
          </w:p>
        </w:tc>
        <w:tc>
          <w:tcPr>
            <w:tcW w:w="5812" w:type="dxa"/>
          </w:tcPr>
          <w:p w14:paraId="15CFD08E" w14:textId="77777777" w:rsidR="00C458B8" w:rsidRPr="003B11BD" w:rsidRDefault="00C458B8" w:rsidP="00F03230">
            <w:pPr>
              <w:pStyle w:val="Size10"/>
              <w:rPr>
                <w:noProof/>
              </w:rPr>
            </w:pPr>
            <w:r w:rsidRPr="003B11BD">
              <w:rPr>
                <w:noProof/>
              </w:rPr>
              <w:t>CL granted as remedy to anti-competitive behaviour.</w:t>
            </w:r>
          </w:p>
        </w:tc>
        <w:tc>
          <w:tcPr>
            <w:tcW w:w="1560" w:type="dxa"/>
          </w:tcPr>
          <w:p w14:paraId="60808212" w14:textId="77777777" w:rsidR="00C458B8" w:rsidRPr="003B11BD" w:rsidRDefault="00C458B8" w:rsidP="00F03230">
            <w:pPr>
              <w:pStyle w:val="Size10"/>
              <w:rPr>
                <w:noProof/>
              </w:rPr>
            </w:pPr>
            <w:r w:rsidRPr="003B11BD">
              <w:rPr>
                <w:noProof/>
              </w:rPr>
              <w:t>Claimant:</w:t>
            </w:r>
          </w:p>
          <w:p w14:paraId="3D0AC601" w14:textId="77777777" w:rsidR="00C458B8" w:rsidRPr="003B11BD" w:rsidRDefault="00C458B8" w:rsidP="00F03230">
            <w:pPr>
              <w:pStyle w:val="Size10"/>
              <w:rPr>
                <w:noProof/>
              </w:rPr>
            </w:pPr>
            <w:r w:rsidRPr="003B11BD">
              <w:rPr>
                <w:noProof/>
              </w:rPr>
              <w:t>Competition and Market Authority</w:t>
            </w:r>
          </w:p>
          <w:p w14:paraId="615AE98E" w14:textId="77777777" w:rsidR="00C458B8" w:rsidRPr="003B11BD" w:rsidRDefault="00C458B8" w:rsidP="00F03230">
            <w:pPr>
              <w:pStyle w:val="Size10"/>
              <w:rPr>
                <w:noProof/>
              </w:rPr>
            </w:pPr>
          </w:p>
          <w:p w14:paraId="77BEDA94" w14:textId="77777777" w:rsidR="00C458B8" w:rsidRPr="003B11BD" w:rsidRDefault="00C458B8" w:rsidP="00F03230">
            <w:pPr>
              <w:pStyle w:val="Size10"/>
              <w:rPr>
                <w:noProof/>
              </w:rPr>
            </w:pPr>
            <w:r w:rsidRPr="003B11BD">
              <w:rPr>
                <w:noProof/>
              </w:rPr>
              <w:t>Defendant (Rightholder): Merk &amp; Co.</w:t>
            </w:r>
          </w:p>
        </w:tc>
        <w:tc>
          <w:tcPr>
            <w:tcW w:w="1701" w:type="dxa"/>
          </w:tcPr>
          <w:p w14:paraId="6FD4527A" w14:textId="77777777" w:rsidR="00C458B8" w:rsidRPr="003B11BD" w:rsidRDefault="00C458B8" w:rsidP="00F03230">
            <w:pPr>
              <w:pStyle w:val="Size10"/>
              <w:rPr>
                <w:noProof/>
              </w:rPr>
            </w:pPr>
            <w:r w:rsidRPr="003B11BD">
              <w:rPr>
                <w:noProof/>
              </w:rPr>
              <w:t>WHO/WIPO/WTO (2020), p. 240</w:t>
            </w:r>
          </w:p>
        </w:tc>
      </w:tr>
      <w:tr w:rsidR="00C458B8" w:rsidRPr="003B11BD" w14:paraId="4760AAF4" w14:textId="77777777" w:rsidTr="002D2640">
        <w:trPr>
          <w:trHeight w:val="135"/>
        </w:trPr>
        <w:tc>
          <w:tcPr>
            <w:tcW w:w="1101" w:type="dxa"/>
            <w:vMerge/>
          </w:tcPr>
          <w:p w14:paraId="56F66A38" w14:textId="77777777" w:rsidR="00C458B8" w:rsidRPr="003B11BD" w:rsidRDefault="00C458B8" w:rsidP="00F03230">
            <w:pPr>
              <w:pStyle w:val="Size10"/>
              <w:rPr>
                <w:noProof/>
              </w:rPr>
            </w:pPr>
          </w:p>
        </w:tc>
        <w:tc>
          <w:tcPr>
            <w:tcW w:w="709" w:type="dxa"/>
          </w:tcPr>
          <w:p w14:paraId="4655C0B5" w14:textId="77777777" w:rsidR="00C458B8" w:rsidRPr="003B11BD" w:rsidRDefault="00C458B8" w:rsidP="00F03230">
            <w:pPr>
              <w:pStyle w:val="Size10"/>
              <w:rPr>
                <w:noProof/>
              </w:rPr>
            </w:pPr>
            <w:r w:rsidRPr="003B11BD">
              <w:rPr>
                <w:noProof/>
              </w:rPr>
              <w:t>2007</w:t>
            </w:r>
          </w:p>
        </w:tc>
        <w:tc>
          <w:tcPr>
            <w:tcW w:w="1461" w:type="dxa"/>
          </w:tcPr>
          <w:p w14:paraId="62CEBBD7" w14:textId="77777777" w:rsidR="00C458B8" w:rsidRPr="003B11BD" w:rsidRDefault="00C458B8" w:rsidP="00F03230">
            <w:pPr>
              <w:pStyle w:val="Size10"/>
              <w:rPr>
                <w:noProof/>
              </w:rPr>
            </w:pPr>
            <w:r w:rsidRPr="003B11BD">
              <w:rPr>
                <w:noProof/>
              </w:rPr>
              <w:t>Medicine / finasteride (prostetic hyperplasia) SPC</w:t>
            </w:r>
          </w:p>
        </w:tc>
        <w:tc>
          <w:tcPr>
            <w:tcW w:w="1140" w:type="dxa"/>
          </w:tcPr>
          <w:p w14:paraId="30090A03" w14:textId="77777777" w:rsidR="00C458B8" w:rsidRPr="003B11BD" w:rsidRDefault="00C458B8" w:rsidP="00F03230">
            <w:pPr>
              <w:pStyle w:val="Size10"/>
              <w:rPr>
                <w:noProof/>
              </w:rPr>
            </w:pPr>
            <w:r w:rsidRPr="003B11BD">
              <w:rPr>
                <w:noProof/>
              </w:rPr>
              <w:t>Issued</w:t>
            </w:r>
          </w:p>
        </w:tc>
        <w:tc>
          <w:tcPr>
            <w:tcW w:w="1226" w:type="dxa"/>
          </w:tcPr>
          <w:p w14:paraId="65D1E5EF" w14:textId="77777777" w:rsidR="00C458B8" w:rsidRPr="003B11BD" w:rsidRDefault="00C458B8" w:rsidP="00F03230">
            <w:pPr>
              <w:pStyle w:val="Size10"/>
              <w:rPr>
                <w:noProof/>
              </w:rPr>
            </w:pPr>
            <w:r w:rsidRPr="003B11BD">
              <w:rPr>
                <w:noProof/>
              </w:rPr>
              <w:t>No available information</w:t>
            </w:r>
          </w:p>
        </w:tc>
        <w:tc>
          <w:tcPr>
            <w:tcW w:w="5812" w:type="dxa"/>
          </w:tcPr>
          <w:p w14:paraId="406F01A7" w14:textId="77777777" w:rsidR="00C458B8" w:rsidRPr="003B11BD" w:rsidRDefault="00C458B8" w:rsidP="00F03230">
            <w:pPr>
              <w:pStyle w:val="Size10"/>
              <w:rPr>
                <w:noProof/>
              </w:rPr>
            </w:pPr>
            <w:r w:rsidRPr="003B11BD">
              <w:rPr>
                <w:noProof/>
              </w:rPr>
              <w:t>CL granted as remedy to anti-competitive behaviour and to allow parallel export to neighbouring markets with expired patent protection.</w:t>
            </w:r>
          </w:p>
        </w:tc>
        <w:tc>
          <w:tcPr>
            <w:tcW w:w="1560" w:type="dxa"/>
          </w:tcPr>
          <w:p w14:paraId="7D9F38DC" w14:textId="77777777" w:rsidR="00C458B8" w:rsidRPr="003B11BD" w:rsidRDefault="00C458B8" w:rsidP="00F03230">
            <w:pPr>
              <w:pStyle w:val="Size10"/>
              <w:rPr>
                <w:noProof/>
              </w:rPr>
            </w:pPr>
            <w:r w:rsidRPr="003B11BD">
              <w:rPr>
                <w:noProof/>
              </w:rPr>
              <w:t>Claimant: Competition and Market Authority</w:t>
            </w:r>
          </w:p>
          <w:p w14:paraId="60553DEA" w14:textId="77777777" w:rsidR="00C458B8" w:rsidRPr="003B11BD" w:rsidRDefault="00C458B8" w:rsidP="00F03230">
            <w:pPr>
              <w:pStyle w:val="Size10"/>
              <w:rPr>
                <w:noProof/>
              </w:rPr>
            </w:pPr>
          </w:p>
          <w:p w14:paraId="41352CB9" w14:textId="77777777" w:rsidR="00C458B8" w:rsidRPr="003B11BD" w:rsidRDefault="00C458B8" w:rsidP="00F03230">
            <w:pPr>
              <w:pStyle w:val="Size10"/>
              <w:rPr>
                <w:noProof/>
              </w:rPr>
            </w:pPr>
            <w:r w:rsidRPr="003B11BD">
              <w:rPr>
                <w:noProof/>
              </w:rPr>
              <w:t>Defendant (Rightholder): Merk &amp; Co.</w:t>
            </w:r>
          </w:p>
        </w:tc>
        <w:tc>
          <w:tcPr>
            <w:tcW w:w="1701" w:type="dxa"/>
          </w:tcPr>
          <w:p w14:paraId="30019292" w14:textId="1F5830EF" w:rsidR="00C458B8" w:rsidRPr="003B11BD" w:rsidRDefault="00C458B8" w:rsidP="00F03230">
            <w:pPr>
              <w:pStyle w:val="Size10"/>
              <w:rPr>
                <w:noProof/>
              </w:rPr>
            </w:pPr>
            <w:r w:rsidRPr="003B11BD">
              <w:rPr>
                <w:noProof/>
              </w:rPr>
              <w:t>WHO/WIPO/WTO (2020), p. 240</w:t>
            </w:r>
          </w:p>
        </w:tc>
      </w:tr>
      <w:tr w:rsidR="00C458B8" w:rsidRPr="003B11BD" w14:paraId="3DA271CA" w14:textId="77777777" w:rsidTr="002D2640">
        <w:trPr>
          <w:trHeight w:val="275"/>
        </w:trPr>
        <w:tc>
          <w:tcPr>
            <w:tcW w:w="1101" w:type="dxa"/>
          </w:tcPr>
          <w:p w14:paraId="628B2A28" w14:textId="77777777" w:rsidR="00C458B8" w:rsidRPr="003B11BD" w:rsidRDefault="00C458B8" w:rsidP="00F03230">
            <w:pPr>
              <w:pStyle w:val="Size10"/>
              <w:rPr>
                <w:noProof/>
              </w:rPr>
            </w:pPr>
            <w:r w:rsidRPr="003B11BD">
              <w:rPr>
                <w:noProof/>
              </w:rPr>
              <w:t>Latvia</w:t>
            </w:r>
          </w:p>
        </w:tc>
        <w:tc>
          <w:tcPr>
            <w:tcW w:w="709" w:type="dxa"/>
          </w:tcPr>
          <w:p w14:paraId="0FDD205E" w14:textId="77777777" w:rsidR="00C458B8" w:rsidRPr="003B11BD" w:rsidRDefault="00C458B8" w:rsidP="00F03230">
            <w:pPr>
              <w:pStyle w:val="Size10"/>
              <w:rPr>
                <w:noProof/>
              </w:rPr>
            </w:pPr>
            <w:r w:rsidRPr="003B11BD">
              <w:rPr>
                <w:noProof/>
              </w:rPr>
              <w:t>– –</w:t>
            </w:r>
          </w:p>
        </w:tc>
        <w:tc>
          <w:tcPr>
            <w:tcW w:w="1461" w:type="dxa"/>
          </w:tcPr>
          <w:p w14:paraId="312F75D7" w14:textId="77777777" w:rsidR="00C458B8" w:rsidRPr="003B11BD" w:rsidRDefault="00C458B8" w:rsidP="00F03230">
            <w:pPr>
              <w:pStyle w:val="Size10"/>
              <w:rPr>
                <w:noProof/>
              </w:rPr>
            </w:pPr>
            <w:r w:rsidRPr="003B11BD">
              <w:rPr>
                <w:noProof/>
              </w:rPr>
              <w:t>– –</w:t>
            </w:r>
          </w:p>
        </w:tc>
        <w:tc>
          <w:tcPr>
            <w:tcW w:w="1140" w:type="dxa"/>
          </w:tcPr>
          <w:p w14:paraId="04C87BB8" w14:textId="77777777" w:rsidR="00C458B8" w:rsidRPr="003B11BD" w:rsidRDefault="00C458B8" w:rsidP="00F03230">
            <w:pPr>
              <w:pStyle w:val="Size10"/>
              <w:rPr>
                <w:noProof/>
              </w:rPr>
            </w:pPr>
            <w:r w:rsidRPr="003B11BD">
              <w:rPr>
                <w:noProof/>
              </w:rPr>
              <w:t>– –</w:t>
            </w:r>
          </w:p>
        </w:tc>
        <w:tc>
          <w:tcPr>
            <w:tcW w:w="1226" w:type="dxa"/>
          </w:tcPr>
          <w:p w14:paraId="1A3F07AE" w14:textId="77777777" w:rsidR="00C458B8" w:rsidRPr="003B11BD" w:rsidRDefault="00C458B8" w:rsidP="00F03230">
            <w:pPr>
              <w:pStyle w:val="Size10"/>
              <w:rPr>
                <w:noProof/>
              </w:rPr>
            </w:pPr>
            <w:r w:rsidRPr="003B11BD">
              <w:rPr>
                <w:noProof/>
              </w:rPr>
              <w:t>– –</w:t>
            </w:r>
          </w:p>
        </w:tc>
        <w:tc>
          <w:tcPr>
            <w:tcW w:w="5812" w:type="dxa"/>
          </w:tcPr>
          <w:p w14:paraId="7F165CC6" w14:textId="77777777" w:rsidR="00C458B8" w:rsidRPr="003B11BD" w:rsidRDefault="00C458B8" w:rsidP="00F03230">
            <w:pPr>
              <w:pStyle w:val="Size10"/>
              <w:rPr>
                <w:noProof/>
              </w:rPr>
            </w:pPr>
            <w:r w:rsidRPr="003B11BD">
              <w:rPr>
                <w:noProof/>
              </w:rPr>
              <w:t>According to the information provided by the Latvian Patent Office (www.lrpv.gov.lv/en), no CL have been granted or registered in Latvia.</w:t>
            </w:r>
          </w:p>
        </w:tc>
        <w:tc>
          <w:tcPr>
            <w:tcW w:w="1560" w:type="dxa"/>
          </w:tcPr>
          <w:p w14:paraId="17F20B79" w14:textId="77777777" w:rsidR="00C458B8" w:rsidRPr="003B11BD" w:rsidRDefault="00C458B8" w:rsidP="00F03230">
            <w:pPr>
              <w:pStyle w:val="Size10"/>
              <w:rPr>
                <w:noProof/>
              </w:rPr>
            </w:pPr>
            <w:r w:rsidRPr="003B11BD">
              <w:rPr>
                <w:noProof/>
              </w:rPr>
              <w:t>– –</w:t>
            </w:r>
          </w:p>
        </w:tc>
        <w:tc>
          <w:tcPr>
            <w:tcW w:w="1701" w:type="dxa"/>
          </w:tcPr>
          <w:p w14:paraId="3BAED808" w14:textId="77777777" w:rsidR="00C458B8" w:rsidRPr="003B11BD" w:rsidRDefault="00C458B8" w:rsidP="00F03230">
            <w:pPr>
              <w:pStyle w:val="Size10"/>
              <w:rPr>
                <w:noProof/>
              </w:rPr>
            </w:pPr>
            <w:r w:rsidRPr="003B11BD">
              <w:rPr>
                <w:noProof/>
              </w:rPr>
              <w:t>“Compulsory Licensing in Europe: A Country-by-Country Overview” (EPO, 2018), p. 76</w:t>
            </w:r>
          </w:p>
        </w:tc>
      </w:tr>
      <w:tr w:rsidR="00C458B8" w:rsidRPr="003B11BD" w14:paraId="18280082" w14:textId="77777777" w:rsidTr="002D2640">
        <w:trPr>
          <w:trHeight w:val="275"/>
        </w:trPr>
        <w:tc>
          <w:tcPr>
            <w:tcW w:w="1101" w:type="dxa"/>
          </w:tcPr>
          <w:p w14:paraId="1BF425C8" w14:textId="77777777" w:rsidR="00C458B8" w:rsidRPr="003B11BD" w:rsidRDefault="00C458B8" w:rsidP="00F03230">
            <w:pPr>
              <w:pStyle w:val="Size10"/>
              <w:rPr>
                <w:noProof/>
              </w:rPr>
            </w:pPr>
            <w:r w:rsidRPr="003B11BD">
              <w:rPr>
                <w:noProof/>
              </w:rPr>
              <w:t>Lithuania</w:t>
            </w:r>
          </w:p>
        </w:tc>
        <w:tc>
          <w:tcPr>
            <w:tcW w:w="709" w:type="dxa"/>
          </w:tcPr>
          <w:p w14:paraId="005A2381" w14:textId="77777777" w:rsidR="00C458B8" w:rsidRPr="003B11BD" w:rsidRDefault="00C458B8" w:rsidP="00F03230">
            <w:pPr>
              <w:pStyle w:val="Size10"/>
              <w:rPr>
                <w:noProof/>
              </w:rPr>
            </w:pPr>
            <w:r w:rsidRPr="003B11BD">
              <w:rPr>
                <w:noProof/>
              </w:rPr>
              <w:t>– –</w:t>
            </w:r>
          </w:p>
        </w:tc>
        <w:tc>
          <w:tcPr>
            <w:tcW w:w="1461" w:type="dxa"/>
          </w:tcPr>
          <w:p w14:paraId="1D10C808" w14:textId="77777777" w:rsidR="00C458B8" w:rsidRPr="003B11BD" w:rsidRDefault="00C458B8" w:rsidP="00F03230">
            <w:pPr>
              <w:pStyle w:val="Size10"/>
              <w:rPr>
                <w:noProof/>
              </w:rPr>
            </w:pPr>
            <w:r w:rsidRPr="003B11BD">
              <w:rPr>
                <w:noProof/>
              </w:rPr>
              <w:t>– –</w:t>
            </w:r>
          </w:p>
        </w:tc>
        <w:tc>
          <w:tcPr>
            <w:tcW w:w="1140" w:type="dxa"/>
          </w:tcPr>
          <w:p w14:paraId="27D6AF47" w14:textId="77777777" w:rsidR="00C458B8" w:rsidRPr="003B11BD" w:rsidRDefault="00C458B8" w:rsidP="00F03230">
            <w:pPr>
              <w:pStyle w:val="Size10"/>
              <w:rPr>
                <w:noProof/>
              </w:rPr>
            </w:pPr>
            <w:r w:rsidRPr="003B11BD">
              <w:rPr>
                <w:noProof/>
              </w:rPr>
              <w:t>– –</w:t>
            </w:r>
          </w:p>
        </w:tc>
        <w:tc>
          <w:tcPr>
            <w:tcW w:w="1226" w:type="dxa"/>
          </w:tcPr>
          <w:p w14:paraId="720F0CE2" w14:textId="77777777" w:rsidR="00C458B8" w:rsidRPr="003B11BD" w:rsidRDefault="00C458B8" w:rsidP="00F03230">
            <w:pPr>
              <w:pStyle w:val="Size10"/>
              <w:rPr>
                <w:noProof/>
              </w:rPr>
            </w:pPr>
            <w:r w:rsidRPr="003B11BD">
              <w:rPr>
                <w:noProof/>
              </w:rPr>
              <w:t>– –</w:t>
            </w:r>
          </w:p>
        </w:tc>
        <w:tc>
          <w:tcPr>
            <w:tcW w:w="5812" w:type="dxa"/>
          </w:tcPr>
          <w:p w14:paraId="466E2EFD" w14:textId="77777777" w:rsidR="00C458B8" w:rsidRPr="003B11BD" w:rsidRDefault="00C458B8" w:rsidP="00F03230">
            <w:pPr>
              <w:pStyle w:val="Size10"/>
              <w:rPr>
                <w:noProof/>
              </w:rPr>
            </w:pPr>
            <w:r w:rsidRPr="003B11BD">
              <w:rPr>
                <w:noProof/>
              </w:rPr>
              <w:t>There have been no cases concerning CL in Lithuania.</w:t>
            </w:r>
          </w:p>
        </w:tc>
        <w:tc>
          <w:tcPr>
            <w:tcW w:w="1560" w:type="dxa"/>
          </w:tcPr>
          <w:p w14:paraId="0C0D878A" w14:textId="77777777" w:rsidR="00C458B8" w:rsidRPr="003B11BD" w:rsidRDefault="00C458B8" w:rsidP="00F03230">
            <w:pPr>
              <w:pStyle w:val="Size10"/>
              <w:rPr>
                <w:noProof/>
              </w:rPr>
            </w:pPr>
            <w:r w:rsidRPr="003B11BD">
              <w:rPr>
                <w:noProof/>
              </w:rPr>
              <w:t>– –</w:t>
            </w:r>
          </w:p>
        </w:tc>
        <w:tc>
          <w:tcPr>
            <w:tcW w:w="1701" w:type="dxa"/>
          </w:tcPr>
          <w:p w14:paraId="7E15749F" w14:textId="77777777" w:rsidR="00C458B8" w:rsidRPr="003B11BD" w:rsidRDefault="00C458B8" w:rsidP="00F03230">
            <w:pPr>
              <w:pStyle w:val="Size10"/>
              <w:rPr>
                <w:noProof/>
              </w:rPr>
            </w:pPr>
            <w:r w:rsidRPr="003B11BD">
              <w:rPr>
                <w:noProof/>
              </w:rPr>
              <w:t>“Compulsory Licensing in Europe: A Country-by-Country Overview” (EPO, 2018), p. 72</w:t>
            </w:r>
          </w:p>
        </w:tc>
      </w:tr>
      <w:tr w:rsidR="00C458B8" w:rsidRPr="003B11BD" w14:paraId="64F80446" w14:textId="77777777" w:rsidTr="002D2640">
        <w:trPr>
          <w:trHeight w:val="275"/>
        </w:trPr>
        <w:tc>
          <w:tcPr>
            <w:tcW w:w="1101" w:type="dxa"/>
          </w:tcPr>
          <w:p w14:paraId="51A841BC" w14:textId="77777777" w:rsidR="00C458B8" w:rsidRPr="003B11BD" w:rsidRDefault="00C458B8" w:rsidP="00F03230">
            <w:pPr>
              <w:pStyle w:val="Size10"/>
              <w:rPr>
                <w:noProof/>
              </w:rPr>
            </w:pPr>
            <w:r w:rsidRPr="003B11BD">
              <w:rPr>
                <w:noProof/>
              </w:rPr>
              <w:t>Luxembourg</w:t>
            </w:r>
          </w:p>
        </w:tc>
        <w:tc>
          <w:tcPr>
            <w:tcW w:w="709" w:type="dxa"/>
          </w:tcPr>
          <w:p w14:paraId="3EEEA037" w14:textId="77777777" w:rsidR="00C458B8" w:rsidRPr="003B11BD" w:rsidRDefault="00C458B8" w:rsidP="00F03230">
            <w:pPr>
              <w:pStyle w:val="Size10"/>
              <w:rPr>
                <w:noProof/>
              </w:rPr>
            </w:pPr>
            <w:r w:rsidRPr="003B11BD">
              <w:rPr>
                <w:noProof/>
              </w:rPr>
              <w:t>– –</w:t>
            </w:r>
          </w:p>
        </w:tc>
        <w:tc>
          <w:tcPr>
            <w:tcW w:w="1461" w:type="dxa"/>
          </w:tcPr>
          <w:p w14:paraId="63852C6E" w14:textId="77777777" w:rsidR="00C458B8" w:rsidRPr="003B11BD" w:rsidRDefault="00C458B8" w:rsidP="00F03230">
            <w:pPr>
              <w:pStyle w:val="Size10"/>
              <w:rPr>
                <w:noProof/>
              </w:rPr>
            </w:pPr>
            <w:r w:rsidRPr="003B11BD">
              <w:rPr>
                <w:noProof/>
              </w:rPr>
              <w:t>– –</w:t>
            </w:r>
          </w:p>
        </w:tc>
        <w:tc>
          <w:tcPr>
            <w:tcW w:w="1140" w:type="dxa"/>
          </w:tcPr>
          <w:p w14:paraId="0706589F" w14:textId="77777777" w:rsidR="00C458B8" w:rsidRPr="003B11BD" w:rsidRDefault="00C458B8" w:rsidP="00F03230">
            <w:pPr>
              <w:pStyle w:val="Size10"/>
              <w:rPr>
                <w:noProof/>
              </w:rPr>
            </w:pPr>
            <w:r w:rsidRPr="003B11BD">
              <w:rPr>
                <w:noProof/>
              </w:rPr>
              <w:t>– –</w:t>
            </w:r>
          </w:p>
        </w:tc>
        <w:tc>
          <w:tcPr>
            <w:tcW w:w="1226" w:type="dxa"/>
          </w:tcPr>
          <w:p w14:paraId="19828B61" w14:textId="77777777" w:rsidR="00C458B8" w:rsidRPr="003B11BD" w:rsidRDefault="00C458B8" w:rsidP="00F03230">
            <w:pPr>
              <w:pStyle w:val="Size10"/>
              <w:rPr>
                <w:noProof/>
              </w:rPr>
            </w:pPr>
            <w:r w:rsidRPr="003B11BD">
              <w:rPr>
                <w:noProof/>
              </w:rPr>
              <w:t>– –</w:t>
            </w:r>
          </w:p>
        </w:tc>
        <w:tc>
          <w:tcPr>
            <w:tcW w:w="5812" w:type="dxa"/>
          </w:tcPr>
          <w:p w14:paraId="4029C3E2" w14:textId="77777777" w:rsidR="00C458B8" w:rsidRPr="003B11BD" w:rsidRDefault="00C458B8" w:rsidP="00F03230">
            <w:pPr>
              <w:pStyle w:val="Size10"/>
              <w:rPr>
                <w:noProof/>
              </w:rPr>
            </w:pPr>
            <w:r w:rsidRPr="003B11BD">
              <w:rPr>
                <w:noProof/>
              </w:rPr>
              <w:t>There are no published cases concerning CL in Luxembourg.</w:t>
            </w:r>
          </w:p>
        </w:tc>
        <w:tc>
          <w:tcPr>
            <w:tcW w:w="1560" w:type="dxa"/>
          </w:tcPr>
          <w:p w14:paraId="1D4C7F0F" w14:textId="77777777" w:rsidR="00C458B8" w:rsidRPr="003B11BD" w:rsidRDefault="00C458B8" w:rsidP="00F03230">
            <w:pPr>
              <w:pStyle w:val="Size10"/>
              <w:rPr>
                <w:noProof/>
              </w:rPr>
            </w:pPr>
            <w:r w:rsidRPr="003B11BD">
              <w:rPr>
                <w:noProof/>
              </w:rPr>
              <w:t>– –</w:t>
            </w:r>
          </w:p>
        </w:tc>
        <w:tc>
          <w:tcPr>
            <w:tcW w:w="1701" w:type="dxa"/>
          </w:tcPr>
          <w:p w14:paraId="1AB320A4" w14:textId="77777777" w:rsidR="00C458B8" w:rsidRPr="003B11BD" w:rsidRDefault="00C458B8" w:rsidP="00F03230">
            <w:pPr>
              <w:pStyle w:val="Size10"/>
              <w:rPr>
                <w:noProof/>
              </w:rPr>
            </w:pPr>
            <w:r w:rsidRPr="003B11BD">
              <w:rPr>
                <w:noProof/>
              </w:rPr>
              <w:t>“Compulsory Licensing in Europe: A Country-by-Country Overview” (EPO, 2018), p. 74</w:t>
            </w:r>
          </w:p>
        </w:tc>
      </w:tr>
      <w:tr w:rsidR="00C458B8" w:rsidRPr="003B11BD" w14:paraId="234DF7ED" w14:textId="77777777" w:rsidTr="002D2640">
        <w:trPr>
          <w:trHeight w:val="275"/>
        </w:trPr>
        <w:tc>
          <w:tcPr>
            <w:tcW w:w="1101" w:type="dxa"/>
          </w:tcPr>
          <w:p w14:paraId="19C8E353" w14:textId="77777777" w:rsidR="00C458B8" w:rsidRPr="003B11BD" w:rsidRDefault="00C458B8" w:rsidP="00F03230">
            <w:pPr>
              <w:pStyle w:val="Size10"/>
              <w:rPr>
                <w:noProof/>
              </w:rPr>
            </w:pPr>
            <w:r w:rsidRPr="003B11BD">
              <w:rPr>
                <w:noProof/>
              </w:rPr>
              <w:t>Malta</w:t>
            </w:r>
          </w:p>
        </w:tc>
        <w:tc>
          <w:tcPr>
            <w:tcW w:w="709" w:type="dxa"/>
          </w:tcPr>
          <w:p w14:paraId="4AC59E39" w14:textId="77777777" w:rsidR="00C458B8" w:rsidRPr="003B11BD" w:rsidRDefault="00C458B8" w:rsidP="00F03230">
            <w:pPr>
              <w:pStyle w:val="Size10"/>
              <w:rPr>
                <w:noProof/>
              </w:rPr>
            </w:pPr>
            <w:r w:rsidRPr="003B11BD">
              <w:rPr>
                <w:noProof/>
              </w:rPr>
              <w:t>– –</w:t>
            </w:r>
          </w:p>
        </w:tc>
        <w:tc>
          <w:tcPr>
            <w:tcW w:w="1461" w:type="dxa"/>
          </w:tcPr>
          <w:p w14:paraId="1A53DDF5" w14:textId="77777777" w:rsidR="00C458B8" w:rsidRPr="003B11BD" w:rsidRDefault="00C458B8" w:rsidP="00F03230">
            <w:pPr>
              <w:pStyle w:val="Size10"/>
              <w:rPr>
                <w:noProof/>
              </w:rPr>
            </w:pPr>
            <w:r w:rsidRPr="003B11BD">
              <w:rPr>
                <w:noProof/>
              </w:rPr>
              <w:t>– –</w:t>
            </w:r>
          </w:p>
        </w:tc>
        <w:tc>
          <w:tcPr>
            <w:tcW w:w="1140" w:type="dxa"/>
          </w:tcPr>
          <w:p w14:paraId="1E76AD0A" w14:textId="77777777" w:rsidR="00C458B8" w:rsidRPr="003B11BD" w:rsidRDefault="00C458B8" w:rsidP="00F03230">
            <w:pPr>
              <w:pStyle w:val="Size10"/>
              <w:rPr>
                <w:noProof/>
              </w:rPr>
            </w:pPr>
            <w:r w:rsidRPr="003B11BD">
              <w:rPr>
                <w:noProof/>
              </w:rPr>
              <w:t>– –</w:t>
            </w:r>
          </w:p>
        </w:tc>
        <w:tc>
          <w:tcPr>
            <w:tcW w:w="1226" w:type="dxa"/>
          </w:tcPr>
          <w:p w14:paraId="49D9127A" w14:textId="77777777" w:rsidR="00C458B8" w:rsidRPr="003B11BD" w:rsidRDefault="00C458B8" w:rsidP="00F03230">
            <w:pPr>
              <w:pStyle w:val="Size10"/>
              <w:rPr>
                <w:noProof/>
              </w:rPr>
            </w:pPr>
            <w:r w:rsidRPr="003B11BD">
              <w:rPr>
                <w:noProof/>
              </w:rPr>
              <w:t>– –</w:t>
            </w:r>
          </w:p>
        </w:tc>
        <w:tc>
          <w:tcPr>
            <w:tcW w:w="5812" w:type="dxa"/>
          </w:tcPr>
          <w:p w14:paraId="27A6B4DA" w14:textId="77777777" w:rsidR="00C458B8" w:rsidRPr="003B11BD" w:rsidRDefault="00C458B8" w:rsidP="00F03230">
            <w:pPr>
              <w:pStyle w:val="Size10"/>
              <w:rPr>
                <w:noProof/>
              </w:rPr>
            </w:pPr>
            <w:r w:rsidRPr="003B11BD">
              <w:rPr>
                <w:noProof/>
              </w:rPr>
              <w:t>There are no published cases concerning CL in Malta.</w:t>
            </w:r>
          </w:p>
        </w:tc>
        <w:tc>
          <w:tcPr>
            <w:tcW w:w="1560" w:type="dxa"/>
          </w:tcPr>
          <w:p w14:paraId="4174E391" w14:textId="77777777" w:rsidR="00C458B8" w:rsidRPr="003B11BD" w:rsidRDefault="00C458B8" w:rsidP="00F03230">
            <w:pPr>
              <w:pStyle w:val="Size10"/>
              <w:rPr>
                <w:noProof/>
              </w:rPr>
            </w:pPr>
            <w:r w:rsidRPr="003B11BD">
              <w:rPr>
                <w:noProof/>
              </w:rPr>
              <w:t>– –</w:t>
            </w:r>
          </w:p>
        </w:tc>
        <w:tc>
          <w:tcPr>
            <w:tcW w:w="1701" w:type="dxa"/>
          </w:tcPr>
          <w:p w14:paraId="3C4AF962" w14:textId="77777777" w:rsidR="00C458B8" w:rsidRPr="003B11BD" w:rsidRDefault="00C458B8" w:rsidP="00F03230">
            <w:pPr>
              <w:pStyle w:val="Size10"/>
              <w:rPr>
                <w:noProof/>
              </w:rPr>
            </w:pPr>
            <w:r w:rsidRPr="003B11BD">
              <w:rPr>
                <w:noProof/>
              </w:rPr>
              <w:t>“Compulsory Licensing in Europe: A Country-by-Country Overview” (EPO, 2018), p. 83</w:t>
            </w:r>
          </w:p>
        </w:tc>
      </w:tr>
      <w:tr w:rsidR="00C458B8" w:rsidRPr="003B11BD" w14:paraId="6886EEAA" w14:textId="77777777" w:rsidTr="002D2640">
        <w:trPr>
          <w:trHeight w:val="275"/>
        </w:trPr>
        <w:tc>
          <w:tcPr>
            <w:tcW w:w="1101" w:type="dxa"/>
          </w:tcPr>
          <w:p w14:paraId="012CF1FA" w14:textId="77777777" w:rsidR="00C458B8" w:rsidRPr="003B11BD" w:rsidRDefault="00C458B8" w:rsidP="00F03230">
            <w:pPr>
              <w:pStyle w:val="Size10"/>
              <w:rPr>
                <w:noProof/>
              </w:rPr>
            </w:pPr>
            <w:r w:rsidRPr="003B11BD">
              <w:rPr>
                <w:noProof/>
              </w:rPr>
              <w:t>Netherlands</w:t>
            </w:r>
          </w:p>
        </w:tc>
        <w:tc>
          <w:tcPr>
            <w:tcW w:w="709" w:type="dxa"/>
          </w:tcPr>
          <w:p w14:paraId="344BC41C" w14:textId="77777777" w:rsidR="00C458B8" w:rsidRPr="003B11BD" w:rsidRDefault="00C458B8" w:rsidP="00F03230">
            <w:pPr>
              <w:pStyle w:val="Size10"/>
              <w:rPr>
                <w:noProof/>
              </w:rPr>
            </w:pPr>
            <w:r w:rsidRPr="003B11BD">
              <w:rPr>
                <w:noProof/>
              </w:rPr>
              <w:t>1986</w:t>
            </w:r>
          </w:p>
        </w:tc>
        <w:tc>
          <w:tcPr>
            <w:tcW w:w="1461" w:type="dxa"/>
          </w:tcPr>
          <w:p w14:paraId="59AF3A2B" w14:textId="77777777" w:rsidR="00C458B8" w:rsidRPr="003B11BD" w:rsidRDefault="00C458B8" w:rsidP="00F03230">
            <w:pPr>
              <w:pStyle w:val="Size10"/>
              <w:rPr>
                <w:noProof/>
              </w:rPr>
            </w:pPr>
            <w:r w:rsidRPr="003B11BD">
              <w:rPr>
                <w:noProof/>
              </w:rPr>
              <w:t>Protected plant variety of tulips</w:t>
            </w:r>
          </w:p>
        </w:tc>
        <w:tc>
          <w:tcPr>
            <w:tcW w:w="1140" w:type="dxa"/>
          </w:tcPr>
          <w:p w14:paraId="32575A5A" w14:textId="77777777" w:rsidR="00C458B8" w:rsidRPr="003B11BD" w:rsidRDefault="00C458B8" w:rsidP="00F03230">
            <w:pPr>
              <w:pStyle w:val="Size10"/>
              <w:rPr>
                <w:noProof/>
              </w:rPr>
            </w:pPr>
            <w:r w:rsidRPr="003B11BD">
              <w:rPr>
                <w:noProof/>
              </w:rPr>
              <w:t>Not Issued</w:t>
            </w:r>
          </w:p>
        </w:tc>
        <w:tc>
          <w:tcPr>
            <w:tcW w:w="1226" w:type="dxa"/>
          </w:tcPr>
          <w:p w14:paraId="5C31FEDE" w14:textId="77777777" w:rsidR="00C458B8" w:rsidRPr="003B11BD" w:rsidRDefault="00C458B8" w:rsidP="00F03230">
            <w:pPr>
              <w:pStyle w:val="Size10"/>
              <w:rPr>
                <w:noProof/>
              </w:rPr>
            </w:pPr>
            <w:r w:rsidRPr="003B11BD">
              <w:rPr>
                <w:noProof/>
              </w:rPr>
              <w:t>– –</w:t>
            </w:r>
          </w:p>
        </w:tc>
        <w:tc>
          <w:tcPr>
            <w:tcW w:w="5812" w:type="dxa"/>
          </w:tcPr>
          <w:p w14:paraId="050B7221" w14:textId="77777777" w:rsidR="00C458B8" w:rsidRPr="003B11BD" w:rsidRDefault="00C458B8" w:rsidP="00F03230">
            <w:pPr>
              <w:pStyle w:val="Size10"/>
              <w:rPr>
                <w:noProof/>
              </w:rPr>
            </w:pPr>
            <w:r w:rsidRPr="003B11BD">
              <w:rPr>
                <w:noProof/>
              </w:rPr>
              <w:t>CL to plant variety rights.</w:t>
            </w:r>
          </w:p>
        </w:tc>
        <w:tc>
          <w:tcPr>
            <w:tcW w:w="1560" w:type="dxa"/>
          </w:tcPr>
          <w:p w14:paraId="2326098C" w14:textId="77777777" w:rsidR="00C458B8" w:rsidRPr="003B11BD" w:rsidRDefault="00C458B8" w:rsidP="00F03230">
            <w:pPr>
              <w:pStyle w:val="Size10"/>
              <w:rPr>
                <w:noProof/>
              </w:rPr>
            </w:pPr>
            <w:r w:rsidRPr="003B11BD">
              <w:rPr>
                <w:noProof/>
              </w:rPr>
              <w:t xml:space="preserve">Claimant: Pennings </w:t>
            </w:r>
          </w:p>
          <w:p w14:paraId="0549041F" w14:textId="77777777" w:rsidR="00C458B8" w:rsidRPr="003B11BD" w:rsidRDefault="00C458B8" w:rsidP="00F03230">
            <w:pPr>
              <w:pStyle w:val="Size10"/>
              <w:rPr>
                <w:noProof/>
              </w:rPr>
            </w:pPr>
          </w:p>
          <w:p w14:paraId="5D2FDEF2" w14:textId="77777777" w:rsidR="00C458B8" w:rsidRPr="003B11BD" w:rsidRDefault="00C458B8" w:rsidP="00F03230">
            <w:pPr>
              <w:pStyle w:val="Size10"/>
              <w:rPr>
                <w:noProof/>
              </w:rPr>
            </w:pPr>
            <w:r w:rsidRPr="003B11BD">
              <w:rPr>
                <w:noProof/>
              </w:rPr>
              <w:t>Defendant: Schoorl</w:t>
            </w:r>
          </w:p>
          <w:p w14:paraId="1088C0E9" w14:textId="77777777" w:rsidR="00C458B8" w:rsidRPr="003B11BD" w:rsidRDefault="00C458B8" w:rsidP="00F03230">
            <w:pPr>
              <w:pStyle w:val="Size10"/>
              <w:rPr>
                <w:noProof/>
              </w:rPr>
            </w:pPr>
          </w:p>
          <w:p w14:paraId="695D59B3" w14:textId="77777777" w:rsidR="00C458B8" w:rsidRPr="003B11BD" w:rsidRDefault="00C458B8" w:rsidP="00F03230">
            <w:pPr>
              <w:pStyle w:val="Size10"/>
              <w:rPr>
                <w:noProof/>
              </w:rPr>
            </w:pPr>
          </w:p>
        </w:tc>
        <w:tc>
          <w:tcPr>
            <w:tcW w:w="1701" w:type="dxa"/>
          </w:tcPr>
          <w:p w14:paraId="3D470490" w14:textId="77777777" w:rsidR="00C458B8" w:rsidRPr="003B11BD" w:rsidRDefault="00C458B8" w:rsidP="00F03230">
            <w:pPr>
              <w:pStyle w:val="Size10"/>
              <w:rPr>
                <w:noProof/>
              </w:rPr>
            </w:pPr>
            <w:r w:rsidRPr="003B11BD">
              <w:rPr>
                <w:noProof/>
              </w:rPr>
              <w:t>Case nr. BIE 1987.18, Chairman of the District Court of Haarlem; Pennings vs Schoorl, 16.07.1986</w:t>
            </w:r>
          </w:p>
        </w:tc>
      </w:tr>
      <w:tr w:rsidR="00C458B8" w:rsidRPr="003B11BD" w14:paraId="36914D1D" w14:textId="77777777" w:rsidTr="002D2640">
        <w:trPr>
          <w:trHeight w:val="275"/>
        </w:trPr>
        <w:tc>
          <w:tcPr>
            <w:tcW w:w="1101" w:type="dxa"/>
          </w:tcPr>
          <w:p w14:paraId="1B7ECE3F" w14:textId="77777777" w:rsidR="00C458B8" w:rsidRPr="003B11BD" w:rsidRDefault="00C458B8" w:rsidP="00F03230">
            <w:pPr>
              <w:pStyle w:val="Size10"/>
              <w:rPr>
                <w:noProof/>
              </w:rPr>
            </w:pPr>
            <w:r w:rsidRPr="003B11BD">
              <w:rPr>
                <w:noProof/>
              </w:rPr>
              <w:t>Poland</w:t>
            </w:r>
          </w:p>
        </w:tc>
        <w:tc>
          <w:tcPr>
            <w:tcW w:w="709" w:type="dxa"/>
          </w:tcPr>
          <w:p w14:paraId="6ABAFC3C" w14:textId="77777777" w:rsidR="00C458B8" w:rsidRPr="003B11BD" w:rsidRDefault="00C458B8" w:rsidP="00F03230">
            <w:pPr>
              <w:pStyle w:val="Size10"/>
              <w:rPr>
                <w:noProof/>
              </w:rPr>
            </w:pPr>
            <w:r w:rsidRPr="003B11BD">
              <w:rPr>
                <w:noProof/>
              </w:rPr>
              <w:t>– –</w:t>
            </w:r>
          </w:p>
        </w:tc>
        <w:tc>
          <w:tcPr>
            <w:tcW w:w="1461" w:type="dxa"/>
          </w:tcPr>
          <w:p w14:paraId="226B703A" w14:textId="77777777" w:rsidR="00C458B8" w:rsidRPr="003B11BD" w:rsidRDefault="00C458B8" w:rsidP="00F03230">
            <w:pPr>
              <w:pStyle w:val="Size10"/>
              <w:rPr>
                <w:noProof/>
              </w:rPr>
            </w:pPr>
            <w:r w:rsidRPr="003B11BD">
              <w:rPr>
                <w:noProof/>
              </w:rPr>
              <w:t>– –</w:t>
            </w:r>
          </w:p>
        </w:tc>
        <w:tc>
          <w:tcPr>
            <w:tcW w:w="1140" w:type="dxa"/>
          </w:tcPr>
          <w:p w14:paraId="0EBD202A" w14:textId="77777777" w:rsidR="00C458B8" w:rsidRPr="003B11BD" w:rsidRDefault="00C458B8" w:rsidP="00F03230">
            <w:pPr>
              <w:pStyle w:val="Size10"/>
              <w:rPr>
                <w:noProof/>
              </w:rPr>
            </w:pPr>
            <w:r w:rsidRPr="003B11BD">
              <w:rPr>
                <w:noProof/>
              </w:rPr>
              <w:t>– –</w:t>
            </w:r>
          </w:p>
        </w:tc>
        <w:tc>
          <w:tcPr>
            <w:tcW w:w="1226" w:type="dxa"/>
          </w:tcPr>
          <w:p w14:paraId="08879C7D" w14:textId="77777777" w:rsidR="00C458B8" w:rsidRPr="003B11BD" w:rsidRDefault="00C458B8" w:rsidP="00F03230">
            <w:pPr>
              <w:pStyle w:val="Size10"/>
              <w:rPr>
                <w:noProof/>
              </w:rPr>
            </w:pPr>
            <w:r w:rsidRPr="003B11BD">
              <w:rPr>
                <w:noProof/>
              </w:rPr>
              <w:t>– –</w:t>
            </w:r>
          </w:p>
        </w:tc>
        <w:tc>
          <w:tcPr>
            <w:tcW w:w="5812" w:type="dxa"/>
          </w:tcPr>
          <w:p w14:paraId="558B27D9" w14:textId="77777777" w:rsidR="00C458B8" w:rsidRPr="003B11BD" w:rsidRDefault="00C458B8" w:rsidP="00F03230">
            <w:pPr>
              <w:pStyle w:val="Size10"/>
              <w:rPr>
                <w:noProof/>
              </w:rPr>
            </w:pPr>
            <w:r w:rsidRPr="003B11BD">
              <w:rPr>
                <w:noProof/>
              </w:rPr>
              <w:t>On the basis of the currently applicable legislation, no proceedings concerning CL have been recorded.</w:t>
            </w:r>
          </w:p>
        </w:tc>
        <w:tc>
          <w:tcPr>
            <w:tcW w:w="1560" w:type="dxa"/>
          </w:tcPr>
          <w:p w14:paraId="568491C3" w14:textId="77777777" w:rsidR="00C458B8" w:rsidRPr="003B11BD" w:rsidRDefault="00C458B8" w:rsidP="00F03230">
            <w:pPr>
              <w:pStyle w:val="Size10"/>
              <w:rPr>
                <w:noProof/>
              </w:rPr>
            </w:pPr>
            <w:r w:rsidRPr="003B11BD">
              <w:rPr>
                <w:noProof/>
              </w:rPr>
              <w:t>– –</w:t>
            </w:r>
          </w:p>
        </w:tc>
        <w:tc>
          <w:tcPr>
            <w:tcW w:w="1701" w:type="dxa"/>
          </w:tcPr>
          <w:p w14:paraId="36D8CF31" w14:textId="77777777" w:rsidR="00C458B8" w:rsidRPr="003B11BD" w:rsidRDefault="00C458B8" w:rsidP="00F03230">
            <w:pPr>
              <w:pStyle w:val="Size10"/>
              <w:rPr>
                <w:noProof/>
              </w:rPr>
            </w:pPr>
            <w:r w:rsidRPr="003B11BD">
              <w:rPr>
                <w:noProof/>
              </w:rPr>
              <w:t>“Compulsory Licensing in Europe: A Country-by-Country Overview” (EPO, 2018), p. 96</w:t>
            </w:r>
          </w:p>
        </w:tc>
      </w:tr>
      <w:tr w:rsidR="00C458B8" w:rsidRPr="003B11BD" w14:paraId="7865CBA0" w14:textId="77777777" w:rsidTr="002D2640">
        <w:trPr>
          <w:trHeight w:val="275"/>
        </w:trPr>
        <w:tc>
          <w:tcPr>
            <w:tcW w:w="1101" w:type="dxa"/>
          </w:tcPr>
          <w:p w14:paraId="7F4821DB" w14:textId="77777777" w:rsidR="00C458B8" w:rsidRPr="003B11BD" w:rsidRDefault="00C458B8" w:rsidP="00F03230">
            <w:pPr>
              <w:pStyle w:val="Size10"/>
              <w:rPr>
                <w:noProof/>
              </w:rPr>
            </w:pPr>
            <w:r w:rsidRPr="003B11BD">
              <w:rPr>
                <w:noProof/>
              </w:rPr>
              <w:t>Portugal</w:t>
            </w:r>
          </w:p>
        </w:tc>
        <w:tc>
          <w:tcPr>
            <w:tcW w:w="709" w:type="dxa"/>
          </w:tcPr>
          <w:p w14:paraId="0D47C3FA" w14:textId="77777777" w:rsidR="00C458B8" w:rsidRPr="003B11BD" w:rsidRDefault="00C458B8" w:rsidP="00F03230">
            <w:pPr>
              <w:pStyle w:val="Size10"/>
              <w:rPr>
                <w:noProof/>
              </w:rPr>
            </w:pPr>
            <w:r w:rsidRPr="003B11BD">
              <w:rPr>
                <w:noProof/>
              </w:rPr>
              <w:t>– –</w:t>
            </w:r>
          </w:p>
        </w:tc>
        <w:tc>
          <w:tcPr>
            <w:tcW w:w="1461" w:type="dxa"/>
          </w:tcPr>
          <w:p w14:paraId="1535F336" w14:textId="77777777" w:rsidR="00C458B8" w:rsidRPr="003B11BD" w:rsidRDefault="00C458B8" w:rsidP="00F03230">
            <w:pPr>
              <w:pStyle w:val="Size10"/>
              <w:rPr>
                <w:noProof/>
              </w:rPr>
            </w:pPr>
            <w:r w:rsidRPr="003B11BD">
              <w:rPr>
                <w:noProof/>
              </w:rPr>
              <w:t>– –</w:t>
            </w:r>
          </w:p>
        </w:tc>
        <w:tc>
          <w:tcPr>
            <w:tcW w:w="1140" w:type="dxa"/>
          </w:tcPr>
          <w:p w14:paraId="51C02A98" w14:textId="77777777" w:rsidR="00C458B8" w:rsidRPr="003B11BD" w:rsidRDefault="00C458B8" w:rsidP="00F03230">
            <w:pPr>
              <w:pStyle w:val="Size10"/>
              <w:rPr>
                <w:noProof/>
              </w:rPr>
            </w:pPr>
            <w:r w:rsidRPr="003B11BD">
              <w:rPr>
                <w:noProof/>
              </w:rPr>
              <w:t>– –</w:t>
            </w:r>
          </w:p>
        </w:tc>
        <w:tc>
          <w:tcPr>
            <w:tcW w:w="1226" w:type="dxa"/>
          </w:tcPr>
          <w:p w14:paraId="542EEA1A" w14:textId="77777777" w:rsidR="00C458B8" w:rsidRPr="003B11BD" w:rsidRDefault="00C458B8" w:rsidP="00F03230">
            <w:pPr>
              <w:pStyle w:val="Size10"/>
              <w:rPr>
                <w:noProof/>
              </w:rPr>
            </w:pPr>
            <w:r w:rsidRPr="003B11BD">
              <w:rPr>
                <w:noProof/>
              </w:rPr>
              <w:t>– –</w:t>
            </w:r>
          </w:p>
        </w:tc>
        <w:tc>
          <w:tcPr>
            <w:tcW w:w="5812" w:type="dxa"/>
          </w:tcPr>
          <w:p w14:paraId="26D7BBF7" w14:textId="77777777" w:rsidR="00C458B8" w:rsidRPr="003B11BD" w:rsidRDefault="00C458B8" w:rsidP="00F03230">
            <w:pPr>
              <w:pStyle w:val="Size10"/>
              <w:rPr>
                <w:noProof/>
              </w:rPr>
            </w:pPr>
            <w:r w:rsidRPr="003B11BD">
              <w:rPr>
                <w:noProof/>
              </w:rPr>
              <w:t>There is no available information concerning cases involving CL in Portugal.</w:t>
            </w:r>
          </w:p>
        </w:tc>
        <w:tc>
          <w:tcPr>
            <w:tcW w:w="1560" w:type="dxa"/>
          </w:tcPr>
          <w:p w14:paraId="3D52C860" w14:textId="77777777" w:rsidR="00C458B8" w:rsidRPr="003B11BD" w:rsidRDefault="00C458B8" w:rsidP="00F03230">
            <w:pPr>
              <w:pStyle w:val="Size10"/>
              <w:rPr>
                <w:noProof/>
              </w:rPr>
            </w:pPr>
            <w:r w:rsidRPr="003B11BD">
              <w:rPr>
                <w:noProof/>
              </w:rPr>
              <w:t>– –</w:t>
            </w:r>
          </w:p>
        </w:tc>
        <w:tc>
          <w:tcPr>
            <w:tcW w:w="1701" w:type="dxa"/>
          </w:tcPr>
          <w:p w14:paraId="2BDDD5F4" w14:textId="77777777" w:rsidR="00C458B8" w:rsidRPr="003B11BD" w:rsidRDefault="00C458B8" w:rsidP="00F03230">
            <w:pPr>
              <w:pStyle w:val="Size10"/>
              <w:rPr>
                <w:noProof/>
              </w:rPr>
            </w:pPr>
            <w:r w:rsidRPr="003B11BD">
              <w:rPr>
                <w:noProof/>
              </w:rPr>
              <w:t>“Compulsory Licensing in Europe: A Country-by-Country Overview” (EPO, 2018), p. 98</w:t>
            </w:r>
          </w:p>
        </w:tc>
      </w:tr>
      <w:tr w:rsidR="00C458B8" w:rsidRPr="003B11BD" w14:paraId="68F910D6" w14:textId="77777777" w:rsidTr="002D2640">
        <w:trPr>
          <w:trHeight w:val="275"/>
        </w:trPr>
        <w:tc>
          <w:tcPr>
            <w:tcW w:w="1101" w:type="dxa"/>
          </w:tcPr>
          <w:p w14:paraId="7441BF18" w14:textId="77777777" w:rsidR="00C458B8" w:rsidRPr="003B11BD" w:rsidRDefault="00C458B8" w:rsidP="00F03230">
            <w:pPr>
              <w:pStyle w:val="Size10"/>
              <w:rPr>
                <w:noProof/>
              </w:rPr>
            </w:pPr>
            <w:r w:rsidRPr="003B11BD">
              <w:rPr>
                <w:noProof/>
              </w:rPr>
              <w:t>Romania</w:t>
            </w:r>
          </w:p>
        </w:tc>
        <w:tc>
          <w:tcPr>
            <w:tcW w:w="709" w:type="dxa"/>
          </w:tcPr>
          <w:p w14:paraId="194CF33B" w14:textId="77777777" w:rsidR="00C458B8" w:rsidRPr="003B11BD" w:rsidRDefault="00C458B8" w:rsidP="00F03230">
            <w:pPr>
              <w:pStyle w:val="Size10"/>
              <w:rPr>
                <w:noProof/>
              </w:rPr>
            </w:pPr>
            <w:r w:rsidRPr="003B11BD">
              <w:rPr>
                <w:noProof/>
              </w:rPr>
              <w:t>– –</w:t>
            </w:r>
          </w:p>
        </w:tc>
        <w:tc>
          <w:tcPr>
            <w:tcW w:w="1461" w:type="dxa"/>
          </w:tcPr>
          <w:p w14:paraId="381BED7C" w14:textId="77777777" w:rsidR="00C458B8" w:rsidRPr="003B11BD" w:rsidRDefault="00C458B8" w:rsidP="00F03230">
            <w:pPr>
              <w:pStyle w:val="Size10"/>
              <w:rPr>
                <w:noProof/>
              </w:rPr>
            </w:pPr>
            <w:r w:rsidRPr="003B11BD">
              <w:rPr>
                <w:noProof/>
              </w:rPr>
              <w:t>– –</w:t>
            </w:r>
          </w:p>
        </w:tc>
        <w:tc>
          <w:tcPr>
            <w:tcW w:w="1140" w:type="dxa"/>
          </w:tcPr>
          <w:p w14:paraId="227279BA" w14:textId="77777777" w:rsidR="00C458B8" w:rsidRPr="003B11BD" w:rsidRDefault="00C458B8" w:rsidP="00F03230">
            <w:pPr>
              <w:pStyle w:val="Size10"/>
              <w:rPr>
                <w:noProof/>
              </w:rPr>
            </w:pPr>
            <w:r w:rsidRPr="003B11BD">
              <w:rPr>
                <w:noProof/>
              </w:rPr>
              <w:t>– –</w:t>
            </w:r>
          </w:p>
        </w:tc>
        <w:tc>
          <w:tcPr>
            <w:tcW w:w="1226" w:type="dxa"/>
          </w:tcPr>
          <w:p w14:paraId="1CB49995" w14:textId="77777777" w:rsidR="00C458B8" w:rsidRPr="003B11BD" w:rsidRDefault="00C458B8" w:rsidP="00F03230">
            <w:pPr>
              <w:pStyle w:val="Size10"/>
              <w:rPr>
                <w:noProof/>
              </w:rPr>
            </w:pPr>
            <w:r w:rsidRPr="003B11BD">
              <w:rPr>
                <w:noProof/>
              </w:rPr>
              <w:t>– –</w:t>
            </w:r>
          </w:p>
        </w:tc>
        <w:tc>
          <w:tcPr>
            <w:tcW w:w="5812" w:type="dxa"/>
          </w:tcPr>
          <w:p w14:paraId="5774A7C5" w14:textId="77777777" w:rsidR="00C458B8" w:rsidRPr="003B11BD" w:rsidRDefault="00C458B8" w:rsidP="00F03230">
            <w:pPr>
              <w:pStyle w:val="Size10"/>
              <w:rPr>
                <w:noProof/>
              </w:rPr>
            </w:pPr>
            <w:r w:rsidRPr="003B11BD">
              <w:rPr>
                <w:noProof/>
              </w:rPr>
              <w:t>There have been no cases concerning CL in Romania.</w:t>
            </w:r>
          </w:p>
        </w:tc>
        <w:tc>
          <w:tcPr>
            <w:tcW w:w="1560" w:type="dxa"/>
          </w:tcPr>
          <w:p w14:paraId="315504B6" w14:textId="77777777" w:rsidR="00C458B8" w:rsidRPr="003B11BD" w:rsidRDefault="00C458B8" w:rsidP="00F03230">
            <w:pPr>
              <w:pStyle w:val="Size10"/>
              <w:rPr>
                <w:noProof/>
              </w:rPr>
            </w:pPr>
            <w:r w:rsidRPr="003B11BD">
              <w:rPr>
                <w:noProof/>
              </w:rPr>
              <w:t>– –</w:t>
            </w:r>
          </w:p>
        </w:tc>
        <w:tc>
          <w:tcPr>
            <w:tcW w:w="1701" w:type="dxa"/>
          </w:tcPr>
          <w:p w14:paraId="25A29349" w14:textId="77777777" w:rsidR="00C458B8" w:rsidRPr="003B11BD" w:rsidRDefault="00C458B8" w:rsidP="00F03230">
            <w:pPr>
              <w:pStyle w:val="Size10"/>
              <w:rPr>
                <w:noProof/>
              </w:rPr>
            </w:pPr>
            <w:r w:rsidRPr="003B11BD">
              <w:rPr>
                <w:noProof/>
              </w:rPr>
              <w:t>“Compulsory Licensing in Europe: A Country-by-Country Overview” (EPO, 2018), p. 100</w:t>
            </w:r>
          </w:p>
        </w:tc>
      </w:tr>
      <w:tr w:rsidR="00C458B8" w:rsidRPr="003B11BD" w14:paraId="410E3FCA" w14:textId="77777777" w:rsidTr="002D2640">
        <w:trPr>
          <w:trHeight w:val="275"/>
        </w:trPr>
        <w:tc>
          <w:tcPr>
            <w:tcW w:w="1101" w:type="dxa"/>
          </w:tcPr>
          <w:p w14:paraId="3607E039" w14:textId="77777777" w:rsidR="00C458B8" w:rsidRPr="003B11BD" w:rsidRDefault="00C458B8" w:rsidP="00F03230">
            <w:pPr>
              <w:pStyle w:val="Size10"/>
              <w:rPr>
                <w:noProof/>
              </w:rPr>
            </w:pPr>
            <w:r w:rsidRPr="003B11BD">
              <w:rPr>
                <w:noProof/>
              </w:rPr>
              <w:t>Slovakia</w:t>
            </w:r>
          </w:p>
        </w:tc>
        <w:tc>
          <w:tcPr>
            <w:tcW w:w="709" w:type="dxa"/>
          </w:tcPr>
          <w:p w14:paraId="6731B58F" w14:textId="77777777" w:rsidR="00C458B8" w:rsidRPr="003B11BD" w:rsidRDefault="00C458B8" w:rsidP="00F03230">
            <w:pPr>
              <w:pStyle w:val="Size10"/>
              <w:rPr>
                <w:noProof/>
              </w:rPr>
            </w:pPr>
            <w:r w:rsidRPr="003B11BD">
              <w:rPr>
                <w:noProof/>
              </w:rPr>
              <w:t>– –</w:t>
            </w:r>
          </w:p>
        </w:tc>
        <w:tc>
          <w:tcPr>
            <w:tcW w:w="1461" w:type="dxa"/>
          </w:tcPr>
          <w:p w14:paraId="790F1A65" w14:textId="77777777" w:rsidR="00C458B8" w:rsidRPr="003B11BD" w:rsidRDefault="00C458B8" w:rsidP="00F03230">
            <w:pPr>
              <w:pStyle w:val="Size10"/>
              <w:rPr>
                <w:noProof/>
              </w:rPr>
            </w:pPr>
            <w:r w:rsidRPr="003B11BD">
              <w:rPr>
                <w:noProof/>
              </w:rPr>
              <w:t>– –</w:t>
            </w:r>
          </w:p>
        </w:tc>
        <w:tc>
          <w:tcPr>
            <w:tcW w:w="1140" w:type="dxa"/>
          </w:tcPr>
          <w:p w14:paraId="537480AA" w14:textId="77777777" w:rsidR="00C458B8" w:rsidRPr="003B11BD" w:rsidRDefault="00C458B8" w:rsidP="00F03230">
            <w:pPr>
              <w:pStyle w:val="Size10"/>
              <w:rPr>
                <w:noProof/>
              </w:rPr>
            </w:pPr>
            <w:r w:rsidRPr="003B11BD">
              <w:rPr>
                <w:noProof/>
              </w:rPr>
              <w:t>– –</w:t>
            </w:r>
          </w:p>
        </w:tc>
        <w:tc>
          <w:tcPr>
            <w:tcW w:w="1226" w:type="dxa"/>
          </w:tcPr>
          <w:p w14:paraId="3778C9DB" w14:textId="77777777" w:rsidR="00C458B8" w:rsidRPr="003B11BD" w:rsidRDefault="00C458B8" w:rsidP="00F03230">
            <w:pPr>
              <w:pStyle w:val="Size10"/>
              <w:rPr>
                <w:noProof/>
              </w:rPr>
            </w:pPr>
            <w:r w:rsidRPr="003B11BD">
              <w:rPr>
                <w:noProof/>
              </w:rPr>
              <w:t>– –</w:t>
            </w:r>
          </w:p>
        </w:tc>
        <w:tc>
          <w:tcPr>
            <w:tcW w:w="5812" w:type="dxa"/>
          </w:tcPr>
          <w:p w14:paraId="2FE4B711" w14:textId="77777777" w:rsidR="00C458B8" w:rsidRPr="003B11BD" w:rsidRDefault="00C458B8" w:rsidP="00F03230">
            <w:pPr>
              <w:pStyle w:val="Size10"/>
              <w:rPr>
                <w:noProof/>
              </w:rPr>
            </w:pPr>
            <w:r w:rsidRPr="003B11BD">
              <w:rPr>
                <w:noProof/>
              </w:rPr>
              <w:t>Based on information provided by the Industrial Property Office of the Slovak Republic, there is no record that a CL application was ever filed in Slovakia.</w:t>
            </w:r>
          </w:p>
        </w:tc>
        <w:tc>
          <w:tcPr>
            <w:tcW w:w="1560" w:type="dxa"/>
          </w:tcPr>
          <w:p w14:paraId="744FDF37" w14:textId="77777777" w:rsidR="00C458B8" w:rsidRPr="003B11BD" w:rsidRDefault="00C458B8" w:rsidP="00F03230">
            <w:pPr>
              <w:pStyle w:val="Size10"/>
              <w:rPr>
                <w:noProof/>
              </w:rPr>
            </w:pPr>
            <w:r w:rsidRPr="003B11BD">
              <w:rPr>
                <w:noProof/>
              </w:rPr>
              <w:t>– –</w:t>
            </w:r>
          </w:p>
        </w:tc>
        <w:tc>
          <w:tcPr>
            <w:tcW w:w="1701" w:type="dxa"/>
          </w:tcPr>
          <w:p w14:paraId="37332B3B" w14:textId="77777777" w:rsidR="00C458B8" w:rsidRPr="003B11BD" w:rsidRDefault="00C458B8" w:rsidP="00F03230">
            <w:pPr>
              <w:pStyle w:val="Size10"/>
              <w:rPr>
                <w:noProof/>
              </w:rPr>
            </w:pPr>
            <w:r w:rsidRPr="003B11BD">
              <w:rPr>
                <w:noProof/>
              </w:rPr>
              <w:t>“Compulsory Licensing in Europe: A Country-by-Country Overview” (EPO, 2018), p. 108</w:t>
            </w:r>
          </w:p>
        </w:tc>
      </w:tr>
      <w:tr w:rsidR="00C458B8" w:rsidRPr="003B11BD" w14:paraId="5E635E57" w14:textId="77777777" w:rsidTr="002D2640">
        <w:trPr>
          <w:trHeight w:val="275"/>
        </w:trPr>
        <w:tc>
          <w:tcPr>
            <w:tcW w:w="1101" w:type="dxa"/>
          </w:tcPr>
          <w:p w14:paraId="5AB1FB8D" w14:textId="77777777" w:rsidR="00C458B8" w:rsidRPr="003B11BD" w:rsidRDefault="00C458B8" w:rsidP="00F03230">
            <w:pPr>
              <w:pStyle w:val="Size10"/>
              <w:rPr>
                <w:noProof/>
              </w:rPr>
            </w:pPr>
            <w:r w:rsidRPr="003B11BD">
              <w:rPr>
                <w:noProof/>
              </w:rPr>
              <w:t>Slovenia</w:t>
            </w:r>
          </w:p>
        </w:tc>
        <w:tc>
          <w:tcPr>
            <w:tcW w:w="709" w:type="dxa"/>
          </w:tcPr>
          <w:p w14:paraId="790C41E3" w14:textId="77777777" w:rsidR="00C458B8" w:rsidRPr="003B11BD" w:rsidRDefault="00C458B8" w:rsidP="00F03230">
            <w:pPr>
              <w:pStyle w:val="Size10"/>
              <w:rPr>
                <w:noProof/>
              </w:rPr>
            </w:pPr>
            <w:r w:rsidRPr="003B11BD">
              <w:rPr>
                <w:noProof/>
              </w:rPr>
              <w:t>– –</w:t>
            </w:r>
          </w:p>
        </w:tc>
        <w:tc>
          <w:tcPr>
            <w:tcW w:w="1461" w:type="dxa"/>
          </w:tcPr>
          <w:p w14:paraId="6648905B" w14:textId="77777777" w:rsidR="00C458B8" w:rsidRPr="003B11BD" w:rsidRDefault="00C458B8" w:rsidP="00F03230">
            <w:pPr>
              <w:pStyle w:val="Size10"/>
              <w:rPr>
                <w:noProof/>
              </w:rPr>
            </w:pPr>
            <w:r w:rsidRPr="003B11BD">
              <w:rPr>
                <w:noProof/>
              </w:rPr>
              <w:t>– –</w:t>
            </w:r>
          </w:p>
        </w:tc>
        <w:tc>
          <w:tcPr>
            <w:tcW w:w="1140" w:type="dxa"/>
          </w:tcPr>
          <w:p w14:paraId="08D6ECAC" w14:textId="77777777" w:rsidR="00C458B8" w:rsidRPr="003B11BD" w:rsidRDefault="00C458B8" w:rsidP="00F03230">
            <w:pPr>
              <w:pStyle w:val="Size10"/>
              <w:rPr>
                <w:noProof/>
              </w:rPr>
            </w:pPr>
            <w:r w:rsidRPr="003B11BD">
              <w:rPr>
                <w:noProof/>
              </w:rPr>
              <w:t>– –</w:t>
            </w:r>
          </w:p>
        </w:tc>
        <w:tc>
          <w:tcPr>
            <w:tcW w:w="1226" w:type="dxa"/>
          </w:tcPr>
          <w:p w14:paraId="38422E65" w14:textId="77777777" w:rsidR="00C458B8" w:rsidRPr="003B11BD" w:rsidRDefault="00C458B8" w:rsidP="00F03230">
            <w:pPr>
              <w:pStyle w:val="Size10"/>
              <w:rPr>
                <w:noProof/>
              </w:rPr>
            </w:pPr>
            <w:r w:rsidRPr="003B11BD">
              <w:rPr>
                <w:noProof/>
              </w:rPr>
              <w:t>– –</w:t>
            </w:r>
          </w:p>
        </w:tc>
        <w:tc>
          <w:tcPr>
            <w:tcW w:w="5812" w:type="dxa"/>
          </w:tcPr>
          <w:p w14:paraId="5DFA9D19" w14:textId="77777777" w:rsidR="00C458B8" w:rsidRPr="003B11BD" w:rsidRDefault="00C458B8" w:rsidP="00F03230">
            <w:pPr>
              <w:pStyle w:val="Size10"/>
              <w:rPr>
                <w:noProof/>
              </w:rPr>
            </w:pPr>
            <w:r w:rsidRPr="003B11BD">
              <w:rPr>
                <w:noProof/>
              </w:rPr>
              <w:t>There is no available information concerning cases involving CL in Slovenia.</w:t>
            </w:r>
          </w:p>
        </w:tc>
        <w:tc>
          <w:tcPr>
            <w:tcW w:w="1560" w:type="dxa"/>
          </w:tcPr>
          <w:p w14:paraId="7269C210" w14:textId="77777777" w:rsidR="00C458B8" w:rsidRPr="003B11BD" w:rsidRDefault="00C458B8" w:rsidP="00F03230">
            <w:pPr>
              <w:pStyle w:val="Size10"/>
              <w:rPr>
                <w:noProof/>
              </w:rPr>
            </w:pPr>
            <w:r w:rsidRPr="003B11BD">
              <w:rPr>
                <w:noProof/>
              </w:rPr>
              <w:t>– –</w:t>
            </w:r>
          </w:p>
        </w:tc>
        <w:tc>
          <w:tcPr>
            <w:tcW w:w="1701" w:type="dxa"/>
          </w:tcPr>
          <w:p w14:paraId="5E46D4ED" w14:textId="77777777" w:rsidR="00C458B8" w:rsidRPr="003B11BD" w:rsidRDefault="00C458B8" w:rsidP="00F03230">
            <w:pPr>
              <w:pStyle w:val="Size10"/>
              <w:rPr>
                <w:noProof/>
              </w:rPr>
            </w:pPr>
            <w:r w:rsidRPr="003B11BD">
              <w:rPr>
                <w:noProof/>
              </w:rPr>
              <w:t>“Compulsory Licensing in Europe: A Country-by-Country Overview” (EPO, 2018), p. 106</w:t>
            </w:r>
          </w:p>
        </w:tc>
      </w:tr>
      <w:tr w:rsidR="00C458B8" w:rsidRPr="003B11BD" w14:paraId="2743CB74" w14:textId="77777777" w:rsidTr="002D2640">
        <w:trPr>
          <w:trHeight w:val="275"/>
        </w:trPr>
        <w:tc>
          <w:tcPr>
            <w:tcW w:w="1101" w:type="dxa"/>
            <w:vMerge w:val="restart"/>
          </w:tcPr>
          <w:p w14:paraId="25270C12" w14:textId="77777777" w:rsidR="00C458B8" w:rsidRPr="003B11BD" w:rsidRDefault="00C458B8" w:rsidP="00F03230">
            <w:pPr>
              <w:pStyle w:val="Size10"/>
              <w:rPr>
                <w:noProof/>
              </w:rPr>
            </w:pPr>
            <w:r w:rsidRPr="003B11BD">
              <w:rPr>
                <w:noProof/>
              </w:rPr>
              <w:t>Spain</w:t>
            </w:r>
          </w:p>
        </w:tc>
        <w:tc>
          <w:tcPr>
            <w:tcW w:w="709" w:type="dxa"/>
          </w:tcPr>
          <w:p w14:paraId="6606C78F" w14:textId="77777777" w:rsidR="00C458B8" w:rsidRPr="003B11BD" w:rsidRDefault="00C458B8" w:rsidP="00F03230">
            <w:pPr>
              <w:pStyle w:val="Size10"/>
              <w:rPr>
                <w:noProof/>
              </w:rPr>
            </w:pPr>
            <w:r w:rsidRPr="003B11BD">
              <w:rPr>
                <w:noProof/>
              </w:rPr>
              <w:t>2001</w:t>
            </w:r>
          </w:p>
        </w:tc>
        <w:tc>
          <w:tcPr>
            <w:tcW w:w="1461" w:type="dxa"/>
          </w:tcPr>
          <w:p w14:paraId="2D229B8E" w14:textId="77777777" w:rsidR="00C458B8" w:rsidRPr="003B11BD" w:rsidRDefault="00C458B8" w:rsidP="00F03230">
            <w:pPr>
              <w:pStyle w:val="Size10"/>
              <w:rPr>
                <w:noProof/>
              </w:rPr>
            </w:pPr>
            <w:r w:rsidRPr="003B11BD">
              <w:rPr>
                <w:noProof/>
              </w:rPr>
              <w:t>Medical /  Carboxyalkyl dipeptide derivatives (anti-hypertensives)</w:t>
            </w:r>
          </w:p>
        </w:tc>
        <w:tc>
          <w:tcPr>
            <w:tcW w:w="1140" w:type="dxa"/>
          </w:tcPr>
          <w:p w14:paraId="23B671ED" w14:textId="77777777" w:rsidR="00C458B8" w:rsidRPr="003B11BD" w:rsidRDefault="00C458B8" w:rsidP="00F03230">
            <w:pPr>
              <w:pStyle w:val="Size10"/>
              <w:rPr>
                <w:noProof/>
              </w:rPr>
            </w:pPr>
            <w:r w:rsidRPr="003B11BD">
              <w:rPr>
                <w:noProof/>
              </w:rPr>
              <w:t>Not issued</w:t>
            </w:r>
          </w:p>
        </w:tc>
        <w:tc>
          <w:tcPr>
            <w:tcW w:w="1226" w:type="dxa"/>
          </w:tcPr>
          <w:p w14:paraId="293D54AF" w14:textId="77777777" w:rsidR="00C458B8" w:rsidRPr="003B11BD" w:rsidRDefault="00C458B8" w:rsidP="00F03230">
            <w:pPr>
              <w:pStyle w:val="Size10"/>
              <w:rPr>
                <w:noProof/>
              </w:rPr>
            </w:pPr>
            <w:r w:rsidRPr="003B11BD">
              <w:rPr>
                <w:noProof/>
              </w:rPr>
              <w:t>– –</w:t>
            </w:r>
          </w:p>
        </w:tc>
        <w:tc>
          <w:tcPr>
            <w:tcW w:w="5812" w:type="dxa"/>
          </w:tcPr>
          <w:p w14:paraId="30E69145" w14:textId="77777777" w:rsidR="00C458B8" w:rsidRPr="003B11BD" w:rsidRDefault="00C458B8" w:rsidP="00F03230">
            <w:pPr>
              <w:pStyle w:val="Size10"/>
              <w:rPr>
                <w:noProof/>
              </w:rPr>
            </w:pPr>
            <w:r w:rsidRPr="003B11BD">
              <w:rPr>
                <w:noProof/>
              </w:rPr>
              <w:t xml:space="preserve">The OEPM closed the compulsory licence proceedings </w:t>
            </w:r>
          </w:p>
          <w:p w14:paraId="3032C611" w14:textId="767C8849" w:rsidR="00C458B8" w:rsidRPr="003B11BD" w:rsidRDefault="00C458B8" w:rsidP="00F03230">
            <w:pPr>
              <w:pStyle w:val="Size10"/>
              <w:rPr>
                <w:noProof/>
              </w:rPr>
            </w:pPr>
            <w:r w:rsidRPr="003B11BD">
              <w:rPr>
                <w:noProof/>
              </w:rPr>
              <w:t>because the parties settled. The patentee appealed the OEPM’s decision but the Court of Appeals and later the Supreme Court dismissed the appeal and confirmed the OEPM’s decision. Since a licence agreement between the parties was reached, it was no longer a compulsory licence (subject to the contentiou</w:t>
            </w:r>
            <w:r w:rsidR="003F59BD" w:rsidRPr="003B11BD">
              <w:rPr>
                <w:noProof/>
              </w:rPr>
              <w:t xml:space="preserve">s administrative courts) but a </w:t>
            </w:r>
            <w:r w:rsidRPr="003B11BD">
              <w:rPr>
                <w:noProof/>
              </w:rPr>
              <w:t>contractual licence (subject to the civil courts) and therefore the contentious administrative jurisdiction could not rule in relation to its validity.</w:t>
            </w:r>
          </w:p>
        </w:tc>
        <w:tc>
          <w:tcPr>
            <w:tcW w:w="1560" w:type="dxa"/>
          </w:tcPr>
          <w:p w14:paraId="26E5500C" w14:textId="77777777" w:rsidR="00C458B8" w:rsidRPr="003B11BD" w:rsidRDefault="00C458B8" w:rsidP="00F03230">
            <w:pPr>
              <w:pStyle w:val="Size10"/>
              <w:rPr>
                <w:noProof/>
              </w:rPr>
            </w:pPr>
            <w:r w:rsidRPr="003B11BD">
              <w:rPr>
                <w:noProof/>
              </w:rPr>
              <w:t>Claimant:</w:t>
            </w:r>
          </w:p>
          <w:p w14:paraId="463C95FB" w14:textId="77777777" w:rsidR="00C458B8" w:rsidRPr="003B11BD" w:rsidRDefault="00C458B8" w:rsidP="00F03230">
            <w:pPr>
              <w:pStyle w:val="Size10"/>
              <w:rPr>
                <w:noProof/>
              </w:rPr>
            </w:pPr>
            <w:r w:rsidRPr="003B11BD">
              <w:rPr>
                <w:noProof/>
              </w:rPr>
              <w:t>Merck &amp; Co. Inc.</w:t>
            </w:r>
          </w:p>
          <w:p w14:paraId="1D528BD0" w14:textId="77777777" w:rsidR="00C458B8" w:rsidRPr="003B11BD" w:rsidRDefault="00C458B8" w:rsidP="00F03230">
            <w:pPr>
              <w:pStyle w:val="Size10"/>
              <w:rPr>
                <w:noProof/>
              </w:rPr>
            </w:pPr>
          </w:p>
          <w:p w14:paraId="02CA64F0" w14:textId="77777777" w:rsidR="00C458B8" w:rsidRPr="003B11BD" w:rsidRDefault="00C458B8" w:rsidP="00F03230">
            <w:pPr>
              <w:pStyle w:val="Size10"/>
              <w:rPr>
                <w:noProof/>
              </w:rPr>
            </w:pPr>
            <w:r w:rsidRPr="003B11BD">
              <w:rPr>
                <w:noProof/>
              </w:rPr>
              <w:t>Defendant:</w:t>
            </w:r>
          </w:p>
          <w:p w14:paraId="298EEB69" w14:textId="77777777" w:rsidR="00C458B8" w:rsidRPr="003B11BD" w:rsidRDefault="00C458B8" w:rsidP="00F03230">
            <w:pPr>
              <w:pStyle w:val="Size10"/>
              <w:rPr>
                <w:noProof/>
              </w:rPr>
            </w:pPr>
            <w:r w:rsidRPr="003B11BD">
              <w:rPr>
                <w:noProof/>
              </w:rPr>
              <w:t>Inke, S.A.</w:t>
            </w:r>
          </w:p>
        </w:tc>
        <w:tc>
          <w:tcPr>
            <w:tcW w:w="1701" w:type="dxa"/>
          </w:tcPr>
          <w:p w14:paraId="6AE9D2AB" w14:textId="77777777" w:rsidR="00C458B8" w:rsidRPr="003B11BD" w:rsidRDefault="00C458B8" w:rsidP="00F03230">
            <w:pPr>
              <w:pStyle w:val="Size10"/>
              <w:rPr>
                <w:noProof/>
              </w:rPr>
            </w:pPr>
            <w:r w:rsidRPr="003B11BD">
              <w:rPr>
                <w:noProof/>
              </w:rPr>
              <w:t>“Compulsory Licensing in Europe: A Country-by-Country Overview” (EPO, 2018), p. 39</w:t>
            </w:r>
          </w:p>
        </w:tc>
      </w:tr>
      <w:tr w:rsidR="00C458B8" w:rsidRPr="003B11BD" w14:paraId="0E96DCB3" w14:textId="77777777" w:rsidTr="002D2640">
        <w:trPr>
          <w:trHeight w:val="275"/>
        </w:trPr>
        <w:tc>
          <w:tcPr>
            <w:tcW w:w="1101" w:type="dxa"/>
            <w:vMerge/>
          </w:tcPr>
          <w:p w14:paraId="6EE0F92E" w14:textId="77777777" w:rsidR="00C458B8" w:rsidRPr="003B11BD" w:rsidRDefault="00C458B8" w:rsidP="00F03230">
            <w:pPr>
              <w:pStyle w:val="Size10"/>
              <w:rPr>
                <w:noProof/>
              </w:rPr>
            </w:pPr>
          </w:p>
        </w:tc>
        <w:tc>
          <w:tcPr>
            <w:tcW w:w="709" w:type="dxa"/>
          </w:tcPr>
          <w:p w14:paraId="47C443F6" w14:textId="77777777" w:rsidR="00C458B8" w:rsidRPr="003B11BD" w:rsidRDefault="00C458B8" w:rsidP="00F03230">
            <w:pPr>
              <w:pStyle w:val="Size10"/>
              <w:rPr>
                <w:noProof/>
              </w:rPr>
            </w:pPr>
            <w:r w:rsidRPr="003B11BD">
              <w:rPr>
                <w:noProof/>
              </w:rPr>
              <w:t>2003</w:t>
            </w:r>
          </w:p>
        </w:tc>
        <w:tc>
          <w:tcPr>
            <w:tcW w:w="1461" w:type="dxa"/>
          </w:tcPr>
          <w:p w14:paraId="4F6FFDB9" w14:textId="77777777" w:rsidR="00C458B8" w:rsidRPr="003B11BD" w:rsidRDefault="00C458B8" w:rsidP="00F03230">
            <w:pPr>
              <w:pStyle w:val="Size10"/>
              <w:rPr>
                <w:noProof/>
              </w:rPr>
            </w:pPr>
            <w:r w:rsidRPr="003B11BD">
              <w:rPr>
                <w:noProof/>
              </w:rPr>
              <w:t>Medical</w:t>
            </w:r>
          </w:p>
        </w:tc>
        <w:tc>
          <w:tcPr>
            <w:tcW w:w="1140" w:type="dxa"/>
          </w:tcPr>
          <w:p w14:paraId="16657561" w14:textId="77777777" w:rsidR="00C458B8" w:rsidRPr="003B11BD" w:rsidRDefault="00C458B8" w:rsidP="00F03230">
            <w:pPr>
              <w:pStyle w:val="Size10"/>
              <w:rPr>
                <w:noProof/>
              </w:rPr>
            </w:pPr>
            <w:r w:rsidRPr="003B11BD">
              <w:rPr>
                <w:noProof/>
              </w:rPr>
              <w:t>Not issued</w:t>
            </w:r>
          </w:p>
        </w:tc>
        <w:tc>
          <w:tcPr>
            <w:tcW w:w="1226" w:type="dxa"/>
          </w:tcPr>
          <w:p w14:paraId="4D54D58A" w14:textId="77777777" w:rsidR="00C458B8" w:rsidRPr="003B11BD" w:rsidRDefault="00C458B8" w:rsidP="00F03230">
            <w:pPr>
              <w:pStyle w:val="Size10"/>
              <w:rPr>
                <w:noProof/>
              </w:rPr>
            </w:pPr>
            <w:r w:rsidRPr="003B11BD">
              <w:rPr>
                <w:noProof/>
              </w:rPr>
              <w:t>– –</w:t>
            </w:r>
          </w:p>
        </w:tc>
        <w:tc>
          <w:tcPr>
            <w:tcW w:w="5812" w:type="dxa"/>
          </w:tcPr>
          <w:p w14:paraId="4A90FE07" w14:textId="77777777" w:rsidR="00C458B8" w:rsidRPr="003B11BD" w:rsidRDefault="00C458B8" w:rsidP="00F03230">
            <w:pPr>
              <w:pStyle w:val="Size10"/>
              <w:rPr>
                <w:noProof/>
              </w:rPr>
            </w:pPr>
            <w:r w:rsidRPr="003B11BD">
              <w:rPr>
                <w:noProof/>
              </w:rPr>
              <w:t>Application made on grounds of no sufficient exploitation of the patent.</w:t>
            </w:r>
          </w:p>
          <w:p w14:paraId="376E25CA" w14:textId="77777777" w:rsidR="00C458B8" w:rsidRPr="003B11BD" w:rsidRDefault="00C458B8" w:rsidP="00F03230">
            <w:pPr>
              <w:pStyle w:val="Size10"/>
              <w:rPr>
                <w:noProof/>
              </w:rPr>
            </w:pPr>
          </w:p>
          <w:p w14:paraId="17AC88A8" w14:textId="77777777" w:rsidR="00C458B8" w:rsidRPr="003B11BD" w:rsidRDefault="00C458B8" w:rsidP="00F03230">
            <w:pPr>
              <w:pStyle w:val="Size10"/>
              <w:rPr>
                <w:noProof/>
              </w:rPr>
            </w:pPr>
            <w:r w:rsidRPr="003B11BD">
              <w:rPr>
                <w:noProof/>
              </w:rPr>
              <w:t xml:space="preserve">A pharmaceutical company had requested a CL over a patent that was considered to be unexploited in Spain. The OEPM refused to grant the licence and Madrid’s </w:t>
            </w:r>
          </w:p>
          <w:p w14:paraId="716CF039" w14:textId="34327B2C" w:rsidR="00C458B8" w:rsidRPr="003B11BD" w:rsidRDefault="00C458B8" w:rsidP="00F03230">
            <w:pPr>
              <w:pStyle w:val="Size10"/>
              <w:rPr>
                <w:noProof/>
              </w:rPr>
            </w:pPr>
            <w:r w:rsidRPr="003B11BD">
              <w:rPr>
                <w:noProof/>
              </w:rPr>
              <w:t>High Court of Justice revoked the OEPM decision based on formal reasons, namely the fact that the OEPM had not respected the est</w:t>
            </w:r>
            <w:r w:rsidR="002D2640" w:rsidRPr="003B11BD">
              <w:rPr>
                <w:noProof/>
              </w:rPr>
              <w:t>ablished procedure for granting</w:t>
            </w:r>
            <w:r w:rsidRPr="003B11BD">
              <w:rPr>
                <w:noProof/>
              </w:rPr>
              <w:t xml:space="preserve"> CL. However, the patentee appealed before the Supreme Court, whic</w:t>
            </w:r>
            <w:r w:rsidR="002D2640" w:rsidRPr="003B11BD">
              <w:rPr>
                <w:noProof/>
              </w:rPr>
              <w:t xml:space="preserve">h reinstated the original OEPM </w:t>
            </w:r>
            <w:r w:rsidRPr="003B11BD">
              <w:rPr>
                <w:noProof/>
              </w:rPr>
              <w:t>decision, denying the compulsory licence on the grounds that a compulsory licence cannot be granted in a situation when the substantive requirements are not met. In this case it was concluded that the patent was being exploited in Belgium, and therefore this exploitation in an EU member state was considered sufficien</w:t>
            </w:r>
            <w:r w:rsidR="002D2640" w:rsidRPr="003B11BD">
              <w:rPr>
                <w:noProof/>
              </w:rPr>
              <w:t>t in view of the rulings of the</w:t>
            </w:r>
            <w:r w:rsidRPr="003B11BD">
              <w:rPr>
                <w:noProof/>
              </w:rPr>
              <w:t xml:space="preserve"> Court of Justice of the European Union in the cases C-60/1990 and C-235/1989.</w:t>
            </w:r>
          </w:p>
        </w:tc>
        <w:tc>
          <w:tcPr>
            <w:tcW w:w="1560" w:type="dxa"/>
          </w:tcPr>
          <w:p w14:paraId="7B489E35" w14:textId="77777777" w:rsidR="00C458B8" w:rsidRPr="00616500" w:rsidRDefault="00C458B8" w:rsidP="00F03230">
            <w:pPr>
              <w:pStyle w:val="Size10"/>
              <w:rPr>
                <w:noProof/>
                <w:lang w:val="fr-BE"/>
              </w:rPr>
            </w:pPr>
            <w:r w:rsidRPr="00616500">
              <w:rPr>
                <w:noProof/>
                <w:lang w:val="fr-BE"/>
              </w:rPr>
              <w:t>Claimant:</w:t>
            </w:r>
          </w:p>
          <w:p w14:paraId="2BEA5FDA" w14:textId="77777777" w:rsidR="00C458B8" w:rsidRPr="00616500" w:rsidRDefault="00C458B8" w:rsidP="00F03230">
            <w:pPr>
              <w:pStyle w:val="Size10"/>
              <w:rPr>
                <w:noProof/>
                <w:lang w:val="fr-BE"/>
              </w:rPr>
            </w:pPr>
            <w:r w:rsidRPr="00616500">
              <w:rPr>
                <w:noProof/>
                <w:lang w:val="fr-BE"/>
              </w:rPr>
              <w:t>Astur-Pharma S.A.</w:t>
            </w:r>
          </w:p>
          <w:p w14:paraId="596BE6C4" w14:textId="77777777" w:rsidR="00C458B8" w:rsidRPr="00616500" w:rsidRDefault="00C458B8" w:rsidP="00F03230">
            <w:pPr>
              <w:pStyle w:val="Size10"/>
              <w:rPr>
                <w:noProof/>
                <w:lang w:val="fr-BE"/>
              </w:rPr>
            </w:pPr>
          </w:p>
          <w:p w14:paraId="1B80CC5D" w14:textId="77777777" w:rsidR="00C458B8" w:rsidRPr="003B11BD" w:rsidRDefault="00C458B8" w:rsidP="00F03230">
            <w:pPr>
              <w:pStyle w:val="Size10"/>
              <w:rPr>
                <w:noProof/>
              </w:rPr>
            </w:pPr>
            <w:r w:rsidRPr="003B11BD">
              <w:rPr>
                <w:noProof/>
              </w:rPr>
              <w:t>Defendant:</w:t>
            </w:r>
          </w:p>
          <w:p w14:paraId="372CD97D" w14:textId="77777777" w:rsidR="00C458B8" w:rsidRPr="003B11BD" w:rsidRDefault="00C458B8" w:rsidP="00F03230">
            <w:pPr>
              <w:pStyle w:val="Size10"/>
              <w:rPr>
                <w:noProof/>
              </w:rPr>
            </w:pPr>
            <w:r w:rsidRPr="003B11BD">
              <w:rPr>
                <w:noProof/>
              </w:rPr>
              <w:t>Leo Pharmaceu-</w:t>
            </w:r>
          </w:p>
          <w:p w14:paraId="4EA051BF" w14:textId="77777777" w:rsidR="00C458B8" w:rsidRPr="003B11BD" w:rsidRDefault="00C458B8" w:rsidP="00F03230">
            <w:pPr>
              <w:pStyle w:val="Size10"/>
              <w:rPr>
                <w:noProof/>
              </w:rPr>
            </w:pPr>
            <w:r w:rsidRPr="003B11BD">
              <w:rPr>
                <w:noProof/>
              </w:rPr>
              <w:t>tical Ltd. A/S</w:t>
            </w:r>
          </w:p>
          <w:p w14:paraId="776CF535" w14:textId="77777777" w:rsidR="00C458B8" w:rsidRPr="003B11BD" w:rsidRDefault="00C458B8" w:rsidP="00F03230">
            <w:pPr>
              <w:pStyle w:val="Size10"/>
              <w:rPr>
                <w:noProof/>
              </w:rPr>
            </w:pPr>
          </w:p>
        </w:tc>
        <w:tc>
          <w:tcPr>
            <w:tcW w:w="1701" w:type="dxa"/>
          </w:tcPr>
          <w:p w14:paraId="2A07F6E1" w14:textId="047DDEB6" w:rsidR="00C458B8" w:rsidRPr="003B11BD" w:rsidRDefault="00C458B8" w:rsidP="00F03230">
            <w:pPr>
              <w:pStyle w:val="Size10"/>
              <w:rPr>
                <w:noProof/>
              </w:rPr>
            </w:pPr>
            <w:r w:rsidRPr="003B11BD">
              <w:rPr>
                <w:noProof/>
              </w:rPr>
              <w:t>“Compulsory Licensing in Europe: A Country-by-Country Overview” (EPO, 2018), p. 39</w:t>
            </w:r>
          </w:p>
        </w:tc>
      </w:tr>
      <w:tr w:rsidR="00C458B8" w:rsidRPr="003B11BD" w14:paraId="6A911008" w14:textId="77777777" w:rsidTr="002D2640">
        <w:trPr>
          <w:trHeight w:val="275"/>
        </w:trPr>
        <w:tc>
          <w:tcPr>
            <w:tcW w:w="1101" w:type="dxa"/>
            <w:vMerge/>
          </w:tcPr>
          <w:p w14:paraId="4C9D7307" w14:textId="77777777" w:rsidR="00C458B8" w:rsidRPr="003B11BD" w:rsidRDefault="00C458B8" w:rsidP="00F03230">
            <w:pPr>
              <w:pStyle w:val="Size10"/>
              <w:rPr>
                <w:noProof/>
              </w:rPr>
            </w:pPr>
          </w:p>
        </w:tc>
        <w:tc>
          <w:tcPr>
            <w:tcW w:w="709" w:type="dxa"/>
          </w:tcPr>
          <w:p w14:paraId="4F52AFA1" w14:textId="77777777" w:rsidR="00C458B8" w:rsidRPr="003B11BD" w:rsidRDefault="00C458B8" w:rsidP="00F03230">
            <w:pPr>
              <w:pStyle w:val="Size10"/>
              <w:rPr>
                <w:noProof/>
              </w:rPr>
            </w:pPr>
            <w:r w:rsidRPr="003B11BD">
              <w:rPr>
                <w:noProof/>
              </w:rPr>
              <w:t>2015</w:t>
            </w:r>
          </w:p>
        </w:tc>
        <w:tc>
          <w:tcPr>
            <w:tcW w:w="1461" w:type="dxa"/>
          </w:tcPr>
          <w:p w14:paraId="32289665" w14:textId="77777777" w:rsidR="00C458B8" w:rsidRPr="003B11BD" w:rsidRDefault="00C458B8" w:rsidP="00F03230">
            <w:pPr>
              <w:pStyle w:val="Size10"/>
              <w:rPr>
                <w:noProof/>
              </w:rPr>
            </w:pPr>
            <w:r w:rsidRPr="003B11BD">
              <w:rPr>
                <w:noProof/>
              </w:rPr>
              <w:t>Medicine / Sofosbuvir (hepatitis C)</w:t>
            </w:r>
          </w:p>
        </w:tc>
        <w:tc>
          <w:tcPr>
            <w:tcW w:w="1140" w:type="dxa"/>
          </w:tcPr>
          <w:p w14:paraId="5A1E718A" w14:textId="77777777" w:rsidR="00C458B8" w:rsidRPr="003B11BD" w:rsidRDefault="00C458B8" w:rsidP="00F03230">
            <w:pPr>
              <w:pStyle w:val="Size10"/>
              <w:rPr>
                <w:noProof/>
              </w:rPr>
            </w:pPr>
            <w:r w:rsidRPr="003B11BD">
              <w:rPr>
                <w:noProof/>
              </w:rPr>
              <w:t>Not Issued</w:t>
            </w:r>
          </w:p>
        </w:tc>
        <w:tc>
          <w:tcPr>
            <w:tcW w:w="1226" w:type="dxa"/>
          </w:tcPr>
          <w:p w14:paraId="5CF69499" w14:textId="77777777" w:rsidR="00C458B8" w:rsidRPr="003B11BD" w:rsidRDefault="00C458B8" w:rsidP="00F03230">
            <w:pPr>
              <w:pStyle w:val="Size10"/>
              <w:rPr>
                <w:noProof/>
              </w:rPr>
            </w:pPr>
            <w:r w:rsidRPr="003B11BD">
              <w:rPr>
                <w:noProof/>
              </w:rPr>
              <w:t>– –</w:t>
            </w:r>
          </w:p>
        </w:tc>
        <w:tc>
          <w:tcPr>
            <w:tcW w:w="5812" w:type="dxa"/>
          </w:tcPr>
          <w:p w14:paraId="7AAF86C6" w14:textId="77777777" w:rsidR="00C458B8" w:rsidRPr="003B11BD" w:rsidRDefault="00C458B8" w:rsidP="00F03230">
            <w:pPr>
              <w:pStyle w:val="Size10"/>
              <w:rPr>
                <w:noProof/>
              </w:rPr>
            </w:pPr>
            <w:r w:rsidRPr="003B11BD">
              <w:rPr>
                <w:noProof/>
              </w:rPr>
              <w:t>The Supreme Court ruled that granting of CL in cases of public interest is at the discretion of the government, and not an obligation imposed by the law.</w:t>
            </w:r>
          </w:p>
        </w:tc>
        <w:tc>
          <w:tcPr>
            <w:tcW w:w="1560" w:type="dxa"/>
          </w:tcPr>
          <w:p w14:paraId="3AD247ED" w14:textId="77777777" w:rsidR="00C458B8" w:rsidRPr="003B11BD" w:rsidRDefault="00C458B8" w:rsidP="00F03230">
            <w:pPr>
              <w:pStyle w:val="Size10"/>
              <w:rPr>
                <w:noProof/>
              </w:rPr>
            </w:pPr>
            <w:r w:rsidRPr="003B11BD">
              <w:rPr>
                <w:noProof/>
              </w:rPr>
              <w:t xml:space="preserve">Claimant: group of patients suffering from </w:t>
            </w:r>
          </w:p>
          <w:p w14:paraId="301E1B73" w14:textId="77777777" w:rsidR="00C458B8" w:rsidRPr="003B11BD" w:rsidRDefault="00C458B8" w:rsidP="00F03230">
            <w:pPr>
              <w:pStyle w:val="Size10"/>
              <w:rPr>
                <w:noProof/>
              </w:rPr>
            </w:pPr>
            <w:r w:rsidRPr="003B11BD">
              <w:rPr>
                <w:noProof/>
              </w:rPr>
              <w:t xml:space="preserve">hepatitis C. </w:t>
            </w:r>
          </w:p>
          <w:p w14:paraId="13496CFF" w14:textId="77777777" w:rsidR="00C458B8" w:rsidRPr="003B11BD" w:rsidRDefault="00C458B8" w:rsidP="00F03230">
            <w:pPr>
              <w:pStyle w:val="Size10"/>
              <w:rPr>
                <w:noProof/>
              </w:rPr>
            </w:pPr>
            <w:r w:rsidRPr="003B11BD">
              <w:rPr>
                <w:noProof/>
              </w:rPr>
              <w:t xml:space="preserve">Defendant: Minister of </w:t>
            </w:r>
          </w:p>
          <w:p w14:paraId="02E723CB" w14:textId="77777777" w:rsidR="00C458B8" w:rsidRPr="003B11BD" w:rsidRDefault="00C458B8" w:rsidP="00F03230">
            <w:pPr>
              <w:pStyle w:val="Size10"/>
              <w:rPr>
                <w:noProof/>
              </w:rPr>
            </w:pPr>
            <w:r w:rsidRPr="003B11BD">
              <w:rPr>
                <w:noProof/>
              </w:rPr>
              <w:t>Health</w:t>
            </w:r>
          </w:p>
        </w:tc>
        <w:tc>
          <w:tcPr>
            <w:tcW w:w="1701" w:type="dxa"/>
          </w:tcPr>
          <w:p w14:paraId="7854DC37" w14:textId="62B44F8F" w:rsidR="00C458B8" w:rsidRPr="003B11BD" w:rsidRDefault="00C458B8" w:rsidP="00F03230">
            <w:pPr>
              <w:pStyle w:val="Size10"/>
              <w:rPr>
                <w:noProof/>
              </w:rPr>
            </w:pPr>
            <w:r w:rsidRPr="003B11BD">
              <w:rPr>
                <w:noProof/>
              </w:rPr>
              <w:t>WHO/WIPO/WTO (2020), p. 240</w:t>
            </w:r>
          </w:p>
        </w:tc>
      </w:tr>
      <w:tr w:rsidR="00C458B8" w:rsidRPr="003B11BD" w14:paraId="230821DE" w14:textId="77777777" w:rsidTr="002D2640">
        <w:trPr>
          <w:trHeight w:val="275"/>
        </w:trPr>
        <w:tc>
          <w:tcPr>
            <w:tcW w:w="1101" w:type="dxa"/>
            <w:vMerge w:val="restart"/>
          </w:tcPr>
          <w:p w14:paraId="5A2102F5" w14:textId="77777777" w:rsidR="00C458B8" w:rsidRPr="003B11BD" w:rsidRDefault="00C458B8" w:rsidP="00F03230">
            <w:pPr>
              <w:pStyle w:val="Size10"/>
              <w:rPr>
                <w:noProof/>
              </w:rPr>
            </w:pPr>
            <w:r w:rsidRPr="003B11BD">
              <w:rPr>
                <w:noProof/>
              </w:rPr>
              <w:t>Sweden</w:t>
            </w:r>
          </w:p>
        </w:tc>
        <w:tc>
          <w:tcPr>
            <w:tcW w:w="709" w:type="dxa"/>
          </w:tcPr>
          <w:p w14:paraId="3F7B5B1A" w14:textId="77777777" w:rsidR="00C458B8" w:rsidRPr="003B11BD" w:rsidRDefault="00C458B8" w:rsidP="00F03230">
            <w:pPr>
              <w:pStyle w:val="Size10"/>
              <w:rPr>
                <w:noProof/>
              </w:rPr>
            </w:pPr>
            <w:r w:rsidRPr="003B11BD">
              <w:rPr>
                <w:noProof/>
              </w:rPr>
              <w:t>1937</w:t>
            </w:r>
          </w:p>
        </w:tc>
        <w:tc>
          <w:tcPr>
            <w:tcW w:w="1461" w:type="dxa"/>
          </w:tcPr>
          <w:p w14:paraId="7A62D613" w14:textId="77777777" w:rsidR="00C458B8" w:rsidRPr="003B11BD" w:rsidRDefault="00C458B8" w:rsidP="00F03230">
            <w:pPr>
              <w:pStyle w:val="Size10"/>
              <w:rPr>
                <w:noProof/>
              </w:rPr>
            </w:pPr>
            <w:r w:rsidRPr="003B11BD">
              <w:rPr>
                <w:noProof/>
              </w:rPr>
              <w:t>Military</w:t>
            </w:r>
          </w:p>
        </w:tc>
        <w:tc>
          <w:tcPr>
            <w:tcW w:w="1140" w:type="dxa"/>
          </w:tcPr>
          <w:p w14:paraId="3CBB8ABE" w14:textId="77777777" w:rsidR="00C458B8" w:rsidRPr="003B11BD" w:rsidRDefault="00C458B8" w:rsidP="00F03230">
            <w:pPr>
              <w:pStyle w:val="Size10"/>
              <w:rPr>
                <w:noProof/>
              </w:rPr>
            </w:pPr>
            <w:r w:rsidRPr="003B11BD">
              <w:rPr>
                <w:noProof/>
              </w:rPr>
              <w:t>Issued</w:t>
            </w:r>
          </w:p>
        </w:tc>
        <w:tc>
          <w:tcPr>
            <w:tcW w:w="1226" w:type="dxa"/>
          </w:tcPr>
          <w:p w14:paraId="01C66DF9" w14:textId="77777777" w:rsidR="00C458B8" w:rsidRPr="003B11BD" w:rsidRDefault="00C458B8" w:rsidP="00F03230">
            <w:pPr>
              <w:pStyle w:val="Size10"/>
              <w:rPr>
                <w:noProof/>
              </w:rPr>
            </w:pPr>
            <w:r w:rsidRPr="003B11BD">
              <w:rPr>
                <w:noProof/>
              </w:rPr>
              <w:t>No available information</w:t>
            </w:r>
          </w:p>
        </w:tc>
        <w:tc>
          <w:tcPr>
            <w:tcW w:w="5812" w:type="dxa"/>
          </w:tcPr>
          <w:p w14:paraId="34759FDB" w14:textId="77777777" w:rsidR="00C458B8" w:rsidRPr="003B11BD" w:rsidRDefault="00C458B8" w:rsidP="00F03230">
            <w:pPr>
              <w:pStyle w:val="Size10"/>
              <w:rPr>
                <w:noProof/>
              </w:rPr>
            </w:pPr>
            <w:r w:rsidRPr="003B11BD">
              <w:rPr>
                <w:noProof/>
              </w:rPr>
              <w:t>Application made on grounds of no sufficient exploitation of the patent.</w:t>
            </w:r>
          </w:p>
          <w:p w14:paraId="69147043" w14:textId="77777777" w:rsidR="00C458B8" w:rsidRPr="003B11BD" w:rsidRDefault="00C458B8" w:rsidP="00F03230">
            <w:pPr>
              <w:pStyle w:val="Size10"/>
              <w:rPr>
                <w:noProof/>
              </w:rPr>
            </w:pPr>
            <w:r w:rsidRPr="003B11BD">
              <w:rPr>
                <w:noProof/>
              </w:rPr>
              <w:t>The case was regarding the possibility to avoid a CL by starting to exploit or expanding the exploitation of the patent in Sweden after the filing of an action for a CL (where the answer was negative).</w:t>
            </w:r>
          </w:p>
        </w:tc>
        <w:tc>
          <w:tcPr>
            <w:tcW w:w="1560" w:type="dxa"/>
          </w:tcPr>
          <w:p w14:paraId="5023B479" w14:textId="77777777" w:rsidR="00C458B8" w:rsidRPr="003B11BD" w:rsidRDefault="00C458B8" w:rsidP="00F03230">
            <w:pPr>
              <w:pStyle w:val="Size10"/>
              <w:rPr>
                <w:noProof/>
              </w:rPr>
            </w:pPr>
            <w:r w:rsidRPr="003B11BD">
              <w:rPr>
                <w:noProof/>
              </w:rPr>
              <w:t>No available information</w:t>
            </w:r>
          </w:p>
        </w:tc>
        <w:tc>
          <w:tcPr>
            <w:tcW w:w="1701" w:type="dxa"/>
          </w:tcPr>
          <w:p w14:paraId="04CF62A6" w14:textId="77777777" w:rsidR="00C458B8" w:rsidRPr="003B11BD" w:rsidRDefault="00C458B8" w:rsidP="00F03230">
            <w:pPr>
              <w:pStyle w:val="Size10"/>
              <w:rPr>
                <w:noProof/>
              </w:rPr>
            </w:pPr>
            <w:r w:rsidRPr="003B11BD">
              <w:rPr>
                <w:noProof/>
              </w:rPr>
              <w:t>“Compulsory Licensing in Europe: A Country-by-Country Overview” (EPO, 2018), p. 104</w:t>
            </w:r>
          </w:p>
        </w:tc>
      </w:tr>
      <w:tr w:rsidR="00C458B8" w:rsidRPr="003B11BD" w14:paraId="2256C8AC" w14:textId="77777777" w:rsidTr="002D2640">
        <w:trPr>
          <w:trHeight w:val="275"/>
        </w:trPr>
        <w:tc>
          <w:tcPr>
            <w:tcW w:w="1101" w:type="dxa"/>
            <w:vMerge/>
          </w:tcPr>
          <w:p w14:paraId="0A0817E5" w14:textId="77777777" w:rsidR="00C458B8" w:rsidRPr="003B11BD" w:rsidRDefault="00C458B8" w:rsidP="00F03230">
            <w:pPr>
              <w:pStyle w:val="Size10"/>
              <w:rPr>
                <w:noProof/>
              </w:rPr>
            </w:pPr>
          </w:p>
        </w:tc>
        <w:tc>
          <w:tcPr>
            <w:tcW w:w="709" w:type="dxa"/>
          </w:tcPr>
          <w:p w14:paraId="73896249" w14:textId="77777777" w:rsidR="00C458B8" w:rsidRPr="003B11BD" w:rsidRDefault="00C458B8" w:rsidP="00F03230">
            <w:pPr>
              <w:pStyle w:val="Size10"/>
              <w:rPr>
                <w:noProof/>
              </w:rPr>
            </w:pPr>
            <w:r w:rsidRPr="003B11BD">
              <w:rPr>
                <w:noProof/>
              </w:rPr>
              <w:t>1945</w:t>
            </w:r>
          </w:p>
        </w:tc>
        <w:tc>
          <w:tcPr>
            <w:tcW w:w="1461" w:type="dxa"/>
          </w:tcPr>
          <w:p w14:paraId="788C9043" w14:textId="77777777" w:rsidR="00C458B8" w:rsidRPr="003B11BD" w:rsidRDefault="00C458B8" w:rsidP="00F03230">
            <w:pPr>
              <w:pStyle w:val="Size10"/>
              <w:rPr>
                <w:noProof/>
              </w:rPr>
            </w:pPr>
            <w:r w:rsidRPr="003B11BD">
              <w:rPr>
                <w:noProof/>
              </w:rPr>
              <w:t>No available information</w:t>
            </w:r>
          </w:p>
        </w:tc>
        <w:tc>
          <w:tcPr>
            <w:tcW w:w="1140" w:type="dxa"/>
          </w:tcPr>
          <w:p w14:paraId="43876362" w14:textId="77777777" w:rsidR="00C458B8" w:rsidRPr="003B11BD" w:rsidRDefault="00C458B8" w:rsidP="00F03230">
            <w:pPr>
              <w:pStyle w:val="Size10"/>
              <w:rPr>
                <w:noProof/>
              </w:rPr>
            </w:pPr>
            <w:r w:rsidRPr="003B11BD">
              <w:rPr>
                <w:noProof/>
              </w:rPr>
              <w:t>Issued</w:t>
            </w:r>
          </w:p>
        </w:tc>
        <w:tc>
          <w:tcPr>
            <w:tcW w:w="1226" w:type="dxa"/>
          </w:tcPr>
          <w:p w14:paraId="3BFC88FC" w14:textId="77777777" w:rsidR="00C458B8" w:rsidRPr="003B11BD" w:rsidRDefault="00C458B8" w:rsidP="00F03230">
            <w:pPr>
              <w:pStyle w:val="Size10"/>
              <w:rPr>
                <w:noProof/>
              </w:rPr>
            </w:pPr>
            <w:r w:rsidRPr="003B11BD">
              <w:rPr>
                <w:noProof/>
              </w:rPr>
              <w:t>No available information</w:t>
            </w:r>
          </w:p>
        </w:tc>
        <w:tc>
          <w:tcPr>
            <w:tcW w:w="5812" w:type="dxa"/>
          </w:tcPr>
          <w:p w14:paraId="621FF1FA" w14:textId="77777777" w:rsidR="00C458B8" w:rsidRPr="003B11BD" w:rsidRDefault="00C458B8" w:rsidP="00F03230">
            <w:pPr>
              <w:pStyle w:val="Size10"/>
              <w:rPr>
                <w:noProof/>
              </w:rPr>
            </w:pPr>
            <w:r w:rsidRPr="003B11BD">
              <w:rPr>
                <w:noProof/>
              </w:rPr>
              <w:t>Application made on grounds of no sufficient exploitation of the patent.</w:t>
            </w:r>
          </w:p>
          <w:p w14:paraId="7E92FA21" w14:textId="77777777" w:rsidR="00C458B8" w:rsidRPr="003B11BD" w:rsidRDefault="00C458B8" w:rsidP="00F03230">
            <w:pPr>
              <w:pStyle w:val="Size10"/>
              <w:rPr>
                <w:noProof/>
              </w:rPr>
            </w:pPr>
          </w:p>
          <w:p w14:paraId="6792BCEC" w14:textId="77777777" w:rsidR="00C458B8" w:rsidRPr="003B11BD" w:rsidRDefault="00C458B8" w:rsidP="00F03230">
            <w:pPr>
              <w:pStyle w:val="Size10"/>
              <w:rPr>
                <w:noProof/>
              </w:rPr>
            </w:pPr>
            <w:r w:rsidRPr="003B11BD">
              <w:rPr>
                <w:noProof/>
              </w:rPr>
              <w:t>The case was regarding the existence of a valid reason for not exploiting the invention in Sweden where importing from Germany was not considered sufficient.</w:t>
            </w:r>
          </w:p>
        </w:tc>
        <w:tc>
          <w:tcPr>
            <w:tcW w:w="1560" w:type="dxa"/>
          </w:tcPr>
          <w:p w14:paraId="03668A2C" w14:textId="77777777" w:rsidR="00C458B8" w:rsidRPr="003B11BD" w:rsidRDefault="00C458B8" w:rsidP="00F03230">
            <w:pPr>
              <w:pStyle w:val="Size10"/>
              <w:rPr>
                <w:noProof/>
              </w:rPr>
            </w:pPr>
            <w:r w:rsidRPr="003B11BD">
              <w:rPr>
                <w:noProof/>
              </w:rPr>
              <w:t>No available information</w:t>
            </w:r>
          </w:p>
        </w:tc>
        <w:tc>
          <w:tcPr>
            <w:tcW w:w="1701" w:type="dxa"/>
          </w:tcPr>
          <w:p w14:paraId="0FCF64B2" w14:textId="060281AC" w:rsidR="00C458B8" w:rsidRPr="003B11BD" w:rsidRDefault="00C458B8" w:rsidP="00F03230">
            <w:pPr>
              <w:pStyle w:val="Size10"/>
              <w:rPr>
                <w:noProof/>
              </w:rPr>
            </w:pPr>
            <w:r w:rsidRPr="003B11BD">
              <w:rPr>
                <w:noProof/>
              </w:rPr>
              <w:t>“Compulsory Licensing in Europe: A Country-by-Country Overview” (EPO, 2018), p. 104</w:t>
            </w:r>
          </w:p>
        </w:tc>
      </w:tr>
      <w:tr w:rsidR="00C458B8" w:rsidRPr="003B11BD" w14:paraId="5A1A74A3" w14:textId="77777777" w:rsidTr="002D2640">
        <w:trPr>
          <w:trHeight w:val="275"/>
        </w:trPr>
        <w:tc>
          <w:tcPr>
            <w:tcW w:w="1101" w:type="dxa"/>
            <w:vMerge/>
          </w:tcPr>
          <w:p w14:paraId="765D3750" w14:textId="77777777" w:rsidR="00C458B8" w:rsidRPr="003B11BD" w:rsidRDefault="00C458B8" w:rsidP="00F03230">
            <w:pPr>
              <w:pStyle w:val="Size10"/>
              <w:rPr>
                <w:noProof/>
              </w:rPr>
            </w:pPr>
          </w:p>
        </w:tc>
        <w:tc>
          <w:tcPr>
            <w:tcW w:w="709" w:type="dxa"/>
          </w:tcPr>
          <w:p w14:paraId="711FE72E" w14:textId="77777777" w:rsidR="00C458B8" w:rsidRPr="003B11BD" w:rsidRDefault="00C458B8" w:rsidP="00F03230">
            <w:pPr>
              <w:pStyle w:val="Size10"/>
              <w:rPr>
                <w:noProof/>
              </w:rPr>
            </w:pPr>
            <w:r w:rsidRPr="003B11BD">
              <w:rPr>
                <w:noProof/>
              </w:rPr>
              <w:t>1947</w:t>
            </w:r>
          </w:p>
        </w:tc>
        <w:tc>
          <w:tcPr>
            <w:tcW w:w="1461" w:type="dxa"/>
          </w:tcPr>
          <w:p w14:paraId="6FF4B7EF" w14:textId="77777777" w:rsidR="00C458B8" w:rsidRPr="003B11BD" w:rsidRDefault="00C458B8" w:rsidP="00F03230">
            <w:pPr>
              <w:pStyle w:val="Size10"/>
              <w:rPr>
                <w:noProof/>
              </w:rPr>
            </w:pPr>
            <w:r w:rsidRPr="003B11BD">
              <w:rPr>
                <w:noProof/>
              </w:rPr>
              <w:t>No available information</w:t>
            </w:r>
          </w:p>
        </w:tc>
        <w:tc>
          <w:tcPr>
            <w:tcW w:w="1140" w:type="dxa"/>
          </w:tcPr>
          <w:p w14:paraId="1A413F24" w14:textId="77777777" w:rsidR="00C458B8" w:rsidRPr="003B11BD" w:rsidRDefault="00C458B8" w:rsidP="00F03230">
            <w:pPr>
              <w:pStyle w:val="Size10"/>
              <w:rPr>
                <w:noProof/>
              </w:rPr>
            </w:pPr>
            <w:r w:rsidRPr="003B11BD">
              <w:rPr>
                <w:noProof/>
              </w:rPr>
              <w:t>Not issued</w:t>
            </w:r>
          </w:p>
        </w:tc>
        <w:tc>
          <w:tcPr>
            <w:tcW w:w="1226" w:type="dxa"/>
          </w:tcPr>
          <w:p w14:paraId="54201088" w14:textId="77777777" w:rsidR="00C458B8" w:rsidRPr="003B11BD" w:rsidRDefault="00C458B8" w:rsidP="00F03230">
            <w:pPr>
              <w:pStyle w:val="Size10"/>
              <w:rPr>
                <w:noProof/>
              </w:rPr>
            </w:pPr>
            <w:r w:rsidRPr="003B11BD">
              <w:rPr>
                <w:noProof/>
              </w:rPr>
              <w:t>– –</w:t>
            </w:r>
          </w:p>
        </w:tc>
        <w:tc>
          <w:tcPr>
            <w:tcW w:w="5812" w:type="dxa"/>
          </w:tcPr>
          <w:p w14:paraId="6D27240B" w14:textId="77777777" w:rsidR="00C458B8" w:rsidRPr="003B11BD" w:rsidRDefault="00C458B8" w:rsidP="00F03230">
            <w:pPr>
              <w:pStyle w:val="Size10"/>
              <w:rPr>
                <w:noProof/>
              </w:rPr>
            </w:pPr>
            <w:r w:rsidRPr="003B11BD">
              <w:rPr>
                <w:noProof/>
              </w:rPr>
              <w:t>Application made on grounds of no sufficient exploitation of the patent.</w:t>
            </w:r>
          </w:p>
          <w:p w14:paraId="119EB6C1" w14:textId="77777777" w:rsidR="00C458B8" w:rsidRPr="003B11BD" w:rsidRDefault="00C458B8" w:rsidP="00F03230">
            <w:pPr>
              <w:pStyle w:val="Size10"/>
              <w:rPr>
                <w:noProof/>
              </w:rPr>
            </w:pPr>
          </w:p>
          <w:p w14:paraId="10D5CE3A" w14:textId="77777777" w:rsidR="00C458B8" w:rsidRPr="003B11BD" w:rsidRDefault="00C458B8" w:rsidP="00F03230">
            <w:pPr>
              <w:pStyle w:val="Size10"/>
              <w:rPr>
                <w:noProof/>
              </w:rPr>
            </w:pPr>
            <w:r w:rsidRPr="003B11BD">
              <w:rPr>
                <w:noProof/>
              </w:rPr>
              <w:t>The patented products were manufactured in Sweden and the fact that raw material was imported was not considered relevant.</w:t>
            </w:r>
          </w:p>
        </w:tc>
        <w:tc>
          <w:tcPr>
            <w:tcW w:w="1560" w:type="dxa"/>
          </w:tcPr>
          <w:p w14:paraId="75553ED0" w14:textId="77777777" w:rsidR="00C458B8" w:rsidRPr="003B11BD" w:rsidRDefault="00C458B8" w:rsidP="00F03230">
            <w:pPr>
              <w:pStyle w:val="Size10"/>
              <w:rPr>
                <w:noProof/>
              </w:rPr>
            </w:pPr>
            <w:r w:rsidRPr="003B11BD">
              <w:rPr>
                <w:noProof/>
              </w:rPr>
              <w:t>No available information</w:t>
            </w:r>
          </w:p>
        </w:tc>
        <w:tc>
          <w:tcPr>
            <w:tcW w:w="1701" w:type="dxa"/>
          </w:tcPr>
          <w:p w14:paraId="6257B728" w14:textId="67216902" w:rsidR="00C458B8" w:rsidRPr="003B11BD" w:rsidRDefault="00C458B8" w:rsidP="00F03230">
            <w:pPr>
              <w:pStyle w:val="Size10"/>
              <w:rPr>
                <w:noProof/>
              </w:rPr>
            </w:pPr>
            <w:r w:rsidRPr="003B11BD">
              <w:rPr>
                <w:noProof/>
              </w:rPr>
              <w:t>“Compulsory Licensing in Europe: A Country-by-Country Overview” (EPO, 2018), p. 104</w:t>
            </w:r>
          </w:p>
        </w:tc>
      </w:tr>
      <w:tr w:rsidR="00C458B8" w:rsidRPr="003B11BD" w14:paraId="57A0C13E" w14:textId="77777777" w:rsidTr="002D2640">
        <w:trPr>
          <w:trHeight w:val="94"/>
        </w:trPr>
        <w:tc>
          <w:tcPr>
            <w:tcW w:w="1101" w:type="dxa"/>
            <w:vMerge w:val="restart"/>
          </w:tcPr>
          <w:p w14:paraId="43F97BC3" w14:textId="77777777" w:rsidR="00C458B8" w:rsidRPr="003B11BD" w:rsidRDefault="00C458B8" w:rsidP="00F03230">
            <w:pPr>
              <w:pStyle w:val="Size10"/>
              <w:rPr>
                <w:noProof/>
              </w:rPr>
            </w:pPr>
            <w:r w:rsidRPr="003B11BD">
              <w:rPr>
                <w:noProof/>
              </w:rPr>
              <w:t>UK (pre-Brexit)</w:t>
            </w:r>
          </w:p>
        </w:tc>
        <w:tc>
          <w:tcPr>
            <w:tcW w:w="709" w:type="dxa"/>
          </w:tcPr>
          <w:p w14:paraId="550DCCEB" w14:textId="77777777" w:rsidR="00C458B8" w:rsidRPr="003B11BD" w:rsidRDefault="00C458B8" w:rsidP="00F03230">
            <w:pPr>
              <w:pStyle w:val="Size10"/>
              <w:rPr>
                <w:noProof/>
              </w:rPr>
            </w:pPr>
            <w:r w:rsidRPr="003B11BD">
              <w:rPr>
                <w:noProof/>
              </w:rPr>
              <w:t>2015</w:t>
            </w:r>
          </w:p>
        </w:tc>
        <w:tc>
          <w:tcPr>
            <w:tcW w:w="1461" w:type="dxa"/>
          </w:tcPr>
          <w:p w14:paraId="0D7B2E7D" w14:textId="77777777" w:rsidR="00C458B8" w:rsidRPr="003B11BD" w:rsidRDefault="00C458B8" w:rsidP="00F03230">
            <w:pPr>
              <w:pStyle w:val="Size10"/>
              <w:rPr>
                <w:noProof/>
              </w:rPr>
            </w:pPr>
            <w:r w:rsidRPr="003B11BD">
              <w:rPr>
                <w:noProof/>
              </w:rPr>
              <w:t>Medicine / T-DM1 (breast cancer)</w:t>
            </w:r>
          </w:p>
        </w:tc>
        <w:tc>
          <w:tcPr>
            <w:tcW w:w="1140" w:type="dxa"/>
          </w:tcPr>
          <w:p w14:paraId="49B32017" w14:textId="77777777" w:rsidR="00C458B8" w:rsidRPr="003B11BD" w:rsidRDefault="00C458B8" w:rsidP="00F03230">
            <w:pPr>
              <w:pStyle w:val="Size10"/>
              <w:rPr>
                <w:noProof/>
              </w:rPr>
            </w:pPr>
            <w:r w:rsidRPr="003B11BD">
              <w:rPr>
                <w:noProof/>
              </w:rPr>
              <w:t>Not Issued</w:t>
            </w:r>
          </w:p>
        </w:tc>
        <w:tc>
          <w:tcPr>
            <w:tcW w:w="1226" w:type="dxa"/>
          </w:tcPr>
          <w:p w14:paraId="77E2F269" w14:textId="77777777" w:rsidR="00C458B8" w:rsidRPr="003B11BD" w:rsidRDefault="00C458B8" w:rsidP="00F03230">
            <w:pPr>
              <w:pStyle w:val="Size10"/>
              <w:rPr>
                <w:noProof/>
              </w:rPr>
            </w:pPr>
            <w:r w:rsidRPr="003B11BD">
              <w:rPr>
                <w:noProof/>
              </w:rPr>
              <w:t>– –</w:t>
            </w:r>
          </w:p>
        </w:tc>
        <w:tc>
          <w:tcPr>
            <w:tcW w:w="5812" w:type="dxa"/>
          </w:tcPr>
          <w:p w14:paraId="587AA11A" w14:textId="77777777" w:rsidR="00C458B8" w:rsidRPr="003B11BD" w:rsidRDefault="00C458B8" w:rsidP="00F03230">
            <w:pPr>
              <w:pStyle w:val="Size10"/>
              <w:rPr>
                <w:noProof/>
              </w:rPr>
            </w:pPr>
            <w:r w:rsidRPr="003B11BD">
              <w:rPr>
                <w:noProof/>
              </w:rPr>
              <w:t>CL requested by patient group following plans to remove T-DM1 from list of cancer treatments paid for by UK Government (Kmietowicz, 2015a). Price discount negotiated.</w:t>
            </w:r>
          </w:p>
        </w:tc>
        <w:tc>
          <w:tcPr>
            <w:tcW w:w="1560" w:type="dxa"/>
          </w:tcPr>
          <w:p w14:paraId="73833F21" w14:textId="77777777" w:rsidR="00C458B8" w:rsidRPr="003B11BD" w:rsidRDefault="00C458B8" w:rsidP="00F03230">
            <w:pPr>
              <w:pStyle w:val="Size10"/>
              <w:rPr>
                <w:noProof/>
              </w:rPr>
            </w:pPr>
            <w:r w:rsidRPr="003B11BD">
              <w:rPr>
                <w:noProof/>
              </w:rPr>
              <w:t>Rightholder: Roche</w:t>
            </w:r>
          </w:p>
          <w:p w14:paraId="314B7F09" w14:textId="77777777" w:rsidR="00C458B8" w:rsidRPr="003B11BD" w:rsidRDefault="00C458B8" w:rsidP="00F03230">
            <w:pPr>
              <w:pStyle w:val="Size10"/>
              <w:rPr>
                <w:noProof/>
              </w:rPr>
            </w:pPr>
            <w:r w:rsidRPr="003B11BD">
              <w:rPr>
                <w:noProof/>
              </w:rPr>
              <w:t>Request made to: UK Government</w:t>
            </w:r>
          </w:p>
          <w:p w14:paraId="3D39DD51" w14:textId="77777777" w:rsidR="00C458B8" w:rsidRPr="003B11BD" w:rsidRDefault="00C458B8" w:rsidP="00F03230">
            <w:pPr>
              <w:pStyle w:val="Size10"/>
              <w:rPr>
                <w:noProof/>
              </w:rPr>
            </w:pPr>
            <w:r w:rsidRPr="003B11BD">
              <w:rPr>
                <w:noProof/>
              </w:rPr>
              <w:t>Request made by: The coalition for affordable T-DM1</w:t>
            </w:r>
          </w:p>
        </w:tc>
        <w:tc>
          <w:tcPr>
            <w:tcW w:w="1701" w:type="dxa"/>
          </w:tcPr>
          <w:p w14:paraId="6FEC4F07" w14:textId="77777777" w:rsidR="00C458B8" w:rsidRPr="003B11BD" w:rsidRDefault="00C458B8" w:rsidP="00F03230">
            <w:pPr>
              <w:pStyle w:val="Size10"/>
              <w:rPr>
                <w:noProof/>
              </w:rPr>
            </w:pPr>
            <w:r w:rsidRPr="003B11BD">
              <w:rPr>
                <w:noProof/>
              </w:rPr>
              <w:t>WHO/WIPO/WTO (2020), p. 241</w:t>
            </w:r>
          </w:p>
        </w:tc>
      </w:tr>
      <w:tr w:rsidR="00C458B8" w:rsidRPr="003B11BD" w14:paraId="35A4F691" w14:textId="77777777" w:rsidTr="002D2640">
        <w:trPr>
          <w:trHeight w:val="93"/>
        </w:trPr>
        <w:tc>
          <w:tcPr>
            <w:tcW w:w="1101" w:type="dxa"/>
            <w:vMerge/>
          </w:tcPr>
          <w:p w14:paraId="4D22518C" w14:textId="77777777" w:rsidR="00C458B8" w:rsidRPr="003B11BD" w:rsidRDefault="00C458B8" w:rsidP="00F03230">
            <w:pPr>
              <w:pStyle w:val="Size10"/>
              <w:rPr>
                <w:noProof/>
              </w:rPr>
            </w:pPr>
          </w:p>
        </w:tc>
        <w:tc>
          <w:tcPr>
            <w:tcW w:w="709" w:type="dxa"/>
          </w:tcPr>
          <w:p w14:paraId="389F4286" w14:textId="77777777" w:rsidR="00C458B8" w:rsidRPr="003B11BD" w:rsidRDefault="00C458B8" w:rsidP="00F03230">
            <w:pPr>
              <w:pStyle w:val="Size10"/>
              <w:rPr>
                <w:noProof/>
              </w:rPr>
            </w:pPr>
            <w:r w:rsidRPr="003B11BD">
              <w:rPr>
                <w:noProof/>
              </w:rPr>
              <w:t>2019</w:t>
            </w:r>
          </w:p>
        </w:tc>
        <w:tc>
          <w:tcPr>
            <w:tcW w:w="1461" w:type="dxa"/>
          </w:tcPr>
          <w:p w14:paraId="50C7E047" w14:textId="77777777" w:rsidR="00C458B8" w:rsidRPr="003B11BD" w:rsidRDefault="00C458B8" w:rsidP="00F03230">
            <w:pPr>
              <w:pStyle w:val="Size10"/>
              <w:rPr>
                <w:noProof/>
              </w:rPr>
            </w:pPr>
            <w:r w:rsidRPr="003B11BD">
              <w:rPr>
                <w:noProof/>
              </w:rPr>
              <w:t>Medicine / lumacaftor-ivacaftor (cystic fibrosis)</w:t>
            </w:r>
          </w:p>
        </w:tc>
        <w:tc>
          <w:tcPr>
            <w:tcW w:w="1140" w:type="dxa"/>
          </w:tcPr>
          <w:p w14:paraId="1EF3D637" w14:textId="77777777" w:rsidR="00C458B8" w:rsidRPr="003B11BD" w:rsidRDefault="00C458B8" w:rsidP="00F03230">
            <w:pPr>
              <w:pStyle w:val="Size10"/>
              <w:rPr>
                <w:noProof/>
              </w:rPr>
            </w:pPr>
            <w:r w:rsidRPr="003B11BD">
              <w:rPr>
                <w:noProof/>
              </w:rPr>
              <w:t>Not Issued</w:t>
            </w:r>
          </w:p>
        </w:tc>
        <w:tc>
          <w:tcPr>
            <w:tcW w:w="1226" w:type="dxa"/>
          </w:tcPr>
          <w:p w14:paraId="0B6DCE55" w14:textId="77777777" w:rsidR="00C458B8" w:rsidRPr="003B11BD" w:rsidRDefault="00C458B8" w:rsidP="00F03230">
            <w:pPr>
              <w:pStyle w:val="Size10"/>
              <w:rPr>
                <w:noProof/>
              </w:rPr>
            </w:pPr>
            <w:r w:rsidRPr="003B11BD">
              <w:rPr>
                <w:noProof/>
              </w:rPr>
              <w:t>– –</w:t>
            </w:r>
          </w:p>
        </w:tc>
        <w:tc>
          <w:tcPr>
            <w:tcW w:w="5812" w:type="dxa"/>
          </w:tcPr>
          <w:p w14:paraId="0E9137E6" w14:textId="77777777" w:rsidR="00C458B8" w:rsidRPr="003B11BD" w:rsidRDefault="00C458B8" w:rsidP="00F03230">
            <w:pPr>
              <w:pStyle w:val="Size10"/>
              <w:rPr>
                <w:noProof/>
              </w:rPr>
            </w:pPr>
            <w:r w:rsidRPr="003B11BD">
              <w:rPr>
                <w:noProof/>
              </w:rPr>
              <w:t>A Crown Use licence was requested by a patient group.261 The UK Government considered issuing a Crown Use licence (a type of government-use licence) after a pricing deal had not been reached with the originator following three years of negotiations (McConaghie, 2019). A few months after the government announced that it was considering a Crown Use licence, a confidential pricing deal was agreed (Parsons, 2019).</w:t>
            </w:r>
          </w:p>
        </w:tc>
        <w:tc>
          <w:tcPr>
            <w:tcW w:w="1560" w:type="dxa"/>
          </w:tcPr>
          <w:p w14:paraId="741A1BB0" w14:textId="77777777" w:rsidR="00C458B8" w:rsidRPr="003B11BD" w:rsidRDefault="00C458B8" w:rsidP="00F03230">
            <w:pPr>
              <w:pStyle w:val="Size10"/>
              <w:rPr>
                <w:noProof/>
              </w:rPr>
            </w:pPr>
            <w:r w:rsidRPr="003B11BD">
              <w:rPr>
                <w:noProof/>
              </w:rPr>
              <w:t>Request made for: NHS Engmand</w:t>
            </w:r>
          </w:p>
          <w:p w14:paraId="62733C3E" w14:textId="77777777" w:rsidR="00C458B8" w:rsidRPr="003B11BD" w:rsidRDefault="00C458B8" w:rsidP="00F03230">
            <w:pPr>
              <w:pStyle w:val="Size10"/>
              <w:rPr>
                <w:noProof/>
              </w:rPr>
            </w:pPr>
            <w:r w:rsidRPr="003B11BD">
              <w:rPr>
                <w:noProof/>
              </w:rPr>
              <w:t xml:space="preserve">Rightholder: </w:t>
            </w:r>
          </w:p>
          <w:p w14:paraId="79DAFDC5" w14:textId="77777777" w:rsidR="00C458B8" w:rsidRPr="003B11BD" w:rsidRDefault="00C458B8" w:rsidP="00F03230">
            <w:pPr>
              <w:pStyle w:val="Size10"/>
              <w:rPr>
                <w:noProof/>
              </w:rPr>
            </w:pPr>
            <w:r w:rsidRPr="003B11BD">
              <w:rPr>
                <w:noProof/>
              </w:rPr>
              <w:t>Vertex</w:t>
            </w:r>
          </w:p>
          <w:p w14:paraId="67CEF965" w14:textId="77777777" w:rsidR="00C458B8" w:rsidRPr="003B11BD" w:rsidRDefault="00C458B8" w:rsidP="00F03230">
            <w:pPr>
              <w:pStyle w:val="Size10"/>
              <w:rPr>
                <w:noProof/>
              </w:rPr>
            </w:pPr>
            <w:r w:rsidRPr="003B11BD">
              <w:rPr>
                <w:noProof/>
              </w:rPr>
              <w:t>Request made by: Just Treatment</w:t>
            </w:r>
          </w:p>
        </w:tc>
        <w:tc>
          <w:tcPr>
            <w:tcW w:w="1701" w:type="dxa"/>
          </w:tcPr>
          <w:p w14:paraId="0A428996" w14:textId="44035E3F" w:rsidR="00C458B8" w:rsidRPr="003B11BD" w:rsidRDefault="00C458B8" w:rsidP="00F03230">
            <w:pPr>
              <w:pStyle w:val="Size10"/>
              <w:rPr>
                <w:noProof/>
              </w:rPr>
            </w:pPr>
            <w:r w:rsidRPr="003B11BD">
              <w:rPr>
                <w:noProof/>
              </w:rPr>
              <w:t>WHO/WIPO/WTO (2020), p. 241</w:t>
            </w:r>
          </w:p>
        </w:tc>
      </w:tr>
      <w:tr w:rsidR="00C458B8" w:rsidRPr="003B11BD" w14:paraId="476C8277" w14:textId="77777777" w:rsidTr="002D2640">
        <w:trPr>
          <w:trHeight w:val="93"/>
        </w:trPr>
        <w:tc>
          <w:tcPr>
            <w:tcW w:w="1101" w:type="dxa"/>
            <w:vMerge/>
          </w:tcPr>
          <w:p w14:paraId="1493DF90" w14:textId="77777777" w:rsidR="00C458B8" w:rsidRPr="003B11BD" w:rsidRDefault="00C458B8" w:rsidP="00F03230">
            <w:pPr>
              <w:pStyle w:val="Size10"/>
              <w:rPr>
                <w:noProof/>
              </w:rPr>
            </w:pPr>
          </w:p>
        </w:tc>
        <w:tc>
          <w:tcPr>
            <w:tcW w:w="709" w:type="dxa"/>
          </w:tcPr>
          <w:p w14:paraId="07F44459" w14:textId="77777777" w:rsidR="00C458B8" w:rsidRPr="003B11BD" w:rsidRDefault="00C458B8" w:rsidP="00F03230">
            <w:pPr>
              <w:pStyle w:val="Size10"/>
              <w:rPr>
                <w:noProof/>
              </w:rPr>
            </w:pPr>
            <w:r w:rsidRPr="003B11BD">
              <w:rPr>
                <w:noProof/>
              </w:rPr>
              <w:t>2001</w:t>
            </w:r>
          </w:p>
        </w:tc>
        <w:tc>
          <w:tcPr>
            <w:tcW w:w="1461" w:type="dxa"/>
          </w:tcPr>
          <w:p w14:paraId="40EEC42D" w14:textId="77777777" w:rsidR="00C458B8" w:rsidRPr="003B11BD" w:rsidRDefault="00C458B8" w:rsidP="00F03230">
            <w:pPr>
              <w:pStyle w:val="Size10"/>
              <w:rPr>
                <w:noProof/>
              </w:rPr>
            </w:pPr>
            <w:r w:rsidRPr="003B11BD">
              <w:rPr>
                <w:noProof/>
              </w:rPr>
              <w:t>Protected plant variety of potato</w:t>
            </w:r>
          </w:p>
        </w:tc>
        <w:tc>
          <w:tcPr>
            <w:tcW w:w="1140" w:type="dxa"/>
          </w:tcPr>
          <w:p w14:paraId="22E8D4E1" w14:textId="77777777" w:rsidR="00C458B8" w:rsidRPr="003B11BD" w:rsidRDefault="00C458B8" w:rsidP="00F03230">
            <w:pPr>
              <w:pStyle w:val="Size10"/>
              <w:rPr>
                <w:noProof/>
              </w:rPr>
            </w:pPr>
            <w:r w:rsidRPr="003B11BD">
              <w:rPr>
                <w:noProof/>
              </w:rPr>
              <w:t>Not Issued</w:t>
            </w:r>
          </w:p>
        </w:tc>
        <w:tc>
          <w:tcPr>
            <w:tcW w:w="1226" w:type="dxa"/>
          </w:tcPr>
          <w:p w14:paraId="593B901B" w14:textId="77777777" w:rsidR="00C458B8" w:rsidRPr="003B11BD" w:rsidRDefault="00C458B8" w:rsidP="00F03230">
            <w:pPr>
              <w:pStyle w:val="Size10"/>
              <w:rPr>
                <w:noProof/>
              </w:rPr>
            </w:pPr>
            <w:r w:rsidRPr="003B11BD">
              <w:rPr>
                <w:noProof/>
              </w:rPr>
              <w:t>– –</w:t>
            </w:r>
          </w:p>
        </w:tc>
        <w:tc>
          <w:tcPr>
            <w:tcW w:w="5812" w:type="dxa"/>
          </w:tcPr>
          <w:p w14:paraId="5D1449E0" w14:textId="77777777" w:rsidR="00C458B8" w:rsidRPr="003B11BD" w:rsidRDefault="00C458B8" w:rsidP="00F03230">
            <w:pPr>
              <w:pStyle w:val="Size10"/>
              <w:rPr>
                <w:noProof/>
              </w:rPr>
            </w:pPr>
            <w:r w:rsidRPr="003B11BD">
              <w:rPr>
                <w:noProof/>
              </w:rPr>
              <w:t>Dutch seed breeder Meijer owns the UK plant breeders’ rights in ‘Lady Rosetta’, a potato variety popularly used in crisp manufacture, with MBM acting as its exclusive agent in the UK. Sacker applied unsuccessfully for compulsory exploitation rights in the protected variety, arguing that Meijer’s refusal to issue a licence was unreasonable, and that the rights’ holder was failing to satisfy demand in the UK market.</w:t>
            </w:r>
          </w:p>
        </w:tc>
        <w:tc>
          <w:tcPr>
            <w:tcW w:w="1560" w:type="dxa"/>
          </w:tcPr>
          <w:p w14:paraId="6E63100E" w14:textId="77777777" w:rsidR="00C458B8" w:rsidRPr="003B11BD" w:rsidRDefault="00C458B8" w:rsidP="00F03230">
            <w:pPr>
              <w:pStyle w:val="Size10"/>
              <w:rPr>
                <w:noProof/>
              </w:rPr>
            </w:pPr>
            <w:r w:rsidRPr="003B11BD">
              <w:rPr>
                <w:noProof/>
              </w:rPr>
              <w:t>Defendant: Meijer BV &amp; MBM Produce Limited</w:t>
            </w:r>
          </w:p>
          <w:p w14:paraId="6BCA8EA9" w14:textId="77777777" w:rsidR="00C458B8" w:rsidRPr="003B11BD" w:rsidRDefault="00C458B8" w:rsidP="00F03230">
            <w:pPr>
              <w:pStyle w:val="Size10"/>
              <w:rPr>
                <w:noProof/>
              </w:rPr>
            </w:pPr>
            <w:r w:rsidRPr="003B11BD">
              <w:rPr>
                <w:noProof/>
              </w:rPr>
              <w:t>C: Sacker Potatos Ltd</w:t>
            </w:r>
          </w:p>
        </w:tc>
        <w:tc>
          <w:tcPr>
            <w:tcW w:w="1701" w:type="dxa"/>
          </w:tcPr>
          <w:p w14:paraId="54CFEAB8" w14:textId="3E4FAA0D" w:rsidR="00C458B8" w:rsidRPr="003B11BD" w:rsidRDefault="00C458B8" w:rsidP="00F03230">
            <w:pPr>
              <w:pStyle w:val="Size10"/>
              <w:rPr>
                <w:noProof/>
              </w:rPr>
            </w:pPr>
            <w:r w:rsidRPr="003B11BD">
              <w:rPr>
                <w:noProof/>
              </w:rPr>
              <w:t>UK Controller of Plant Variety Rights, UK Plant Variety Rights Office and Seeds Division of DEFRA; Sacker Potatos Ltd vs C Meijer BV &amp; MBM Produce Limited, 31.10.2001</w:t>
            </w:r>
          </w:p>
        </w:tc>
      </w:tr>
      <w:tr w:rsidR="00935D5F" w:rsidRPr="003B11BD" w14:paraId="7DC77F56" w14:textId="77777777" w:rsidTr="00935D5F">
        <w:trPr>
          <w:trHeight w:val="275"/>
        </w:trPr>
        <w:tc>
          <w:tcPr>
            <w:tcW w:w="1101" w:type="dxa"/>
            <w:hideMark/>
          </w:tcPr>
          <w:p w14:paraId="40A443DB" w14:textId="77777777" w:rsidR="00935D5F" w:rsidRPr="003B11BD" w:rsidRDefault="00935D5F" w:rsidP="00935D5F">
            <w:pPr>
              <w:pStyle w:val="Size10"/>
              <w:rPr>
                <w:noProof/>
              </w:rPr>
            </w:pPr>
            <w:r w:rsidRPr="003B11BD">
              <w:rPr>
                <w:noProof/>
              </w:rPr>
              <w:t>EU</w:t>
            </w:r>
          </w:p>
        </w:tc>
        <w:tc>
          <w:tcPr>
            <w:tcW w:w="709" w:type="dxa"/>
          </w:tcPr>
          <w:p w14:paraId="78CC08EA" w14:textId="77777777" w:rsidR="00935D5F" w:rsidRPr="003B11BD" w:rsidRDefault="00935D5F" w:rsidP="00935D5F">
            <w:pPr>
              <w:pStyle w:val="Size10"/>
              <w:rPr>
                <w:noProof/>
              </w:rPr>
            </w:pPr>
            <w:r w:rsidRPr="003B11BD">
              <w:rPr>
                <w:noProof/>
              </w:rPr>
              <w:t>2018</w:t>
            </w:r>
          </w:p>
        </w:tc>
        <w:tc>
          <w:tcPr>
            <w:tcW w:w="1461" w:type="dxa"/>
          </w:tcPr>
          <w:p w14:paraId="467EE97A" w14:textId="77777777" w:rsidR="00935D5F" w:rsidRPr="003B11BD" w:rsidRDefault="00935D5F" w:rsidP="00935D5F">
            <w:pPr>
              <w:pStyle w:val="Size10"/>
              <w:rPr>
                <w:noProof/>
              </w:rPr>
            </w:pPr>
            <w:r w:rsidRPr="003B11BD">
              <w:rPr>
                <w:noProof/>
              </w:rPr>
              <w:t>Protected plant variety of blackcurrant / “Ben Starav”</w:t>
            </w:r>
          </w:p>
        </w:tc>
        <w:tc>
          <w:tcPr>
            <w:tcW w:w="1140" w:type="dxa"/>
          </w:tcPr>
          <w:p w14:paraId="0DCFB987" w14:textId="77777777" w:rsidR="00935D5F" w:rsidRPr="003B11BD" w:rsidRDefault="00935D5F" w:rsidP="00935D5F">
            <w:pPr>
              <w:pStyle w:val="Size10"/>
              <w:rPr>
                <w:noProof/>
              </w:rPr>
            </w:pPr>
            <w:r w:rsidRPr="003B11BD">
              <w:rPr>
                <w:noProof/>
              </w:rPr>
              <w:t>Not issued</w:t>
            </w:r>
          </w:p>
        </w:tc>
        <w:tc>
          <w:tcPr>
            <w:tcW w:w="1226" w:type="dxa"/>
          </w:tcPr>
          <w:p w14:paraId="750D191A" w14:textId="77777777" w:rsidR="00935D5F" w:rsidRPr="003B11BD" w:rsidRDefault="00935D5F" w:rsidP="00935D5F">
            <w:pPr>
              <w:pStyle w:val="Size10"/>
              <w:rPr>
                <w:noProof/>
              </w:rPr>
            </w:pPr>
          </w:p>
        </w:tc>
        <w:tc>
          <w:tcPr>
            <w:tcW w:w="5812" w:type="dxa"/>
          </w:tcPr>
          <w:p w14:paraId="1288E8F8" w14:textId="77777777" w:rsidR="00935D5F" w:rsidRPr="003B11BD" w:rsidRDefault="00935D5F" w:rsidP="00935D5F">
            <w:pPr>
              <w:pStyle w:val="Size10"/>
              <w:rPr>
                <w:noProof/>
              </w:rPr>
            </w:pPr>
            <w:r w:rsidRPr="003B11BD">
              <w:rPr>
                <w:noProof/>
              </w:rPr>
              <w:t>Application made on public interest grounds.</w:t>
            </w:r>
          </w:p>
        </w:tc>
        <w:tc>
          <w:tcPr>
            <w:tcW w:w="1560" w:type="dxa"/>
          </w:tcPr>
          <w:p w14:paraId="295E2293" w14:textId="77777777" w:rsidR="00935D5F" w:rsidRPr="003B11BD" w:rsidRDefault="00935D5F" w:rsidP="00935D5F">
            <w:pPr>
              <w:pStyle w:val="Size10"/>
              <w:rPr>
                <w:noProof/>
              </w:rPr>
            </w:pPr>
            <w:r w:rsidRPr="003B11BD">
              <w:rPr>
                <w:noProof/>
              </w:rPr>
              <w:t xml:space="preserve">Claimant: Pixley Berries (Juice) Limited </w:t>
            </w:r>
          </w:p>
          <w:p w14:paraId="1B6128E3" w14:textId="77777777" w:rsidR="00935D5F" w:rsidRPr="003B11BD" w:rsidRDefault="00935D5F" w:rsidP="00935D5F">
            <w:pPr>
              <w:pStyle w:val="Size10"/>
              <w:rPr>
                <w:noProof/>
              </w:rPr>
            </w:pPr>
            <w:r w:rsidRPr="003B11BD">
              <w:rPr>
                <w:noProof/>
              </w:rPr>
              <w:t>Defendant: Lucozade Ribena Suntory Limited</w:t>
            </w:r>
          </w:p>
        </w:tc>
        <w:tc>
          <w:tcPr>
            <w:tcW w:w="1701" w:type="dxa"/>
          </w:tcPr>
          <w:p w14:paraId="796A4AE0" w14:textId="77777777" w:rsidR="00935D5F" w:rsidRPr="003B11BD" w:rsidRDefault="00935D5F" w:rsidP="00935D5F">
            <w:pPr>
              <w:pStyle w:val="Size10"/>
              <w:rPr>
                <w:noProof/>
              </w:rPr>
            </w:pPr>
            <w:r w:rsidRPr="003B11BD">
              <w:rPr>
                <w:noProof/>
              </w:rPr>
              <w:t>CPVO Decision NCL001, 28.03.2018</w:t>
            </w:r>
          </w:p>
        </w:tc>
      </w:tr>
    </w:tbl>
    <w:p w14:paraId="326CCF51" w14:textId="2845DD42" w:rsidR="00C458B8" w:rsidRPr="003B11BD" w:rsidRDefault="00C458B8" w:rsidP="00C458B8">
      <w:pPr>
        <w:rPr>
          <w:noProof/>
          <w:lang w:val="en-IE"/>
        </w:rPr>
      </w:pPr>
    </w:p>
    <w:p w14:paraId="62063C5F" w14:textId="650B684D" w:rsidR="008A0BF1" w:rsidRPr="003B11BD" w:rsidRDefault="008A0BF1" w:rsidP="00FC6D56">
      <w:pPr>
        <w:rPr>
          <w:rFonts w:ascii="Arial" w:hAnsi="Arial" w:cs="Arial"/>
          <w:noProof/>
          <w:sz w:val="18"/>
          <w:szCs w:val="18"/>
          <w:lang w:val="en-IE"/>
        </w:rPr>
      </w:pPr>
    </w:p>
    <w:p w14:paraId="713089D5" w14:textId="64756452" w:rsidR="00935D5F" w:rsidRPr="003B11BD" w:rsidRDefault="00935D5F" w:rsidP="00FC6D56">
      <w:pPr>
        <w:rPr>
          <w:rFonts w:ascii="Arial" w:hAnsi="Arial" w:cs="Arial"/>
          <w:noProof/>
          <w:sz w:val="18"/>
          <w:szCs w:val="18"/>
          <w:lang w:val="en-IE"/>
        </w:rPr>
        <w:sectPr w:rsidR="00935D5F" w:rsidRPr="003B11BD" w:rsidSect="008A0BF1">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587" w:right="1020" w:bottom="1701" w:left="1020" w:header="601" w:footer="1077" w:gutter="0"/>
          <w:cols w:space="720"/>
          <w:titlePg/>
          <w:docGrid w:linePitch="326"/>
        </w:sectPr>
      </w:pPr>
    </w:p>
    <w:p w14:paraId="726D9262" w14:textId="667E2688" w:rsidR="00CB1B8A" w:rsidRPr="003B11BD" w:rsidRDefault="00CB1B8A">
      <w:pPr>
        <w:pStyle w:val="annexsubsection"/>
      </w:pPr>
      <w:bookmarkStart w:id="1158" w:name="_Ref121471360"/>
      <w:bookmarkStart w:id="1159" w:name="_Ref120959625"/>
      <w:bookmarkStart w:id="1160" w:name="_Toc120731255"/>
      <w:r w:rsidRPr="003B11BD">
        <w:t>Fair compensation and adequate remuneration of right holders</w:t>
      </w:r>
    </w:p>
    <w:p w14:paraId="07E45ADC" w14:textId="4F8C16DE" w:rsidR="00CB1B8A" w:rsidRPr="003B11BD" w:rsidRDefault="00CB1B8A" w:rsidP="00CB1B8A">
      <w:pPr>
        <w:rPr>
          <w:noProof/>
          <w:lang w:val="en-IE"/>
        </w:rPr>
      </w:pPr>
      <w:r w:rsidRPr="003B11BD">
        <w:rPr>
          <w:noProof/>
          <w:lang w:val="en-IE"/>
        </w:rPr>
        <w:t>The TRIPS Agreement explicitly provides that the right holder shall be paid an adequate remuneration, to be determined depending on the circumstances of the case and taking as one criterion – but not the only one – the economic value of the authorisation. Different practices exist across countries and there is no single accepted approach to determine the adequate remuneration. Methods of calculation are sometimes applied to decide on the adequate level of remuneration. This is for instance the case as regards Regulation</w:t>
      </w:r>
      <w:r w:rsidR="002B690A">
        <w:rPr>
          <w:noProof/>
          <w:lang w:val="en-IE"/>
        </w:rPr>
        <w:t xml:space="preserve"> (EC) No</w:t>
      </w:r>
      <w:r w:rsidRPr="003B11BD">
        <w:rPr>
          <w:noProof/>
          <w:lang w:val="en-IE"/>
        </w:rPr>
        <w:t xml:space="preserve"> 816/2006, which provides that in case of national emergency or other circumstances of extreme urgency or in cases of public non-commercial use, the remuneration shall be a maximum of 4% of the price paid by the importing country. By comparison, licensing fees in the pharmaceutical industry amount to approximately 4-5% of the patented item (which is deemed one of the higher licensing rates among all industries). </w:t>
      </w:r>
    </w:p>
    <w:p w14:paraId="0BC84099" w14:textId="289EDD72" w:rsidR="00CB1B8A" w:rsidRPr="003B11BD" w:rsidRDefault="00CB1B8A">
      <w:pPr>
        <w:rPr>
          <w:noProof/>
          <w:lang w:val="en-IE"/>
        </w:rPr>
      </w:pPr>
      <w:r w:rsidRPr="003B11BD">
        <w:rPr>
          <w:noProof/>
          <w:lang w:val="en-IE"/>
        </w:rPr>
        <w:t>This initiative would provide pre-defined rules to ensure a smooth and quick procedure while providing legal certainty to right holders. To that end, it would rely on a calculation method similarly to what exists in Regulation</w:t>
      </w:r>
      <w:r w:rsidR="002B690A">
        <w:rPr>
          <w:noProof/>
          <w:lang w:val="en-IE"/>
        </w:rPr>
        <w:t xml:space="preserve"> (EC) No</w:t>
      </w:r>
      <w:r w:rsidRPr="003B11BD">
        <w:rPr>
          <w:noProof/>
          <w:lang w:val="en-IE"/>
        </w:rPr>
        <w:t xml:space="preserve"> 816/2006 (i.e. maximum 4/6% of the price of the generic product). However, as required under the TRIPS Agreement, the initiative would also include other criteria considering the circumstances of the case that could influence the percentage. These criteria would include the subsidies or other contributions that the right holder has received to develop the invention, the degree to which development costs have been amortized and the humanitarian circumstances relating to the issue of the licence. Based on these criteria, the advisory body would propose a percentage in its recommendation based on which either the Commission (in PO4) or the Member State (in PO3) would determine the remuneration. In addition, an appeal procedure is foreseen in the context of which the remuneration should be reviewed, including upon request of the right holder. </w:t>
      </w:r>
    </w:p>
    <w:p w14:paraId="194E74AF" w14:textId="6DD3D720" w:rsidR="00CB1B8A" w:rsidRPr="003B11BD" w:rsidRDefault="00CB1B8A">
      <w:pPr>
        <w:spacing w:after="200" w:line="276" w:lineRule="auto"/>
        <w:jc w:val="left"/>
        <w:rPr>
          <w:noProof/>
          <w:lang w:val="en-IE"/>
        </w:rPr>
      </w:pPr>
      <w:r w:rsidRPr="003B11BD">
        <w:rPr>
          <w:noProof/>
          <w:lang w:val="en-IE"/>
        </w:rPr>
        <w:br w:type="page"/>
      </w:r>
    </w:p>
    <w:p w14:paraId="01AEA3B1" w14:textId="7D2DD62C" w:rsidR="004C3ECA" w:rsidRPr="003B11BD" w:rsidRDefault="004C3ECA" w:rsidP="004C3ECA">
      <w:pPr>
        <w:pStyle w:val="Caption"/>
        <w:rPr>
          <w:noProof/>
          <w:lang w:val="en-IE"/>
        </w:rPr>
      </w:pPr>
      <w:r w:rsidRPr="003B11BD">
        <w:rPr>
          <w:noProof/>
          <w:lang w:val="en-IE"/>
        </w:rPr>
        <w:t xml:space="preserve">Table </w:t>
      </w:r>
      <w:r w:rsidR="00C6592A">
        <w:rPr>
          <w:noProof/>
          <w:lang w:val="en-IE"/>
        </w:rPr>
        <w:t>26</w:t>
      </w:r>
      <w:bookmarkEnd w:id="1158"/>
      <w:r w:rsidRPr="003B11BD">
        <w:rPr>
          <w:noProof/>
          <w:lang w:val="en-IE"/>
        </w:rPr>
        <w:t>: Share of respondents to the public consultation, per main category, agreeing to a compulsory licence on patents and patent applications</w:t>
      </w:r>
    </w:p>
    <w:tbl>
      <w:tblPr>
        <w:tblStyle w:val="TableGrid"/>
        <w:tblW w:w="0" w:type="auto"/>
        <w:tblInd w:w="777" w:type="dxa"/>
        <w:tblLook w:val="04A0" w:firstRow="1" w:lastRow="0" w:firstColumn="1" w:lastColumn="0" w:noHBand="0" w:noVBand="1"/>
      </w:tblPr>
      <w:tblGrid>
        <w:gridCol w:w="4058"/>
        <w:gridCol w:w="3999"/>
      </w:tblGrid>
      <w:tr w:rsidR="004C3ECA" w:rsidRPr="003B11BD" w14:paraId="276489A5" w14:textId="77777777" w:rsidTr="000A2164">
        <w:tc>
          <w:tcPr>
            <w:tcW w:w="4058" w:type="dxa"/>
            <w:shd w:val="clear" w:color="auto" w:fill="C6D9F1" w:themeFill="text2" w:themeFillTint="33"/>
          </w:tcPr>
          <w:p w14:paraId="23CA78A5" w14:textId="77777777" w:rsidR="004C3ECA" w:rsidRPr="003B11BD" w:rsidRDefault="004C3ECA" w:rsidP="00BB5F2D">
            <w:pPr>
              <w:pStyle w:val="Tabletext"/>
              <w:framePr w:wrap="around"/>
              <w:rPr>
                <w:noProof/>
                <w:lang w:val="en-IE"/>
              </w:rPr>
            </w:pPr>
            <w:r w:rsidRPr="003B11BD">
              <w:rPr>
                <w:noProof/>
                <w:lang w:val="en-IE"/>
              </w:rPr>
              <w:t>Company - Business association/ organisation</w:t>
            </w:r>
          </w:p>
        </w:tc>
        <w:tc>
          <w:tcPr>
            <w:tcW w:w="3999" w:type="dxa"/>
            <w:shd w:val="clear" w:color="auto" w:fill="C6D9F1" w:themeFill="text2" w:themeFillTint="33"/>
          </w:tcPr>
          <w:p w14:paraId="29832664" w14:textId="2D603E9A" w:rsidR="004C3ECA" w:rsidRPr="003B11BD" w:rsidRDefault="004C3ECA" w:rsidP="00BB5F2D">
            <w:pPr>
              <w:pStyle w:val="Tabletext"/>
              <w:framePr w:wrap="around"/>
              <w:rPr>
                <w:noProof/>
                <w:lang w:val="en-IE"/>
              </w:rPr>
            </w:pPr>
            <w:r w:rsidRPr="003B11BD">
              <w:rPr>
                <w:noProof/>
                <w:lang w:val="en-IE"/>
              </w:rPr>
              <w:t>20%</w:t>
            </w:r>
            <w:r w:rsidR="005677A5" w:rsidRPr="003B11BD">
              <w:rPr>
                <w:noProof/>
                <w:lang w:val="en-IE"/>
              </w:rPr>
              <w:t>,</w:t>
            </w:r>
            <w:r w:rsidRPr="003B11BD">
              <w:rPr>
                <w:noProof/>
                <w:lang w:val="en-IE"/>
              </w:rPr>
              <w:t xml:space="preserve"> N= 8</w:t>
            </w:r>
          </w:p>
        </w:tc>
      </w:tr>
      <w:tr w:rsidR="004C3ECA" w:rsidRPr="003B11BD" w14:paraId="7F5020A8" w14:textId="77777777" w:rsidTr="000A2164">
        <w:tc>
          <w:tcPr>
            <w:tcW w:w="4058" w:type="dxa"/>
            <w:shd w:val="clear" w:color="auto" w:fill="C6D9F1" w:themeFill="text2" w:themeFillTint="33"/>
          </w:tcPr>
          <w:p w14:paraId="57014513" w14:textId="77777777" w:rsidR="004C3ECA" w:rsidRPr="003B11BD" w:rsidRDefault="004C3ECA" w:rsidP="00BB5F2D">
            <w:pPr>
              <w:pStyle w:val="Tabletext"/>
              <w:framePr w:wrap="around"/>
              <w:rPr>
                <w:noProof/>
                <w:lang w:val="en-IE"/>
              </w:rPr>
            </w:pPr>
            <w:r w:rsidRPr="003B11BD">
              <w:rPr>
                <w:noProof/>
                <w:lang w:val="en-IE"/>
              </w:rPr>
              <w:t>NGOs</w:t>
            </w:r>
          </w:p>
        </w:tc>
        <w:tc>
          <w:tcPr>
            <w:tcW w:w="3999" w:type="dxa"/>
            <w:shd w:val="clear" w:color="auto" w:fill="C6D9F1" w:themeFill="text2" w:themeFillTint="33"/>
          </w:tcPr>
          <w:p w14:paraId="66C3C457" w14:textId="24C172F5" w:rsidR="004C3ECA" w:rsidRPr="003B11BD" w:rsidRDefault="004C3ECA" w:rsidP="00BB5F2D">
            <w:pPr>
              <w:pStyle w:val="Tabletext"/>
              <w:framePr w:wrap="around"/>
              <w:rPr>
                <w:noProof/>
                <w:lang w:val="en-IE"/>
              </w:rPr>
            </w:pPr>
            <w:r w:rsidRPr="003B11BD">
              <w:rPr>
                <w:noProof/>
                <w:lang w:val="en-IE"/>
              </w:rPr>
              <w:t>100%</w:t>
            </w:r>
            <w:r w:rsidR="005677A5" w:rsidRPr="003B11BD">
              <w:rPr>
                <w:noProof/>
                <w:lang w:val="en-IE"/>
              </w:rPr>
              <w:t>,</w:t>
            </w:r>
            <w:r w:rsidRPr="003B11BD">
              <w:rPr>
                <w:noProof/>
                <w:lang w:val="en-IE"/>
              </w:rPr>
              <w:t xml:space="preserve"> N= 6</w:t>
            </w:r>
          </w:p>
        </w:tc>
      </w:tr>
      <w:tr w:rsidR="004C3ECA" w:rsidRPr="003B11BD" w14:paraId="25B229A4" w14:textId="77777777" w:rsidTr="000A2164">
        <w:tc>
          <w:tcPr>
            <w:tcW w:w="4058" w:type="dxa"/>
            <w:shd w:val="clear" w:color="auto" w:fill="C6D9F1" w:themeFill="text2" w:themeFillTint="33"/>
          </w:tcPr>
          <w:p w14:paraId="4001D22E" w14:textId="77777777" w:rsidR="004C3ECA" w:rsidRPr="003B11BD" w:rsidRDefault="004C3ECA" w:rsidP="00BB5F2D">
            <w:pPr>
              <w:pStyle w:val="Tabletext"/>
              <w:framePr w:wrap="around"/>
              <w:rPr>
                <w:noProof/>
                <w:lang w:val="en-IE"/>
              </w:rPr>
            </w:pPr>
            <w:r w:rsidRPr="003B11BD">
              <w:rPr>
                <w:noProof/>
                <w:lang w:val="en-IE"/>
              </w:rPr>
              <w:t>Public authorities</w:t>
            </w:r>
          </w:p>
        </w:tc>
        <w:tc>
          <w:tcPr>
            <w:tcW w:w="3999" w:type="dxa"/>
            <w:shd w:val="clear" w:color="auto" w:fill="C6D9F1" w:themeFill="text2" w:themeFillTint="33"/>
          </w:tcPr>
          <w:p w14:paraId="20E90003" w14:textId="11EBAA08" w:rsidR="004C3ECA" w:rsidRPr="003B11BD" w:rsidRDefault="004C3ECA" w:rsidP="00BB5F2D">
            <w:pPr>
              <w:pStyle w:val="Tabletext"/>
              <w:framePr w:wrap="around"/>
              <w:rPr>
                <w:noProof/>
                <w:lang w:val="en-IE"/>
              </w:rPr>
            </w:pPr>
            <w:r w:rsidRPr="003B11BD">
              <w:rPr>
                <w:noProof/>
                <w:lang w:val="en-IE"/>
              </w:rPr>
              <w:t>75%</w:t>
            </w:r>
            <w:r w:rsidR="005677A5" w:rsidRPr="003B11BD">
              <w:rPr>
                <w:noProof/>
                <w:lang w:val="en-IE"/>
              </w:rPr>
              <w:t>,</w:t>
            </w:r>
            <w:r w:rsidRPr="003B11BD">
              <w:rPr>
                <w:noProof/>
                <w:lang w:val="en-IE"/>
              </w:rPr>
              <w:t xml:space="preserve"> N= 3</w:t>
            </w:r>
          </w:p>
        </w:tc>
      </w:tr>
      <w:tr w:rsidR="004C3ECA" w:rsidRPr="003B11BD" w14:paraId="5D851CBE" w14:textId="77777777" w:rsidTr="000A2164">
        <w:tc>
          <w:tcPr>
            <w:tcW w:w="4058" w:type="dxa"/>
            <w:shd w:val="clear" w:color="auto" w:fill="C6D9F1" w:themeFill="text2" w:themeFillTint="33"/>
          </w:tcPr>
          <w:p w14:paraId="3EF4350C" w14:textId="77777777" w:rsidR="004C3ECA" w:rsidRPr="003B11BD" w:rsidRDefault="004C3ECA" w:rsidP="00BB5F2D">
            <w:pPr>
              <w:pStyle w:val="Tabletext"/>
              <w:framePr w:wrap="around"/>
              <w:rPr>
                <w:noProof/>
                <w:lang w:val="en-IE"/>
              </w:rPr>
            </w:pPr>
            <w:r w:rsidRPr="003B11BD">
              <w:rPr>
                <w:noProof/>
                <w:lang w:val="en-IE"/>
              </w:rPr>
              <w:t>Academic/ research institution</w:t>
            </w:r>
          </w:p>
        </w:tc>
        <w:tc>
          <w:tcPr>
            <w:tcW w:w="3999" w:type="dxa"/>
            <w:shd w:val="clear" w:color="auto" w:fill="C6D9F1" w:themeFill="text2" w:themeFillTint="33"/>
          </w:tcPr>
          <w:p w14:paraId="39A3D73D" w14:textId="66F2C573" w:rsidR="004C3ECA" w:rsidRPr="003B11BD" w:rsidRDefault="004C3ECA" w:rsidP="00BB5F2D">
            <w:pPr>
              <w:pStyle w:val="Tabletext"/>
              <w:framePr w:wrap="around"/>
              <w:rPr>
                <w:noProof/>
                <w:lang w:val="en-IE"/>
              </w:rPr>
            </w:pPr>
            <w:r w:rsidRPr="003B11BD">
              <w:rPr>
                <w:noProof/>
                <w:lang w:val="en-IE"/>
              </w:rPr>
              <w:t>100%</w:t>
            </w:r>
            <w:r w:rsidR="005677A5" w:rsidRPr="003B11BD">
              <w:rPr>
                <w:noProof/>
                <w:lang w:val="en-IE"/>
              </w:rPr>
              <w:t>,</w:t>
            </w:r>
            <w:r w:rsidRPr="003B11BD">
              <w:rPr>
                <w:noProof/>
                <w:lang w:val="en-IE"/>
              </w:rPr>
              <w:t xml:space="preserve"> N= 5</w:t>
            </w:r>
          </w:p>
        </w:tc>
      </w:tr>
    </w:tbl>
    <w:p w14:paraId="2E56DAFF" w14:textId="28A1D738" w:rsidR="004C3ECA" w:rsidRPr="003B11BD" w:rsidRDefault="003A6593" w:rsidP="000F7CDE">
      <w:pPr>
        <w:pStyle w:val="Caption"/>
        <w:rPr>
          <w:noProof/>
          <w:lang w:val="en-IE"/>
        </w:rPr>
      </w:pPr>
      <w:r w:rsidRPr="003B11BD">
        <w:rPr>
          <w:noProof/>
          <w:lang w:val="en-IE"/>
        </w:rPr>
        <w:t>Source: OPC</w:t>
      </w:r>
      <w:r w:rsidR="001B3289" w:rsidRPr="003B11BD">
        <w:rPr>
          <w:noProof/>
          <w:lang w:val="en-IE"/>
        </w:rPr>
        <w:t>, total number of replies N=74</w:t>
      </w:r>
    </w:p>
    <w:p w14:paraId="034BEFD6" w14:textId="2047E905" w:rsidR="003A6593" w:rsidRPr="003B11BD" w:rsidRDefault="003A6593" w:rsidP="003A6593">
      <w:pPr>
        <w:pStyle w:val="Caption"/>
        <w:rPr>
          <w:noProof/>
          <w:lang w:val="en-IE"/>
        </w:rPr>
      </w:pPr>
      <w:bookmarkStart w:id="1161" w:name="_Ref121473448"/>
      <w:r w:rsidRPr="003B11BD">
        <w:rPr>
          <w:noProof/>
          <w:lang w:val="en-IE"/>
        </w:rPr>
        <w:t xml:space="preserve">Table </w:t>
      </w:r>
      <w:r w:rsidR="00C6592A">
        <w:rPr>
          <w:noProof/>
          <w:lang w:val="en-IE"/>
        </w:rPr>
        <w:t>27</w:t>
      </w:r>
      <w:bookmarkEnd w:id="1161"/>
      <w:r w:rsidRPr="003B11BD">
        <w:rPr>
          <w:noProof/>
          <w:lang w:val="en-IE"/>
        </w:rPr>
        <w:t>: Share of respondents to the public consultation, per main category, agreeing to a compulsory licence on SPCs</w:t>
      </w:r>
    </w:p>
    <w:tbl>
      <w:tblPr>
        <w:tblStyle w:val="TableGrid"/>
        <w:tblW w:w="0" w:type="auto"/>
        <w:tblInd w:w="777" w:type="dxa"/>
        <w:tblLook w:val="04A0" w:firstRow="1" w:lastRow="0" w:firstColumn="1" w:lastColumn="0" w:noHBand="0" w:noVBand="1"/>
      </w:tblPr>
      <w:tblGrid>
        <w:gridCol w:w="4058"/>
        <w:gridCol w:w="3999"/>
      </w:tblGrid>
      <w:tr w:rsidR="003A6593" w:rsidRPr="003B11BD" w14:paraId="354371E8" w14:textId="77777777" w:rsidTr="00BB5F2D">
        <w:tc>
          <w:tcPr>
            <w:tcW w:w="4058" w:type="dxa"/>
            <w:shd w:val="clear" w:color="auto" w:fill="C6D9F1" w:themeFill="text2" w:themeFillTint="33"/>
          </w:tcPr>
          <w:p w14:paraId="133C9154" w14:textId="77777777" w:rsidR="003A6593" w:rsidRPr="003B11BD" w:rsidRDefault="003A6593" w:rsidP="00BB5F2D">
            <w:pPr>
              <w:pStyle w:val="Tabletext"/>
              <w:framePr w:wrap="around"/>
              <w:rPr>
                <w:noProof/>
                <w:lang w:val="en-IE"/>
              </w:rPr>
            </w:pPr>
            <w:r w:rsidRPr="003B11BD">
              <w:rPr>
                <w:noProof/>
                <w:lang w:val="en-IE"/>
              </w:rPr>
              <w:t>Company - Business association/ organisation</w:t>
            </w:r>
          </w:p>
        </w:tc>
        <w:tc>
          <w:tcPr>
            <w:tcW w:w="3999" w:type="dxa"/>
            <w:shd w:val="clear" w:color="auto" w:fill="C6D9F1" w:themeFill="text2" w:themeFillTint="33"/>
          </w:tcPr>
          <w:p w14:paraId="159FF9EB" w14:textId="7893DDAD" w:rsidR="003A6593" w:rsidRPr="003B11BD" w:rsidRDefault="003A6593" w:rsidP="00BB5F2D">
            <w:pPr>
              <w:pStyle w:val="Tabletext"/>
              <w:framePr w:wrap="around"/>
              <w:rPr>
                <w:noProof/>
                <w:lang w:val="en-IE"/>
              </w:rPr>
            </w:pPr>
            <w:r w:rsidRPr="003B11BD">
              <w:rPr>
                <w:noProof/>
                <w:lang w:val="en-IE"/>
              </w:rPr>
              <w:t>55%</w:t>
            </w:r>
            <w:r w:rsidR="005677A5" w:rsidRPr="003B11BD">
              <w:rPr>
                <w:noProof/>
                <w:lang w:val="en-IE"/>
              </w:rPr>
              <w:t>,</w:t>
            </w:r>
            <w:r w:rsidRPr="003B11BD">
              <w:rPr>
                <w:noProof/>
                <w:lang w:val="en-IE"/>
              </w:rPr>
              <w:t xml:space="preserve"> N= 22</w:t>
            </w:r>
          </w:p>
        </w:tc>
      </w:tr>
      <w:tr w:rsidR="003A6593" w:rsidRPr="003B11BD" w14:paraId="4A1223DB" w14:textId="77777777" w:rsidTr="00BB5F2D">
        <w:tc>
          <w:tcPr>
            <w:tcW w:w="4058" w:type="dxa"/>
            <w:shd w:val="clear" w:color="auto" w:fill="C6D9F1" w:themeFill="text2" w:themeFillTint="33"/>
          </w:tcPr>
          <w:p w14:paraId="77759A55" w14:textId="77777777" w:rsidR="003A6593" w:rsidRPr="003B11BD" w:rsidRDefault="003A6593" w:rsidP="00BB5F2D">
            <w:pPr>
              <w:pStyle w:val="Tabletext"/>
              <w:framePr w:wrap="around"/>
              <w:rPr>
                <w:noProof/>
                <w:lang w:val="en-IE"/>
              </w:rPr>
            </w:pPr>
            <w:r w:rsidRPr="003B11BD">
              <w:rPr>
                <w:noProof/>
                <w:lang w:val="en-IE"/>
              </w:rPr>
              <w:t>NGOs</w:t>
            </w:r>
          </w:p>
        </w:tc>
        <w:tc>
          <w:tcPr>
            <w:tcW w:w="3999" w:type="dxa"/>
            <w:shd w:val="clear" w:color="auto" w:fill="C6D9F1" w:themeFill="text2" w:themeFillTint="33"/>
          </w:tcPr>
          <w:p w14:paraId="75AEB2E6" w14:textId="79D034D0" w:rsidR="003A6593" w:rsidRPr="003B11BD" w:rsidRDefault="003A6593" w:rsidP="00BB5F2D">
            <w:pPr>
              <w:pStyle w:val="Tabletext"/>
              <w:framePr w:wrap="around"/>
              <w:rPr>
                <w:noProof/>
                <w:lang w:val="en-IE"/>
              </w:rPr>
            </w:pPr>
            <w:r w:rsidRPr="003B11BD">
              <w:rPr>
                <w:noProof/>
                <w:lang w:val="en-IE"/>
              </w:rPr>
              <w:t>100%</w:t>
            </w:r>
            <w:r w:rsidR="005677A5" w:rsidRPr="003B11BD">
              <w:rPr>
                <w:noProof/>
                <w:lang w:val="en-IE"/>
              </w:rPr>
              <w:t>,</w:t>
            </w:r>
            <w:r w:rsidRPr="003B11BD">
              <w:rPr>
                <w:noProof/>
                <w:lang w:val="en-IE"/>
              </w:rPr>
              <w:t xml:space="preserve"> N= 6</w:t>
            </w:r>
          </w:p>
        </w:tc>
      </w:tr>
      <w:tr w:rsidR="003A6593" w:rsidRPr="003B11BD" w14:paraId="286CA3F6" w14:textId="77777777" w:rsidTr="00BB5F2D">
        <w:tc>
          <w:tcPr>
            <w:tcW w:w="4058" w:type="dxa"/>
            <w:shd w:val="clear" w:color="auto" w:fill="C6D9F1" w:themeFill="text2" w:themeFillTint="33"/>
          </w:tcPr>
          <w:p w14:paraId="34F65D9A" w14:textId="77777777" w:rsidR="003A6593" w:rsidRPr="003B11BD" w:rsidRDefault="003A6593" w:rsidP="00BB5F2D">
            <w:pPr>
              <w:pStyle w:val="Tabletext"/>
              <w:framePr w:wrap="around"/>
              <w:rPr>
                <w:noProof/>
                <w:lang w:val="en-IE"/>
              </w:rPr>
            </w:pPr>
            <w:r w:rsidRPr="003B11BD">
              <w:rPr>
                <w:noProof/>
                <w:lang w:val="en-IE"/>
              </w:rPr>
              <w:t>Public authorities</w:t>
            </w:r>
          </w:p>
        </w:tc>
        <w:tc>
          <w:tcPr>
            <w:tcW w:w="3999" w:type="dxa"/>
            <w:shd w:val="clear" w:color="auto" w:fill="C6D9F1" w:themeFill="text2" w:themeFillTint="33"/>
          </w:tcPr>
          <w:p w14:paraId="6A71BD00" w14:textId="2DC8574C" w:rsidR="003A6593" w:rsidRPr="003B11BD" w:rsidRDefault="003A6593" w:rsidP="00BB5F2D">
            <w:pPr>
              <w:pStyle w:val="Tabletext"/>
              <w:framePr w:wrap="around"/>
              <w:rPr>
                <w:noProof/>
                <w:lang w:val="en-IE"/>
              </w:rPr>
            </w:pPr>
            <w:r w:rsidRPr="003B11BD">
              <w:rPr>
                <w:noProof/>
                <w:lang w:val="en-IE"/>
              </w:rPr>
              <w:t>75%</w:t>
            </w:r>
            <w:r w:rsidR="005677A5" w:rsidRPr="003B11BD">
              <w:rPr>
                <w:noProof/>
                <w:lang w:val="en-IE"/>
              </w:rPr>
              <w:t>,</w:t>
            </w:r>
            <w:r w:rsidRPr="003B11BD">
              <w:rPr>
                <w:noProof/>
                <w:lang w:val="en-IE"/>
              </w:rPr>
              <w:t xml:space="preserve"> N= 3</w:t>
            </w:r>
          </w:p>
        </w:tc>
      </w:tr>
      <w:tr w:rsidR="003A6593" w:rsidRPr="003B11BD" w14:paraId="037B3B80" w14:textId="77777777" w:rsidTr="00BB5F2D">
        <w:tc>
          <w:tcPr>
            <w:tcW w:w="4058" w:type="dxa"/>
            <w:shd w:val="clear" w:color="auto" w:fill="C6D9F1" w:themeFill="text2" w:themeFillTint="33"/>
          </w:tcPr>
          <w:p w14:paraId="6ADACA9D" w14:textId="77777777" w:rsidR="003A6593" w:rsidRPr="003B11BD" w:rsidRDefault="003A6593" w:rsidP="00BB5F2D">
            <w:pPr>
              <w:pStyle w:val="Tabletext"/>
              <w:framePr w:wrap="around"/>
              <w:rPr>
                <w:noProof/>
                <w:lang w:val="en-IE"/>
              </w:rPr>
            </w:pPr>
            <w:r w:rsidRPr="003B11BD">
              <w:rPr>
                <w:noProof/>
                <w:lang w:val="en-IE"/>
              </w:rPr>
              <w:t>Academic/ research institution</w:t>
            </w:r>
          </w:p>
        </w:tc>
        <w:tc>
          <w:tcPr>
            <w:tcW w:w="3999" w:type="dxa"/>
            <w:shd w:val="clear" w:color="auto" w:fill="C6D9F1" w:themeFill="text2" w:themeFillTint="33"/>
          </w:tcPr>
          <w:p w14:paraId="669BD65A" w14:textId="4BCFCFFF" w:rsidR="003A6593" w:rsidRPr="003B11BD" w:rsidRDefault="003A6593" w:rsidP="00BB5F2D">
            <w:pPr>
              <w:pStyle w:val="Tabletext"/>
              <w:framePr w:wrap="around"/>
              <w:rPr>
                <w:noProof/>
                <w:lang w:val="en-IE"/>
              </w:rPr>
            </w:pPr>
            <w:r w:rsidRPr="003B11BD">
              <w:rPr>
                <w:noProof/>
                <w:lang w:val="en-IE"/>
              </w:rPr>
              <w:t>80%</w:t>
            </w:r>
            <w:r w:rsidR="005677A5" w:rsidRPr="003B11BD">
              <w:rPr>
                <w:noProof/>
                <w:lang w:val="en-IE"/>
              </w:rPr>
              <w:t>,</w:t>
            </w:r>
            <w:r w:rsidRPr="003B11BD">
              <w:rPr>
                <w:noProof/>
                <w:lang w:val="en-IE"/>
              </w:rPr>
              <w:t xml:space="preserve"> N= 4</w:t>
            </w:r>
          </w:p>
        </w:tc>
      </w:tr>
    </w:tbl>
    <w:p w14:paraId="4124F896" w14:textId="7D7A113F" w:rsidR="003A6593" w:rsidRPr="003B11BD" w:rsidRDefault="003A6593" w:rsidP="003A6593">
      <w:pPr>
        <w:pStyle w:val="Caption"/>
        <w:rPr>
          <w:noProof/>
          <w:lang w:val="en-IE"/>
        </w:rPr>
      </w:pPr>
      <w:r w:rsidRPr="003B11BD">
        <w:rPr>
          <w:noProof/>
          <w:lang w:val="en-IE"/>
        </w:rPr>
        <w:t>Source: OPC</w:t>
      </w:r>
      <w:r w:rsidR="001B3289" w:rsidRPr="003B11BD">
        <w:rPr>
          <w:noProof/>
          <w:lang w:val="en-IE"/>
        </w:rPr>
        <w:t>, total number of replies N=74</w:t>
      </w:r>
    </w:p>
    <w:p w14:paraId="45CD9E4B" w14:textId="360055FA" w:rsidR="00BB5F2D" w:rsidRPr="003B11BD" w:rsidRDefault="00BB5F2D" w:rsidP="00BB5F2D">
      <w:pPr>
        <w:pStyle w:val="Caption"/>
        <w:rPr>
          <w:noProof/>
          <w:lang w:val="en-IE"/>
        </w:rPr>
      </w:pPr>
      <w:bookmarkStart w:id="1162" w:name="_Ref121473843"/>
      <w:r w:rsidRPr="003B11BD">
        <w:rPr>
          <w:noProof/>
          <w:lang w:val="en-IE"/>
        </w:rPr>
        <w:t xml:space="preserve">Table </w:t>
      </w:r>
      <w:r w:rsidR="00C6592A">
        <w:rPr>
          <w:noProof/>
          <w:lang w:val="en-IE"/>
        </w:rPr>
        <w:t>28</w:t>
      </w:r>
      <w:bookmarkEnd w:id="1162"/>
      <w:r w:rsidRPr="003B11BD">
        <w:rPr>
          <w:noProof/>
          <w:lang w:val="en-IE"/>
        </w:rPr>
        <w:t>: Share of respondents to the public consultation, per main category, agreeing to a compulsory licence on RDP</w:t>
      </w:r>
    </w:p>
    <w:tbl>
      <w:tblPr>
        <w:tblStyle w:val="TableGrid"/>
        <w:tblW w:w="0" w:type="auto"/>
        <w:tblInd w:w="777" w:type="dxa"/>
        <w:tblLook w:val="04A0" w:firstRow="1" w:lastRow="0" w:firstColumn="1" w:lastColumn="0" w:noHBand="0" w:noVBand="1"/>
      </w:tblPr>
      <w:tblGrid>
        <w:gridCol w:w="4058"/>
        <w:gridCol w:w="3999"/>
      </w:tblGrid>
      <w:tr w:rsidR="00BB5F2D" w:rsidRPr="003B11BD" w14:paraId="09FECBAD" w14:textId="77777777" w:rsidTr="00BB5F2D">
        <w:tc>
          <w:tcPr>
            <w:tcW w:w="4058" w:type="dxa"/>
            <w:shd w:val="clear" w:color="auto" w:fill="C6D9F1" w:themeFill="text2" w:themeFillTint="33"/>
          </w:tcPr>
          <w:p w14:paraId="7C3E6DA6" w14:textId="77777777" w:rsidR="00BB5F2D" w:rsidRPr="003B11BD" w:rsidRDefault="00BB5F2D" w:rsidP="00BB5F2D">
            <w:pPr>
              <w:pStyle w:val="Tabletext"/>
              <w:framePr w:wrap="around"/>
              <w:rPr>
                <w:noProof/>
                <w:lang w:val="en-IE"/>
              </w:rPr>
            </w:pPr>
            <w:r w:rsidRPr="003B11BD">
              <w:rPr>
                <w:noProof/>
                <w:lang w:val="en-IE"/>
              </w:rPr>
              <w:t>Company - Business association/ organisation</w:t>
            </w:r>
          </w:p>
        </w:tc>
        <w:tc>
          <w:tcPr>
            <w:tcW w:w="3999" w:type="dxa"/>
            <w:shd w:val="clear" w:color="auto" w:fill="C6D9F1" w:themeFill="text2" w:themeFillTint="33"/>
          </w:tcPr>
          <w:p w14:paraId="0201614F" w14:textId="75F11B01" w:rsidR="00BB5F2D" w:rsidRPr="003B11BD" w:rsidRDefault="00BB5F2D" w:rsidP="00BB5F2D">
            <w:pPr>
              <w:pStyle w:val="Tabletext"/>
              <w:framePr w:wrap="around"/>
              <w:rPr>
                <w:noProof/>
                <w:lang w:val="en-IE"/>
              </w:rPr>
            </w:pPr>
            <w:r w:rsidRPr="003B11BD">
              <w:rPr>
                <w:noProof/>
                <w:lang w:val="en-IE"/>
              </w:rPr>
              <w:t>2.5%</w:t>
            </w:r>
            <w:r w:rsidR="005677A5" w:rsidRPr="003B11BD">
              <w:rPr>
                <w:noProof/>
                <w:lang w:val="en-IE"/>
              </w:rPr>
              <w:t>,</w:t>
            </w:r>
            <w:r w:rsidRPr="003B11BD">
              <w:rPr>
                <w:noProof/>
                <w:lang w:val="en-IE"/>
              </w:rPr>
              <w:t xml:space="preserve"> N= 1</w:t>
            </w:r>
          </w:p>
        </w:tc>
      </w:tr>
      <w:tr w:rsidR="00BB5F2D" w:rsidRPr="003B11BD" w14:paraId="232E2FF8" w14:textId="77777777" w:rsidTr="00BB5F2D">
        <w:tc>
          <w:tcPr>
            <w:tcW w:w="4058" w:type="dxa"/>
            <w:shd w:val="clear" w:color="auto" w:fill="C6D9F1" w:themeFill="text2" w:themeFillTint="33"/>
          </w:tcPr>
          <w:p w14:paraId="0ED85344" w14:textId="77777777" w:rsidR="00BB5F2D" w:rsidRPr="003B11BD" w:rsidRDefault="00BB5F2D" w:rsidP="00BB5F2D">
            <w:pPr>
              <w:pStyle w:val="Tabletext"/>
              <w:framePr w:wrap="around"/>
              <w:rPr>
                <w:noProof/>
                <w:lang w:val="en-IE"/>
              </w:rPr>
            </w:pPr>
            <w:r w:rsidRPr="003B11BD">
              <w:rPr>
                <w:noProof/>
                <w:lang w:val="en-IE"/>
              </w:rPr>
              <w:t>NGOs</w:t>
            </w:r>
          </w:p>
        </w:tc>
        <w:tc>
          <w:tcPr>
            <w:tcW w:w="3999" w:type="dxa"/>
            <w:shd w:val="clear" w:color="auto" w:fill="C6D9F1" w:themeFill="text2" w:themeFillTint="33"/>
          </w:tcPr>
          <w:p w14:paraId="1BFF10A4" w14:textId="21381F88" w:rsidR="00BB5F2D" w:rsidRPr="003B11BD" w:rsidRDefault="00BB5F2D" w:rsidP="00BB5F2D">
            <w:pPr>
              <w:pStyle w:val="Tabletext"/>
              <w:framePr w:wrap="around"/>
              <w:rPr>
                <w:noProof/>
                <w:lang w:val="en-IE"/>
              </w:rPr>
            </w:pPr>
            <w:r w:rsidRPr="003B11BD">
              <w:rPr>
                <w:noProof/>
                <w:lang w:val="en-IE"/>
              </w:rPr>
              <w:t>100%</w:t>
            </w:r>
            <w:r w:rsidR="005677A5" w:rsidRPr="003B11BD">
              <w:rPr>
                <w:noProof/>
                <w:lang w:val="en-IE"/>
              </w:rPr>
              <w:t>,</w:t>
            </w:r>
            <w:r w:rsidRPr="003B11BD">
              <w:rPr>
                <w:noProof/>
                <w:lang w:val="en-IE"/>
              </w:rPr>
              <w:t xml:space="preserve"> N= 6</w:t>
            </w:r>
          </w:p>
        </w:tc>
      </w:tr>
      <w:tr w:rsidR="00BB5F2D" w:rsidRPr="003B11BD" w14:paraId="393ECA42" w14:textId="77777777" w:rsidTr="00BB5F2D">
        <w:tc>
          <w:tcPr>
            <w:tcW w:w="4058" w:type="dxa"/>
            <w:shd w:val="clear" w:color="auto" w:fill="C6D9F1" w:themeFill="text2" w:themeFillTint="33"/>
          </w:tcPr>
          <w:p w14:paraId="3DF30AC2" w14:textId="77777777" w:rsidR="00BB5F2D" w:rsidRPr="003B11BD" w:rsidRDefault="00BB5F2D" w:rsidP="00BB5F2D">
            <w:pPr>
              <w:pStyle w:val="Tabletext"/>
              <w:framePr w:wrap="around"/>
              <w:rPr>
                <w:noProof/>
                <w:lang w:val="en-IE"/>
              </w:rPr>
            </w:pPr>
            <w:r w:rsidRPr="003B11BD">
              <w:rPr>
                <w:noProof/>
                <w:lang w:val="en-IE"/>
              </w:rPr>
              <w:t>Public authorities</w:t>
            </w:r>
          </w:p>
        </w:tc>
        <w:tc>
          <w:tcPr>
            <w:tcW w:w="3999" w:type="dxa"/>
            <w:shd w:val="clear" w:color="auto" w:fill="C6D9F1" w:themeFill="text2" w:themeFillTint="33"/>
          </w:tcPr>
          <w:p w14:paraId="2FF08583" w14:textId="0551DCF0" w:rsidR="00BB5F2D" w:rsidRPr="003B11BD" w:rsidRDefault="00BB5F2D" w:rsidP="00BB5F2D">
            <w:pPr>
              <w:pStyle w:val="Tabletext"/>
              <w:framePr w:wrap="around"/>
              <w:rPr>
                <w:noProof/>
                <w:lang w:val="en-IE"/>
              </w:rPr>
            </w:pPr>
            <w:r w:rsidRPr="003B11BD">
              <w:rPr>
                <w:noProof/>
                <w:lang w:val="en-IE"/>
              </w:rPr>
              <w:t>75%</w:t>
            </w:r>
            <w:r w:rsidR="005677A5" w:rsidRPr="003B11BD">
              <w:rPr>
                <w:noProof/>
                <w:lang w:val="en-IE"/>
              </w:rPr>
              <w:t>,</w:t>
            </w:r>
            <w:r w:rsidRPr="003B11BD">
              <w:rPr>
                <w:noProof/>
                <w:lang w:val="en-IE"/>
              </w:rPr>
              <w:t xml:space="preserve"> N= 3</w:t>
            </w:r>
          </w:p>
        </w:tc>
      </w:tr>
      <w:tr w:rsidR="00BB5F2D" w:rsidRPr="003B11BD" w14:paraId="4B2213DE" w14:textId="77777777" w:rsidTr="00BB5F2D">
        <w:tc>
          <w:tcPr>
            <w:tcW w:w="4058" w:type="dxa"/>
            <w:shd w:val="clear" w:color="auto" w:fill="C6D9F1" w:themeFill="text2" w:themeFillTint="33"/>
          </w:tcPr>
          <w:p w14:paraId="38E20D62" w14:textId="77777777" w:rsidR="00BB5F2D" w:rsidRPr="003B11BD" w:rsidRDefault="00BB5F2D" w:rsidP="00BB5F2D">
            <w:pPr>
              <w:pStyle w:val="Tabletext"/>
              <w:framePr w:wrap="around"/>
              <w:rPr>
                <w:noProof/>
                <w:lang w:val="en-IE"/>
              </w:rPr>
            </w:pPr>
            <w:r w:rsidRPr="003B11BD">
              <w:rPr>
                <w:noProof/>
                <w:lang w:val="en-IE"/>
              </w:rPr>
              <w:t>Academic/ research institution</w:t>
            </w:r>
          </w:p>
        </w:tc>
        <w:tc>
          <w:tcPr>
            <w:tcW w:w="3999" w:type="dxa"/>
            <w:shd w:val="clear" w:color="auto" w:fill="C6D9F1" w:themeFill="text2" w:themeFillTint="33"/>
          </w:tcPr>
          <w:p w14:paraId="53284669" w14:textId="78991434" w:rsidR="00BB5F2D" w:rsidRPr="003B11BD" w:rsidRDefault="00BB5F2D" w:rsidP="00BB5F2D">
            <w:pPr>
              <w:pStyle w:val="Tabletext"/>
              <w:framePr w:wrap="around"/>
              <w:rPr>
                <w:noProof/>
                <w:lang w:val="en-IE"/>
              </w:rPr>
            </w:pPr>
            <w:r w:rsidRPr="003B11BD">
              <w:rPr>
                <w:noProof/>
                <w:lang w:val="en-IE"/>
              </w:rPr>
              <w:t>80%</w:t>
            </w:r>
            <w:r w:rsidR="005677A5" w:rsidRPr="003B11BD">
              <w:rPr>
                <w:noProof/>
                <w:lang w:val="en-IE"/>
              </w:rPr>
              <w:t>,</w:t>
            </w:r>
            <w:r w:rsidRPr="003B11BD">
              <w:rPr>
                <w:noProof/>
                <w:lang w:val="en-IE"/>
              </w:rPr>
              <w:t xml:space="preserve"> N= 4</w:t>
            </w:r>
          </w:p>
        </w:tc>
      </w:tr>
    </w:tbl>
    <w:p w14:paraId="140171E3" w14:textId="214AA44E" w:rsidR="006426BA" w:rsidRPr="003B11BD" w:rsidRDefault="006426BA" w:rsidP="006426BA">
      <w:pPr>
        <w:pStyle w:val="Caption"/>
        <w:rPr>
          <w:noProof/>
          <w:lang w:val="en-IE"/>
        </w:rPr>
      </w:pPr>
      <w:r w:rsidRPr="003B11BD">
        <w:rPr>
          <w:noProof/>
          <w:lang w:val="en-IE"/>
        </w:rPr>
        <w:t>Source: OPC</w:t>
      </w:r>
      <w:r w:rsidR="001B3289" w:rsidRPr="003B11BD">
        <w:rPr>
          <w:noProof/>
          <w:lang w:val="en-IE"/>
        </w:rPr>
        <w:t>, total number of replies N=74</w:t>
      </w:r>
    </w:p>
    <w:p w14:paraId="696BC3FB" w14:textId="03D56EA2" w:rsidR="00281C28" w:rsidRPr="003B11BD" w:rsidRDefault="00281C28" w:rsidP="006426BA">
      <w:pPr>
        <w:pStyle w:val="Caption"/>
        <w:rPr>
          <w:noProof/>
          <w:lang w:val="en-IE"/>
        </w:rPr>
      </w:pPr>
      <w:r w:rsidRPr="003B11BD">
        <w:rPr>
          <w:noProof/>
          <w:lang w:val="en-IE"/>
        </w:rPr>
        <w:t xml:space="preserve">Table </w:t>
      </w:r>
      <w:r w:rsidR="00C6592A">
        <w:rPr>
          <w:noProof/>
          <w:lang w:val="en-IE"/>
        </w:rPr>
        <w:t>29</w:t>
      </w:r>
      <w:r w:rsidRPr="003B11BD">
        <w:rPr>
          <w:noProof/>
          <w:lang w:val="en-IE"/>
        </w:rPr>
        <w:t>: Share of respondents to the public consultation, per main category agreeing to a compulsory licence on know-how</w:t>
      </w:r>
      <w:r w:rsidRPr="003B11BD" w:rsidDel="00281C28">
        <w:rPr>
          <w:noProof/>
          <w:lang w:val="en-IE"/>
        </w:rPr>
        <w:t xml:space="preserve"> </w:t>
      </w:r>
    </w:p>
    <w:tbl>
      <w:tblPr>
        <w:tblStyle w:val="TableGrid"/>
        <w:tblW w:w="0" w:type="auto"/>
        <w:tblInd w:w="777" w:type="dxa"/>
        <w:tblLook w:val="04A0" w:firstRow="1" w:lastRow="0" w:firstColumn="1" w:lastColumn="0" w:noHBand="0" w:noVBand="1"/>
      </w:tblPr>
      <w:tblGrid>
        <w:gridCol w:w="4058"/>
        <w:gridCol w:w="3999"/>
      </w:tblGrid>
      <w:tr w:rsidR="00281C28" w:rsidRPr="003B11BD" w14:paraId="5FC2B1E7" w14:textId="77777777" w:rsidTr="00281C28">
        <w:tc>
          <w:tcPr>
            <w:tcW w:w="4058" w:type="dxa"/>
            <w:shd w:val="clear" w:color="auto" w:fill="C6D9F1" w:themeFill="text2" w:themeFillTint="33"/>
          </w:tcPr>
          <w:p w14:paraId="664A5B82" w14:textId="77777777" w:rsidR="00281C28" w:rsidRPr="003B11BD" w:rsidRDefault="00281C28" w:rsidP="006426BA">
            <w:pPr>
              <w:pStyle w:val="Tabletext"/>
              <w:framePr w:wrap="around"/>
              <w:rPr>
                <w:noProof/>
                <w:lang w:val="en-IE"/>
              </w:rPr>
            </w:pPr>
            <w:r w:rsidRPr="003B11BD">
              <w:rPr>
                <w:noProof/>
                <w:lang w:val="en-IE"/>
              </w:rPr>
              <w:t>Company - Business association/ organisation</w:t>
            </w:r>
          </w:p>
        </w:tc>
        <w:tc>
          <w:tcPr>
            <w:tcW w:w="3999" w:type="dxa"/>
            <w:shd w:val="clear" w:color="auto" w:fill="C6D9F1" w:themeFill="text2" w:themeFillTint="33"/>
          </w:tcPr>
          <w:p w14:paraId="4DA57693" w14:textId="27AACDE2" w:rsidR="00281C28" w:rsidRPr="003B11BD" w:rsidRDefault="00281C28" w:rsidP="006426BA">
            <w:pPr>
              <w:pStyle w:val="Tabletext"/>
              <w:framePr w:wrap="around"/>
              <w:rPr>
                <w:noProof/>
                <w:lang w:val="en-IE"/>
              </w:rPr>
            </w:pPr>
            <w:r w:rsidRPr="003B11BD">
              <w:rPr>
                <w:noProof/>
                <w:lang w:val="en-IE"/>
              </w:rPr>
              <w:t>5%</w:t>
            </w:r>
            <w:r w:rsidR="005677A5" w:rsidRPr="003B11BD">
              <w:rPr>
                <w:noProof/>
                <w:lang w:val="en-IE"/>
              </w:rPr>
              <w:t>,</w:t>
            </w:r>
            <w:r w:rsidRPr="003B11BD">
              <w:rPr>
                <w:noProof/>
                <w:lang w:val="en-IE"/>
              </w:rPr>
              <w:t xml:space="preserve"> N= 2</w:t>
            </w:r>
          </w:p>
        </w:tc>
      </w:tr>
      <w:tr w:rsidR="00281C28" w:rsidRPr="003B11BD" w14:paraId="176DA3B9" w14:textId="77777777" w:rsidTr="00281C28">
        <w:tc>
          <w:tcPr>
            <w:tcW w:w="4058" w:type="dxa"/>
            <w:shd w:val="clear" w:color="auto" w:fill="C6D9F1" w:themeFill="text2" w:themeFillTint="33"/>
          </w:tcPr>
          <w:p w14:paraId="4B2FD637" w14:textId="77777777" w:rsidR="00281C28" w:rsidRPr="003B11BD" w:rsidRDefault="00281C28" w:rsidP="006426BA">
            <w:pPr>
              <w:pStyle w:val="Tabletext"/>
              <w:framePr w:wrap="around"/>
              <w:rPr>
                <w:noProof/>
                <w:lang w:val="en-IE"/>
              </w:rPr>
            </w:pPr>
            <w:r w:rsidRPr="003B11BD">
              <w:rPr>
                <w:noProof/>
                <w:lang w:val="en-IE"/>
              </w:rPr>
              <w:t>NGOs</w:t>
            </w:r>
          </w:p>
        </w:tc>
        <w:tc>
          <w:tcPr>
            <w:tcW w:w="3999" w:type="dxa"/>
            <w:shd w:val="clear" w:color="auto" w:fill="C6D9F1" w:themeFill="text2" w:themeFillTint="33"/>
          </w:tcPr>
          <w:p w14:paraId="0539DA05" w14:textId="18A5634F" w:rsidR="00281C28" w:rsidRPr="003B11BD" w:rsidRDefault="00281C28" w:rsidP="006426BA">
            <w:pPr>
              <w:pStyle w:val="Tabletext"/>
              <w:framePr w:wrap="around"/>
              <w:rPr>
                <w:noProof/>
                <w:lang w:val="en-IE"/>
              </w:rPr>
            </w:pPr>
            <w:r w:rsidRPr="003B11BD">
              <w:rPr>
                <w:noProof/>
                <w:lang w:val="en-IE"/>
              </w:rPr>
              <w:t>100%</w:t>
            </w:r>
            <w:r w:rsidR="005677A5" w:rsidRPr="003B11BD">
              <w:rPr>
                <w:noProof/>
                <w:lang w:val="en-IE"/>
              </w:rPr>
              <w:t>,</w:t>
            </w:r>
            <w:r w:rsidRPr="003B11BD">
              <w:rPr>
                <w:noProof/>
                <w:lang w:val="en-IE"/>
              </w:rPr>
              <w:t xml:space="preserve"> N= 6</w:t>
            </w:r>
          </w:p>
        </w:tc>
      </w:tr>
      <w:tr w:rsidR="00281C28" w:rsidRPr="003B11BD" w14:paraId="700279CE" w14:textId="77777777" w:rsidTr="00281C28">
        <w:tc>
          <w:tcPr>
            <w:tcW w:w="4058" w:type="dxa"/>
            <w:shd w:val="clear" w:color="auto" w:fill="C6D9F1" w:themeFill="text2" w:themeFillTint="33"/>
          </w:tcPr>
          <w:p w14:paraId="642EA2A2" w14:textId="77777777" w:rsidR="00281C28" w:rsidRPr="003B11BD" w:rsidRDefault="00281C28" w:rsidP="006426BA">
            <w:pPr>
              <w:pStyle w:val="Tabletext"/>
              <w:framePr w:wrap="around"/>
              <w:rPr>
                <w:noProof/>
                <w:lang w:val="en-IE"/>
              </w:rPr>
            </w:pPr>
            <w:r w:rsidRPr="003B11BD">
              <w:rPr>
                <w:noProof/>
                <w:lang w:val="en-IE"/>
              </w:rPr>
              <w:t>Public authorities</w:t>
            </w:r>
          </w:p>
        </w:tc>
        <w:tc>
          <w:tcPr>
            <w:tcW w:w="3999" w:type="dxa"/>
            <w:shd w:val="clear" w:color="auto" w:fill="C6D9F1" w:themeFill="text2" w:themeFillTint="33"/>
          </w:tcPr>
          <w:p w14:paraId="6C22040E" w14:textId="682F0FBC" w:rsidR="00281C28" w:rsidRPr="003B11BD" w:rsidRDefault="00281C28" w:rsidP="006426BA">
            <w:pPr>
              <w:pStyle w:val="Tabletext"/>
              <w:framePr w:wrap="around"/>
              <w:rPr>
                <w:noProof/>
                <w:lang w:val="en-IE"/>
              </w:rPr>
            </w:pPr>
            <w:r w:rsidRPr="003B11BD">
              <w:rPr>
                <w:noProof/>
                <w:lang w:val="en-IE"/>
              </w:rPr>
              <w:t>50%</w:t>
            </w:r>
            <w:r w:rsidR="005677A5" w:rsidRPr="003B11BD">
              <w:rPr>
                <w:noProof/>
                <w:lang w:val="en-IE"/>
              </w:rPr>
              <w:t>,</w:t>
            </w:r>
            <w:r w:rsidRPr="003B11BD">
              <w:rPr>
                <w:noProof/>
                <w:lang w:val="en-IE"/>
              </w:rPr>
              <w:t xml:space="preserve"> N= 2</w:t>
            </w:r>
          </w:p>
        </w:tc>
      </w:tr>
      <w:tr w:rsidR="00281C28" w:rsidRPr="003B11BD" w14:paraId="0561A317" w14:textId="77777777" w:rsidTr="00281C28">
        <w:tc>
          <w:tcPr>
            <w:tcW w:w="4058" w:type="dxa"/>
            <w:shd w:val="clear" w:color="auto" w:fill="C6D9F1" w:themeFill="text2" w:themeFillTint="33"/>
          </w:tcPr>
          <w:p w14:paraId="2A07C342" w14:textId="77777777" w:rsidR="00281C28" w:rsidRPr="003B11BD" w:rsidRDefault="00281C28" w:rsidP="006426BA">
            <w:pPr>
              <w:pStyle w:val="Tabletext"/>
              <w:framePr w:wrap="around"/>
              <w:rPr>
                <w:noProof/>
                <w:lang w:val="en-IE"/>
              </w:rPr>
            </w:pPr>
            <w:r w:rsidRPr="003B11BD">
              <w:rPr>
                <w:noProof/>
                <w:lang w:val="en-IE"/>
              </w:rPr>
              <w:t>Academic/ research institution</w:t>
            </w:r>
          </w:p>
        </w:tc>
        <w:tc>
          <w:tcPr>
            <w:tcW w:w="3999" w:type="dxa"/>
            <w:shd w:val="clear" w:color="auto" w:fill="C6D9F1" w:themeFill="text2" w:themeFillTint="33"/>
          </w:tcPr>
          <w:p w14:paraId="06DA725A" w14:textId="4D4A5538" w:rsidR="00281C28" w:rsidRPr="003B11BD" w:rsidRDefault="00281C28" w:rsidP="006426BA">
            <w:pPr>
              <w:pStyle w:val="Tabletext"/>
              <w:framePr w:wrap="around"/>
              <w:rPr>
                <w:noProof/>
                <w:lang w:val="en-IE"/>
              </w:rPr>
            </w:pPr>
            <w:r w:rsidRPr="003B11BD">
              <w:rPr>
                <w:noProof/>
                <w:lang w:val="en-IE"/>
              </w:rPr>
              <w:t>80%</w:t>
            </w:r>
            <w:r w:rsidR="005677A5" w:rsidRPr="003B11BD">
              <w:rPr>
                <w:noProof/>
                <w:lang w:val="en-IE"/>
              </w:rPr>
              <w:t>,</w:t>
            </w:r>
            <w:r w:rsidRPr="003B11BD">
              <w:rPr>
                <w:noProof/>
                <w:lang w:val="en-IE"/>
              </w:rPr>
              <w:t xml:space="preserve"> N= 4</w:t>
            </w:r>
          </w:p>
        </w:tc>
      </w:tr>
    </w:tbl>
    <w:p w14:paraId="019A67F5" w14:textId="23ADABD4" w:rsidR="006426BA" w:rsidRPr="003B11BD" w:rsidRDefault="006426BA" w:rsidP="006426BA">
      <w:pPr>
        <w:pStyle w:val="Caption"/>
        <w:rPr>
          <w:noProof/>
          <w:lang w:val="en-IE"/>
        </w:rPr>
      </w:pPr>
      <w:r w:rsidRPr="003B11BD">
        <w:rPr>
          <w:noProof/>
          <w:lang w:val="en-IE"/>
        </w:rPr>
        <w:t>Source: OPC</w:t>
      </w:r>
      <w:r w:rsidR="001B3289" w:rsidRPr="003B11BD">
        <w:rPr>
          <w:noProof/>
          <w:lang w:val="en-IE"/>
        </w:rPr>
        <w:t>, total number of replies N=74</w:t>
      </w:r>
    </w:p>
    <w:p w14:paraId="7493800C" w14:textId="1D8FBF9E" w:rsidR="00A606D9" w:rsidRPr="003B11BD" w:rsidRDefault="00A606D9" w:rsidP="00A606D9">
      <w:pPr>
        <w:pStyle w:val="Caption"/>
        <w:rPr>
          <w:noProof/>
          <w:lang w:val="en-IE"/>
        </w:rPr>
      </w:pPr>
      <w:r w:rsidRPr="003B11BD">
        <w:rPr>
          <w:noProof/>
          <w:lang w:val="en-IE"/>
        </w:rPr>
        <w:t xml:space="preserve">Table </w:t>
      </w:r>
      <w:r w:rsidR="00C6592A">
        <w:rPr>
          <w:noProof/>
          <w:lang w:val="en-IE"/>
        </w:rPr>
        <w:t>30</w:t>
      </w:r>
      <w:r w:rsidRPr="003B11BD">
        <w:rPr>
          <w:noProof/>
          <w:lang w:val="en-IE"/>
        </w:rPr>
        <w:t>: Share of respondents to the public consultation, per main category, agreeing to a compulsory licence for cross-border uses</w:t>
      </w:r>
    </w:p>
    <w:tbl>
      <w:tblPr>
        <w:tblStyle w:val="TableGrid"/>
        <w:tblW w:w="0" w:type="auto"/>
        <w:tblInd w:w="777" w:type="dxa"/>
        <w:tblLook w:val="04A0" w:firstRow="1" w:lastRow="0" w:firstColumn="1" w:lastColumn="0" w:noHBand="0" w:noVBand="1"/>
      </w:tblPr>
      <w:tblGrid>
        <w:gridCol w:w="2907"/>
        <w:gridCol w:w="2675"/>
        <w:gridCol w:w="2475"/>
      </w:tblGrid>
      <w:tr w:rsidR="00A606D9" w:rsidRPr="003B11BD" w14:paraId="6594B7B1" w14:textId="77777777" w:rsidTr="008902B3">
        <w:tc>
          <w:tcPr>
            <w:tcW w:w="2907" w:type="dxa"/>
            <w:shd w:val="clear" w:color="auto" w:fill="C6D9F1" w:themeFill="text2" w:themeFillTint="33"/>
          </w:tcPr>
          <w:p w14:paraId="59A43C14" w14:textId="77777777" w:rsidR="00A606D9" w:rsidRPr="003B11BD" w:rsidRDefault="00A606D9" w:rsidP="00A606D9">
            <w:pPr>
              <w:pStyle w:val="Tabletext"/>
              <w:framePr w:wrap="around"/>
              <w:rPr>
                <w:noProof/>
                <w:lang w:val="en-IE"/>
              </w:rPr>
            </w:pPr>
          </w:p>
        </w:tc>
        <w:tc>
          <w:tcPr>
            <w:tcW w:w="2675" w:type="dxa"/>
            <w:shd w:val="clear" w:color="auto" w:fill="C6D9F1" w:themeFill="text2" w:themeFillTint="33"/>
          </w:tcPr>
          <w:p w14:paraId="0CA19E84" w14:textId="77777777" w:rsidR="00A606D9" w:rsidRPr="003B11BD" w:rsidRDefault="00A606D9" w:rsidP="00A606D9">
            <w:pPr>
              <w:pStyle w:val="Tabletext"/>
              <w:framePr w:wrap="around"/>
              <w:rPr>
                <w:noProof/>
                <w:lang w:val="en-IE"/>
              </w:rPr>
            </w:pPr>
            <w:r w:rsidRPr="003B11BD">
              <w:rPr>
                <w:noProof/>
                <w:lang w:val="en-IE"/>
              </w:rPr>
              <w:t xml:space="preserve">Manufacturing across several EU countries </w:t>
            </w:r>
          </w:p>
        </w:tc>
        <w:tc>
          <w:tcPr>
            <w:tcW w:w="2475" w:type="dxa"/>
            <w:shd w:val="clear" w:color="auto" w:fill="C6D9F1" w:themeFill="text2" w:themeFillTint="33"/>
          </w:tcPr>
          <w:p w14:paraId="2F4AD9DD" w14:textId="77777777" w:rsidR="00A606D9" w:rsidRPr="003B11BD" w:rsidRDefault="00A606D9" w:rsidP="00A606D9">
            <w:pPr>
              <w:pStyle w:val="Tabletext"/>
              <w:framePr w:wrap="around"/>
              <w:rPr>
                <w:noProof/>
                <w:lang w:val="en-IE"/>
              </w:rPr>
            </w:pPr>
            <w:r w:rsidRPr="003B11BD">
              <w:rPr>
                <w:noProof/>
                <w:lang w:val="en-IE"/>
              </w:rPr>
              <w:t>Export to another country</w:t>
            </w:r>
          </w:p>
        </w:tc>
      </w:tr>
      <w:tr w:rsidR="00A606D9" w:rsidRPr="003B11BD" w14:paraId="39A70A71" w14:textId="77777777" w:rsidTr="008902B3">
        <w:tc>
          <w:tcPr>
            <w:tcW w:w="2907" w:type="dxa"/>
            <w:shd w:val="clear" w:color="auto" w:fill="C6D9F1" w:themeFill="text2" w:themeFillTint="33"/>
          </w:tcPr>
          <w:p w14:paraId="1557FB49" w14:textId="77777777" w:rsidR="00A606D9" w:rsidRPr="003B11BD" w:rsidRDefault="00A606D9" w:rsidP="00A606D9">
            <w:pPr>
              <w:pStyle w:val="Tabletext"/>
              <w:framePr w:wrap="around"/>
              <w:rPr>
                <w:noProof/>
                <w:lang w:val="en-IE"/>
              </w:rPr>
            </w:pPr>
            <w:r w:rsidRPr="003B11BD">
              <w:rPr>
                <w:noProof/>
                <w:lang w:val="en-IE"/>
              </w:rPr>
              <w:t>All</w:t>
            </w:r>
          </w:p>
        </w:tc>
        <w:tc>
          <w:tcPr>
            <w:tcW w:w="2675" w:type="dxa"/>
            <w:shd w:val="clear" w:color="auto" w:fill="C6D9F1" w:themeFill="text2" w:themeFillTint="33"/>
          </w:tcPr>
          <w:p w14:paraId="6B4FEE44" w14:textId="1758FA81" w:rsidR="00A606D9" w:rsidRPr="003B11BD" w:rsidRDefault="00A606D9" w:rsidP="00A606D9">
            <w:pPr>
              <w:pStyle w:val="Tabletext"/>
              <w:framePr w:wrap="around"/>
              <w:rPr>
                <w:noProof/>
                <w:lang w:val="en-IE"/>
              </w:rPr>
            </w:pPr>
            <w:r w:rsidRPr="003B11BD">
              <w:rPr>
                <w:noProof/>
                <w:lang w:val="en-IE"/>
              </w:rPr>
              <w:t>46%</w:t>
            </w:r>
            <w:r w:rsidR="005677A5" w:rsidRPr="003B11BD">
              <w:rPr>
                <w:noProof/>
                <w:lang w:val="en-IE"/>
              </w:rPr>
              <w:t>,</w:t>
            </w:r>
            <w:r w:rsidRPr="003B11BD">
              <w:rPr>
                <w:noProof/>
                <w:lang w:val="en-IE"/>
              </w:rPr>
              <w:t xml:space="preserve"> N= 34</w:t>
            </w:r>
          </w:p>
        </w:tc>
        <w:tc>
          <w:tcPr>
            <w:tcW w:w="2475" w:type="dxa"/>
            <w:shd w:val="clear" w:color="auto" w:fill="C6D9F1" w:themeFill="text2" w:themeFillTint="33"/>
          </w:tcPr>
          <w:p w14:paraId="7474A33B" w14:textId="42A5C9EA" w:rsidR="00A606D9" w:rsidRPr="003B11BD" w:rsidRDefault="00A606D9" w:rsidP="00A606D9">
            <w:pPr>
              <w:pStyle w:val="Tabletext"/>
              <w:framePr w:wrap="around"/>
              <w:rPr>
                <w:noProof/>
                <w:lang w:val="en-IE"/>
              </w:rPr>
            </w:pPr>
            <w:r w:rsidRPr="003B11BD">
              <w:rPr>
                <w:noProof/>
                <w:lang w:val="en-IE"/>
              </w:rPr>
              <w:t>45%</w:t>
            </w:r>
            <w:r w:rsidR="005677A5" w:rsidRPr="003B11BD">
              <w:rPr>
                <w:noProof/>
                <w:lang w:val="en-IE"/>
              </w:rPr>
              <w:t>,</w:t>
            </w:r>
            <w:r w:rsidRPr="003B11BD">
              <w:rPr>
                <w:noProof/>
                <w:lang w:val="en-IE"/>
              </w:rPr>
              <w:t xml:space="preserve"> N= 33</w:t>
            </w:r>
          </w:p>
        </w:tc>
      </w:tr>
      <w:tr w:rsidR="00A606D9" w:rsidRPr="003B11BD" w14:paraId="66980A62" w14:textId="77777777" w:rsidTr="008902B3">
        <w:tc>
          <w:tcPr>
            <w:tcW w:w="2907" w:type="dxa"/>
            <w:shd w:val="clear" w:color="auto" w:fill="C6D9F1" w:themeFill="text2" w:themeFillTint="33"/>
          </w:tcPr>
          <w:p w14:paraId="58485C34" w14:textId="77777777" w:rsidR="00A606D9" w:rsidRPr="003B11BD" w:rsidRDefault="00A606D9" w:rsidP="00A606D9">
            <w:pPr>
              <w:pStyle w:val="Tabletext"/>
              <w:framePr w:wrap="around"/>
              <w:rPr>
                <w:noProof/>
                <w:lang w:val="en-IE"/>
              </w:rPr>
            </w:pPr>
            <w:r w:rsidRPr="003B11BD">
              <w:rPr>
                <w:noProof/>
                <w:lang w:val="en-IE"/>
              </w:rPr>
              <w:t>Company - Business association/ organisation</w:t>
            </w:r>
          </w:p>
        </w:tc>
        <w:tc>
          <w:tcPr>
            <w:tcW w:w="2675" w:type="dxa"/>
            <w:shd w:val="clear" w:color="auto" w:fill="C6D9F1" w:themeFill="text2" w:themeFillTint="33"/>
          </w:tcPr>
          <w:p w14:paraId="6B0617D8" w14:textId="4A009C92" w:rsidR="00A606D9" w:rsidRPr="003B11BD" w:rsidRDefault="00A606D9" w:rsidP="00A606D9">
            <w:pPr>
              <w:pStyle w:val="Tabletext"/>
              <w:framePr w:wrap="around"/>
              <w:rPr>
                <w:noProof/>
                <w:lang w:val="en-IE"/>
              </w:rPr>
            </w:pPr>
            <w:r w:rsidRPr="003B11BD">
              <w:rPr>
                <w:noProof/>
                <w:lang w:val="en-IE"/>
              </w:rPr>
              <w:t>12.5%</w:t>
            </w:r>
            <w:r w:rsidR="005677A5" w:rsidRPr="003B11BD">
              <w:rPr>
                <w:noProof/>
                <w:lang w:val="en-IE"/>
              </w:rPr>
              <w:t>,</w:t>
            </w:r>
            <w:r w:rsidRPr="003B11BD">
              <w:rPr>
                <w:noProof/>
                <w:lang w:val="en-IE"/>
              </w:rPr>
              <w:t xml:space="preserve"> N= 5</w:t>
            </w:r>
          </w:p>
        </w:tc>
        <w:tc>
          <w:tcPr>
            <w:tcW w:w="2475" w:type="dxa"/>
            <w:shd w:val="clear" w:color="auto" w:fill="C6D9F1" w:themeFill="text2" w:themeFillTint="33"/>
          </w:tcPr>
          <w:p w14:paraId="63CDBB51" w14:textId="05071039" w:rsidR="00A606D9" w:rsidRPr="003B11BD" w:rsidRDefault="00A606D9" w:rsidP="00A606D9">
            <w:pPr>
              <w:pStyle w:val="Tabletext"/>
              <w:framePr w:wrap="around"/>
              <w:rPr>
                <w:noProof/>
                <w:lang w:val="en-IE"/>
              </w:rPr>
            </w:pPr>
            <w:r w:rsidRPr="003B11BD">
              <w:rPr>
                <w:noProof/>
                <w:lang w:val="en-IE"/>
              </w:rPr>
              <w:t>10%</w:t>
            </w:r>
            <w:r w:rsidR="005677A5" w:rsidRPr="003B11BD">
              <w:rPr>
                <w:noProof/>
                <w:lang w:val="en-IE"/>
              </w:rPr>
              <w:t>,</w:t>
            </w:r>
            <w:r w:rsidRPr="003B11BD">
              <w:rPr>
                <w:noProof/>
                <w:lang w:val="en-IE"/>
              </w:rPr>
              <w:t xml:space="preserve"> N=</w:t>
            </w:r>
            <w:r w:rsidR="005677A5" w:rsidRPr="003B11BD">
              <w:rPr>
                <w:noProof/>
                <w:lang w:val="en-IE"/>
              </w:rPr>
              <w:t xml:space="preserve"> </w:t>
            </w:r>
            <w:r w:rsidRPr="003B11BD">
              <w:rPr>
                <w:noProof/>
                <w:lang w:val="en-IE"/>
              </w:rPr>
              <w:t>4</w:t>
            </w:r>
          </w:p>
        </w:tc>
      </w:tr>
      <w:tr w:rsidR="00A606D9" w:rsidRPr="003B11BD" w14:paraId="7580A06B" w14:textId="77777777" w:rsidTr="008902B3">
        <w:tc>
          <w:tcPr>
            <w:tcW w:w="2907" w:type="dxa"/>
            <w:shd w:val="clear" w:color="auto" w:fill="C6D9F1" w:themeFill="text2" w:themeFillTint="33"/>
          </w:tcPr>
          <w:p w14:paraId="71D34A62" w14:textId="77777777" w:rsidR="00A606D9" w:rsidRPr="003B11BD" w:rsidRDefault="00A606D9" w:rsidP="00A606D9">
            <w:pPr>
              <w:pStyle w:val="Tabletext"/>
              <w:framePr w:wrap="around"/>
              <w:rPr>
                <w:noProof/>
                <w:lang w:val="en-IE"/>
              </w:rPr>
            </w:pPr>
            <w:r w:rsidRPr="003B11BD">
              <w:rPr>
                <w:noProof/>
                <w:lang w:val="en-IE"/>
              </w:rPr>
              <w:t>NGOs</w:t>
            </w:r>
          </w:p>
        </w:tc>
        <w:tc>
          <w:tcPr>
            <w:tcW w:w="2675" w:type="dxa"/>
            <w:shd w:val="clear" w:color="auto" w:fill="C6D9F1" w:themeFill="text2" w:themeFillTint="33"/>
          </w:tcPr>
          <w:p w14:paraId="51D98A4F" w14:textId="62B91FF2" w:rsidR="00A606D9" w:rsidRPr="003B11BD" w:rsidRDefault="00A606D9" w:rsidP="00A606D9">
            <w:pPr>
              <w:pStyle w:val="Tabletext"/>
              <w:framePr w:wrap="around"/>
              <w:rPr>
                <w:noProof/>
                <w:lang w:val="en-IE"/>
              </w:rPr>
            </w:pPr>
            <w:r w:rsidRPr="003B11BD">
              <w:rPr>
                <w:noProof/>
                <w:lang w:val="en-IE"/>
              </w:rPr>
              <w:t>100%</w:t>
            </w:r>
            <w:r w:rsidR="005677A5" w:rsidRPr="003B11BD">
              <w:rPr>
                <w:noProof/>
                <w:lang w:val="en-IE"/>
              </w:rPr>
              <w:t>,</w:t>
            </w:r>
            <w:r w:rsidRPr="003B11BD">
              <w:rPr>
                <w:noProof/>
                <w:lang w:val="en-IE"/>
              </w:rPr>
              <w:t xml:space="preserve"> N= 6</w:t>
            </w:r>
          </w:p>
        </w:tc>
        <w:tc>
          <w:tcPr>
            <w:tcW w:w="2475" w:type="dxa"/>
            <w:shd w:val="clear" w:color="auto" w:fill="C6D9F1" w:themeFill="text2" w:themeFillTint="33"/>
          </w:tcPr>
          <w:p w14:paraId="219BEA84" w14:textId="1B9EE355" w:rsidR="00A606D9" w:rsidRPr="003B11BD" w:rsidRDefault="00A606D9" w:rsidP="00A606D9">
            <w:pPr>
              <w:pStyle w:val="Tabletext"/>
              <w:framePr w:wrap="around"/>
              <w:rPr>
                <w:noProof/>
                <w:lang w:val="en-IE"/>
              </w:rPr>
            </w:pPr>
            <w:r w:rsidRPr="003B11BD">
              <w:rPr>
                <w:noProof/>
                <w:lang w:val="en-IE"/>
              </w:rPr>
              <w:t>100%</w:t>
            </w:r>
            <w:r w:rsidR="005677A5" w:rsidRPr="003B11BD">
              <w:rPr>
                <w:noProof/>
                <w:lang w:val="en-IE"/>
              </w:rPr>
              <w:t>,</w:t>
            </w:r>
            <w:r w:rsidRPr="003B11BD">
              <w:rPr>
                <w:noProof/>
                <w:lang w:val="en-IE"/>
              </w:rPr>
              <w:t xml:space="preserve"> N= 6</w:t>
            </w:r>
          </w:p>
        </w:tc>
      </w:tr>
      <w:tr w:rsidR="00A606D9" w:rsidRPr="003B11BD" w14:paraId="7B2142B6" w14:textId="77777777" w:rsidTr="008902B3">
        <w:tc>
          <w:tcPr>
            <w:tcW w:w="2907" w:type="dxa"/>
            <w:shd w:val="clear" w:color="auto" w:fill="C6D9F1" w:themeFill="text2" w:themeFillTint="33"/>
          </w:tcPr>
          <w:p w14:paraId="62971A3C" w14:textId="77777777" w:rsidR="00A606D9" w:rsidRPr="003B11BD" w:rsidRDefault="00A606D9" w:rsidP="00A606D9">
            <w:pPr>
              <w:pStyle w:val="Tabletext"/>
              <w:framePr w:wrap="around"/>
              <w:rPr>
                <w:noProof/>
                <w:lang w:val="en-IE"/>
              </w:rPr>
            </w:pPr>
            <w:r w:rsidRPr="003B11BD">
              <w:rPr>
                <w:noProof/>
                <w:lang w:val="en-IE"/>
              </w:rPr>
              <w:t>Public authorities</w:t>
            </w:r>
          </w:p>
        </w:tc>
        <w:tc>
          <w:tcPr>
            <w:tcW w:w="2675" w:type="dxa"/>
            <w:shd w:val="clear" w:color="auto" w:fill="C6D9F1" w:themeFill="text2" w:themeFillTint="33"/>
          </w:tcPr>
          <w:p w14:paraId="59D66941" w14:textId="16D342C4" w:rsidR="00A606D9" w:rsidRPr="003B11BD" w:rsidRDefault="00A606D9" w:rsidP="00A606D9">
            <w:pPr>
              <w:pStyle w:val="Tabletext"/>
              <w:framePr w:wrap="around"/>
              <w:rPr>
                <w:noProof/>
                <w:lang w:val="en-IE"/>
              </w:rPr>
            </w:pPr>
            <w:r w:rsidRPr="003B11BD">
              <w:rPr>
                <w:noProof/>
                <w:lang w:val="en-IE"/>
              </w:rPr>
              <w:t>75%</w:t>
            </w:r>
            <w:r w:rsidR="005677A5" w:rsidRPr="003B11BD">
              <w:rPr>
                <w:noProof/>
                <w:lang w:val="en-IE"/>
              </w:rPr>
              <w:t>,</w:t>
            </w:r>
            <w:r w:rsidRPr="003B11BD">
              <w:rPr>
                <w:noProof/>
                <w:lang w:val="en-IE"/>
              </w:rPr>
              <w:t xml:space="preserve"> N= 3</w:t>
            </w:r>
          </w:p>
        </w:tc>
        <w:tc>
          <w:tcPr>
            <w:tcW w:w="2475" w:type="dxa"/>
            <w:shd w:val="clear" w:color="auto" w:fill="C6D9F1" w:themeFill="text2" w:themeFillTint="33"/>
          </w:tcPr>
          <w:p w14:paraId="1190CD50" w14:textId="594705CC" w:rsidR="00A606D9" w:rsidRPr="003B11BD" w:rsidRDefault="00A606D9" w:rsidP="00A606D9">
            <w:pPr>
              <w:pStyle w:val="Tabletext"/>
              <w:framePr w:wrap="around"/>
              <w:rPr>
                <w:noProof/>
                <w:lang w:val="en-IE"/>
              </w:rPr>
            </w:pPr>
            <w:r w:rsidRPr="003B11BD">
              <w:rPr>
                <w:noProof/>
                <w:lang w:val="en-IE"/>
              </w:rPr>
              <w:t>75%</w:t>
            </w:r>
            <w:r w:rsidR="005677A5" w:rsidRPr="003B11BD">
              <w:rPr>
                <w:noProof/>
                <w:lang w:val="en-IE"/>
              </w:rPr>
              <w:t>,</w:t>
            </w:r>
            <w:r w:rsidRPr="003B11BD">
              <w:rPr>
                <w:noProof/>
                <w:lang w:val="en-IE"/>
              </w:rPr>
              <w:t xml:space="preserve"> N= 3</w:t>
            </w:r>
          </w:p>
        </w:tc>
      </w:tr>
      <w:tr w:rsidR="00A606D9" w:rsidRPr="003B11BD" w14:paraId="74053E46" w14:textId="77777777" w:rsidTr="008902B3">
        <w:tc>
          <w:tcPr>
            <w:tcW w:w="2907" w:type="dxa"/>
            <w:shd w:val="clear" w:color="auto" w:fill="C6D9F1" w:themeFill="text2" w:themeFillTint="33"/>
          </w:tcPr>
          <w:p w14:paraId="4609395A" w14:textId="77777777" w:rsidR="00A606D9" w:rsidRPr="003B11BD" w:rsidRDefault="00A606D9" w:rsidP="00A606D9">
            <w:pPr>
              <w:pStyle w:val="Tabletext"/>
              <w:framePr w:wrap="around"/>
              <w:rPr>
                <w:noProof/>
                <w:lang w:val="en-IE"/>
              </w:rPr>
            </w:pPr>
            <w:r w:rsidRPr="003B11BD">
              <w:rPr>
                <w:noProof/>
                <w:lang w:val="en-IE"/>
              </w:rPr>
              <w:t>Academic/ research institution</w:t>
            </w:r>
          </w:p>
        </w:tc>
        <w:tc>
          <w:tcPr>
            <w:tcW w:w="2675" w:type="dxa"/>
            <w:shd w:val="clear" w:color="auto" w:fill="C6D9F1" w:themeFill="text2" w:themeFillTint="33"/>
          </w:tcPr>
          <w:p w14:paraId="6AEA07A3" w14:textId="2EB4834B" w:rsidR="00A606D9" w:rsidRPr="003B11BD" w:rsidRDefault="00A606D9" w:rsidP="00A606D9">
            <w:pPr>
              <w:pStyle w:val="Tabletext"/>
              <w:framePr w:wrap="around"/>
              <w:rPr>
                <w:noProof/>
                <w:lang w:val="en-IE"/>
              </w:rPr>
            </w:pPr>
            <w:r w:rsidRPr="003B11BD">
              <w:rPr>
                <w:noProof/>
                <w:lang w:val="en-IE"/>
              </w:rPr>
              <w:t>80%</w:t>
            </w:r>
            <w:r w:rsidR="005677A5" w:rsidRPr="003B11BD">
              <w:rPr>
                <w:noProof/>
                <w:lang w:val="en-IE"/>
              </w:rPr>
              <w:t>,</w:t>
            </w:r>
            <w:r w:rsidRPr="003B11BD">
              <w:rPr>
                <w:noProof/>
                <w:lang w:val="en-IE"/>
              </w:rPr>
              <w:t xml:space="preserve"> N= 4</w:t>
            </w:r>
          </w:p>
        </w:tc>
        <w:tc>
          <w:tcPr>
            <w:tcW w:w="2475" w:type="dxa"/>
            <w:shd w:val="clear" w:color="auto" w:fill="C6D9F1" w:themeFill="text2" w:themeFillTint="33"/>
          </w:tcPr>
          <w:p w14:paraId="2F33DF2B" w14:textId="345E8BA6" w:rsidR="00A606D9" w:rsidRPr="003B11BD" w:rsidRDefault="00A606D9" w:rsidP="00A606D9">
            <w:pPr>
              <w:pStyle w:val="Tabletext"/>
              <w:framePr w:wrap="around"/>
              <w:rPr>
                <w:noProof/>
                <w:lang w:val="en-IE"/>
              </w:rPr>
            </w:pPr>
            <w:r w:rsidRPr="003B11BD">
              <w:rPr>
                <w:noProof/>
                <w:lang w:val="en-IE"/>
              </w:rPr>
              <w:t>100%</w:t>
            </w:r>
            <w:r w:rsidR="005677A5" w:rsidRPr="003B11BD">
              <w:rPr>
                <w:noProof/>
                <w:lang w:val="en-IE"/>
              </w:rPr>
              <w:t>,</w:t>
            </w:r>
            <w:r w:rsidRPr="003B11BD">
              <w:rPr>
                <w:noProof/>
                <w:lang w:val="en-IE"/>
              </w:rPr>
              <w:t xml:space="preserve"> N= 5</w:t>
            </w:r>
          </w:p>
        </w:tc>
      </w:tr>
    </w:tbl>
    <w:p w14:paraId="3EBF9709" w14:textId="071DEFFD" w:rsidR="00A606D9" w:rsidRPr="003B11BD" w:rsidRDefault="00A606D9" w:rsidP="00A606D9">
      <w:pPr>
        <w:pStyle w:val="Caption"/>
        <w:rPr>
          <w:noProof/>
          <w:lang w:val="en-IE"/>
        </w:rPr>
      </w:pPr>
      <w:r w:rsidRPr="003B11BD">
        <w:rPr>
          <w:noProof/>
          <w:lang w:val="en-IE"/>
        </w:rPr>
        <w:t>Source: OPC</w:t>
      </w:r>
      <w:r w:rsidR="001B3289" w:rsidRPr="003B11BD">
        <w:rPr>
          <w:noProof/>
          <w:lang w:val="en-IE"/>
        </w:rPr>
        <w:t>¸ total number of replies N=74</w:t>
      </w:r>
    </w:p>
    <w:bookmarkEnd w:id="1159"/>
    <w:p w14:paraId="0B2AB60A" w14:textId="5F2370C3" w:rsidR="64FBBA26" w:rsidRPr="003B11BD" w:rsidRDefault="00BF7E83">
      <w:pPr>
        <w:spacing w:after="200" w:line="276" w:lineRule="auto"/>
        <w:jc w:val="left"/>
        <w:rPr>
          <w:noProof/>
          <w:lang w:val="en-IE"/>
        </w:rPr>
      </w:pPr>
      <w:r w:rsidRPr="003B11BD">
        <w:rPr>
          <w:noProof/>
          <w:lang w:val="en-IE"/>
        </w:rPr>
        <w:br w:type="page"/>
      </w:r>
    </w:p>
    <w:p w14:paraId="654A6088" w14:textId="37D813C4" w:rsidR="00E36019" w:rsidRPr="003B11BD" w:rsidRDefault="00B30437" w:rsidP="00B30437">
      <w:pPr>
        <w:pStyle w:val="Caption"/>
        <w:rPr>
          <w:noProof/>
          <w:lang w:val="en-IE"/>
        </w:rPr>
      </w:pPr>
      <w:bookmarkStart w:id="1163" w:name="_Ref122440482"/>
      <w:r w:rsidRPr="003B11BD">
        <w:rPr>
          <w:noProof/>
          <w:lang w:val="en-IE"/>
        </w:rPr>
        <w:t xml:space="preserve">Figure </w:t>
      </w:r>
      <w:r w:rsidR="00C6592A">
        <w:rPr>
          <w:noProof/>
          <w:lang w:val="en-IE"/>
        </w:rPr>
        <w:t>19</w:t>
      </w:r>
      <w:bookmarkEnd w:id="1163"/>
      <w:r w:rsidRPr="003B11BD">
        <w:rPr>
          <w:noProof/>
          <w:lang w:val="en-IE"/>
        </w:rPr>
        <w:t xml:space="preserve">: </w:t>
      </w:r>
      <w:r w:rsidR="00C44BA9" w:rsidRPr="003B11BD">
        <w:rPr>
          <w:noProof/>
          <w:lang w:val="en-IE"/>
        </w:rPr>
        <w:t>Detailed scheme describing the procedural steps foreseen under Option 2</w:t>
      </w:r>
    </w:p>
    <w:p w14:paraId="70E460DE" w14:textId="38CD063A" w:rsidR="00B30437" w:rsidRPr="003B11BD" w:rsidRDefault="00204A85" w:rsidP="00B30437">
      <w:pPr>
        <w:rPr>
          <w:noProof/>
          <w:lang w:val="en-IE" w:eastAsia="en-GB"/>
        </w:rPr>
      </w:pPr>
      <w:r w:rsidRPr="003B11BD">
        <w:rPr>
          <w:noProof/>
          <w:lang w:eastAsia="en-GB"/>
        </w:rPr>
        <w:drawing>
          <wp:inline distT="0" distB="0" distL="0" distR="0" wp14:anchorId="69685E9B" wp14:editId="185451D6">
            <wp:extent cx="5400000" cy="276120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0" cy="2761200"/>
                    </a:xfrm>
                    <a:prstGeom prst="rect">
                      <a:avLst/>
                    </a:prstGeom>
                    <a:noFill/>
                  </pic:spPr>
                </pic:pic>
              </a:graphicData>
            </a:graphic>
          </wp:inline>
        </w:drawing>
      </w:r>
    </w:p>
    <w:p w14:paraId="4ADE6124" w14:textId="77777777" w:rsidR="00ED5FC4" w:rsidRPr="003B11BD" w:rsidRDefault="00ED5FC4">
      <w:pPr>
        <w:spacing w:after="200" w:line="276" w:lineRule="auto"/>
        <w:jc w:val="left"/>
        <w:rPr>
          <w:noProof/>
          <w:lang w:val="en-IE" w:eastAsia="en-GB"/>
        </w:rPr>
      </w:pPr>
    </w:p>
    <w:p w14:paraId="7CABA77C" w14:textId="77777777" w:rsidR="00ED5FC4" w:rsidRPr="003B11BD" w:rsidRDefault="00ED5FC4">
      <w:pPr>
        <w:spacing w:after="200" w:line="276" w:lineRule="auto"/>
        <w:jc w:val="left"/>
        <w:rPr>
          <w:noProof/>
          <w:lang w:val="en-IE" w:eastAsia="en-GB"/>
        </w:rPr>
      </w:pPr>
      <w:r w:rsidRPr="003B11BD">
        <w:rPr>
          <w:noProof/>
          <w:lang w:val="en-IE" w:eastAsia="en-GB"/>
        </w:rPr>
        <w:br w:type="page"/>
      </w:r>
    </w:p>
    <w:p w14:paraId="1D5D0BC2" w14:textId="4AA2CAFE" w:rsidR="00C44BA9" w:rsidRPr="003B11BD" w:rsidRDefault="00E87441" w:rsidP="00E87441">
      <w:pPr>
        <w:pStyle w:val="Caption"/>
        <w:rPr>
          <w:noProof/>
          <w:lang w:val="en-IE" w:eastAsia="en-GB"/>
        </w:rPr>
      </w:pPr>
      <w:bookmarkStart w:id="1164" w:name="_Ref122443571"/>
      <w:r w:rsidRPr="003B11BD">
        <w:rPr>
          <w:noProof/>
          <w:lang w:val="en-IE"/>
        </w:rPr>
        <w:t xml:space="preserve">Figure </w:t>
      </w:r>
      <w:r w:rsidR="00C6592A">
        <w:rPr>
          <w:noProof/>
          <w:lang w:val="en-IE"/>
        </w:rPr>
        <w:t>20</w:t>
      </w:r>
      <w:bookmarkEnd w:id="1164"/>
      <w:r w:rsidR="0074455C" w:rsidRPr="003B11BD">
        <w:rPr>
          <w:noProof/>
          <w:lang w:val="en-IE"/>
        </w:rPr>
        <w:t xml:space="preserve">: </w:t>
      </w:r>
      <w:r w:rsidRPr="003B11BD">
        <w:rPr>
          <w:noProof/>
          <w:lang w:val="en-IE"/>
        </w:rPr>
        <w:t>Detailed scheme describing the procedural steps foreseen under Option 3</w:t>
      </w:r>
    </w:p>
    <w:p w14:paraId="03180120" w14:textId="2C2C4B13" w:rsidR="009B0601" w:rsidRPr="003B11BD" w:rsidRDefault="00C36F29" w:rsidP="009B0601">
      <w:pPr>
        <w:rPr>
          <w:noProof/>
          <w:lang w:val="en-IE"/>
        </w:rPr>
      </w:pPr>
      <w:r w:rsidRPr="003B11BD">
        <w:rPr>
          <w:noProof/>
          <w:lang w:eastAsia="en-GB"/>
        </w:rPr>
        <w:drawing>
          <wp:inline distT="0" distB="0" distL="0" distR="0" wp14:anchorId="32721D95" wp14:editId="149F2532">
            <wp:extent cx="5400000" cy="28692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00000" cy="2869200"/>
                    </a:xfrm>
                    <a:prstGeom prst="rect">
                      <a:avLst/>
                    </a:prstGeom>
                    <a:noFill/>
                  </pic:spPr>
                </pic:pic>
              </a:graphicData>
            </a:graphic>
          </wp:inline>
        </w:drawing>
      </w:r>
    </w:p>
    <w:p w14:paraId="13B434F0" w14:textId="77777777" w:rsidR="00ED5FC4" w:rsidRPr="003B11BD" w:rsidRDefault="00ED5FC4" w:rsidP="00ED5FC4">
      <w:pPr>
        <w:pStyle w:val="Caption"/>
        <w:rPr>
          <w:noProof/>
          <w:lang w:val="en-IE"/>
        </w:rPr>
      </w:pPr>
    </w:p>
    <w:p w14:paraId="02CE1FCC" w14:textId="0CE527B1" w:rsidR="00ED5FC4" w:rsidRPr="003B11BD" w:rsidRDefault="00ED5FC4" w:rsidP="00ED5FC4">
      <w:pPr>
        <w:pStyle w:val="Caption"/>
        <w:rPr>
          <w:noProof/>
          <w:lang w:val="en-IE" w:eastAsia="en-GB"/>
        </w:rPr>
      </w:pPr>
      <w:bookmarkStart w:id="1165" w:name="_Ref123586607"/>
      <w:r w:rsidRPr="003B11BD">
        <w:rPr>
          <w:noProof/>
          <w:lang w:val="en-IE"/>
        </w:rPr>
        <w:t xml:space="preserve">Figure </w:t>
      </w:r>
      <w:r w:rsidR="00C6592A">
        <w:rPr>
          <w:noProof/>
          <w:lang w:val="en-IE"/>
        </w:rPr>
        <w:t>21</w:t>
      </w:r>
      <w:bookmarkEnd w:id="1165"/>
      <w:r w:rsidRPr="003B11BD">
        <w:rPr>
          <w:noProof/>
          <w:lang w:val="en-IE"/>
        </w:rPr>
        <w:t xml:space="preserve">: </w:t>
      </w:r>
      <w:r w:rsidRPr="003B11BD">
        <w:rPr>
          <w:noProof/>
          <w:lang w:val="en-IE" w:eastAsia="en-GB"/>
        </w:rPr>
        <w:t xml:space="preserve">Detailed scheme describing the procedural steps </w:t>
      </w:r>
      <w:r w:rsidR="00D83CF4" w:rsidRPr="003B11BD">
        <w:rPr>
          <w:noProof/>
          <w:lang w:val="en-IE" w:eastAsia="en-GB"/>
        </w:rPr>
        <w:t>foreseen under Option 3 (e</w:t>
      </w:r>
      <w:r w:rsidRPr="003B11BD">
        <w:rPr>
          <w:noProof/>
          <w:lang w:val="en-IE" w:eastAsia="en-GB"/>
        </w:rPr>
        <w:t>xport)</w:t>
      </w:r>
    </w:p>
    <w:p w14:paraId="1F1F25E7" w14:textId="63B84FCF" w:rsidR="00ED5FC4" w:rsidRPr="003B11BD" w:rsidRDefault="7D5E83B8" w:rsidP="4A64553B">
      <w:pPr>
        <w:spacing w:after="200" w:line="276" w:lineRule="auto"/>
        <w:jc w:val="left"/>
        <w:rPr>
          <w:noProof/>
          <w:lang w:val="en-IE"/>
        </w:rPr>
      </w:pPr>
      <w:r w:rsidRPr="003B11BD">
        <w:rPr>
          <w:noProof/>
          <w:lang w:eastAsia="en-GB"/>
        </w:rPr>
        <w:drawing>
          <wp:inline distT="0" distB="0" distL="0" distR="0" wp14:anchorId="61295E1F" wp14:editId="39CA9821">
            <wp:extent cx="5286375" cy="3057525"/>
            <wp:effectExtent l="0" t="0" r="0" b="0"/>
            <wp:docPr id="1218824552" name="Picture 121882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824552"/>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86375" cy="3057525"/>
                    </a:xfrm>
                    <a:prstGeom prst="rect">
                      <a:avLst/>
                    </a:prstGeom>
                  </pic:spPr>
                </pic:pic>
              </a:graphicData>
            </a:graphic>
          </wp:inline>
        </w:drawing>
      </w:r>
    </w:p>
    <w:p w14:paraId="4B494DF1" w14:textId="63B84FCF" w:rsidR="006009CA" w:rsidRPr="003B11BD" w:rsidRDefault="006009CA" w:rsidP="006009CA">
      <w:pPr>
        <w:pStyle w:val="Caption"/>
        <w:rPr>
          <w:noProof/>
          <w:lang w:val="en-IE" w:eastAsia="en-GB"/>
        </w:rPr>
      </w:pPr>
      <w:r w:rsidRPr="003B11BD">
        <w:rPr>
          <w:noProof/>
          <w:lang w:val="en-IE" w:eastAsia="en-GB"/>
        </w:rPr>
        <w:t xml:space="preserve">Note: AC – advisory committee, COM – the Commission, MS – Member State. </w:t>
      </w:r>
    </w:p>
    <w:p w14:paraId="1427E314" w14:textId="77777777" w:rsidR="00ED5FC4" w:rsidRPr="003B11BD" w:rsidRDefault="00ED5FC4" w:rsidP="00ED5FC4">
      <w:pPr>
        <w:rPr>
          <w:noProof/>
          <w:color w:val="1F497D" w:themeColor="text2"/>
          <w:sz w:val="18"/>
          <w:szCs w:val="18"/>
          <w:lang w:val="en-IE"/>
        </w:rPr>
      </w:pPr>
      <w:r w:rsidRPr="003B11BD">
        <w:rPr>
          <w:noProof/>
          <w:lang w:val="en-IE"/>
        </w:rPr>
        <w:br w:type="page"/>
      </w:r>
    </w:p>
    <w:p w14:paraId="3D1DF751" w14:textId="2F805005" w:rsidR="009B0601" w:rsidRPr="003B11BD" w:rsidRDefault="009B0601" w:rsidP="009B0601">
      <w:pPr>
        <w:pStyle w:val="Caption"/>
        <w:rPr>
          <w:noProof/>
          <w:lang w:val="en-IE"/>
        </w:rPr>
      </w:pPr>
      <w:bookmarkStart w:id="1166" w:name="_Ref123586570"/>
      <w:r w:rsidRPr="003B11BD">
        <w:rPr>
          <w:noProof/>
          <w:lang w:val="en-IE"/>
        </w:rPr>
        <w:t xml:space="preserve">Figure </w:t>
      </w:r>
      <w:r w:rsidR="00C6592A">
        <w:rPr>
          <w:noProof/>
          <w:lang w:val="en-IE"/>
        </w:rPr>
        <w:t>22</w:t>
      </w:r>
      <w:bookmarkEnd w:id="1166"/>
      <w:r w:rsidRPr="003B11BD">
        <w:rPr>
          <w:noProof/>
          <w:lang w:val="en-IE"/>
        </w:rPr>
        <w:t>: Detailed scheme describing the procedural steps foreseen under Option 4</w:t>
      </w:r>
    </w:p>
    <w:p w14:paraId="22F559A9" w14:textId="66F31886" w:rsidR="009E6855" w:rsidRPr="003B11BD" w:rsidRDefault="009E6855" w:rsidP="009B0601">
      <w:pPr>
        <w:rPr>
          <w:noProof/>
          <w:lang w:val="en-IE"/>
        </w:rPr>
      </w:pPr>
      <w:r w:rsidRPr="003B11BD">
        <w:rPr>
          <w:noProof/>
          <w:lang w:eastAsia="en-GB"/>
        </w:rPr>
        <w:drawing>
          <wp:inline distT="0" distB="0" distL="0" distR="0" wp14:anchorId="2F2CCB79" wp14:editId="58BEFBA4">
            <wp:extent cx="5403600" cy="2952000"/>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3600" cy="2952000"/>
                    </a:xfrm>
                    <a:prstGeom prst="rect">
                      <a:avLst/>
                    </a:prstGeom>
                    <a:noFill/>
                  </pic:spPr>
                </pic:pic>
              </a:graphicData>
            </a:graphic>
          </wp:inline>
        </w:drawing>
      </w:r>
    </w:p>
    <w:p w14:paraId="3F0511D9" w14:textId="77777777" w:rsidR="009213A3" w:rsidRPr="003B11BD" w:rsidRDefault="009213A3" w:rsidP="00ED5FC4">
      <w:pPr>
        <w:pStyle w:val="Caption"/>
        <w:rPr>
          <w:noProof/>
          <w:lang w:val="en-IE"/>
        </w:rPr>
      </w:pPr>
      <w:bookmarkStart w:id="1167" w:name="_Ref123586538"/>
    </w:p>
    <w:p w14:paraId="1E17576B" w14:textId="77777777" w:rsidR="009213A3" w:rsidRPr="003B11BD" w:rsidRDefault="009213A3" w:rsidP="00ED5FC4">
      <w:pPr>
        <w:pStyle w:val="Caption"/>
        <w:rPr>
          <w:noProof/>
          <w:lang w:val="en-IE"/>
        </w:rPr>
      </w:pPr>
    </w:p>
    <w:p w14:paraId="5A6A7A0B" w14:textId="2A6D65C6" w:rsidR="00C44BA9" w:rsidRPr="003B11BD" w:rsidRDefault="00ED5FC4" w:rsidP="00ED5FC4">
      <w:pPr>
        <w:pStyle w:val="Caption"/>
        <w:rPr>
          <w:noProof/>
          <w:lang w:val="en-IE" w:eastAsia="en-GB"/>
        </w:rPr>
      </w:pPr>
      <w:r w:rsidRPr="003B11BD">
        <w:rPr>
          <w:noProof/>
          <w:lang w:val="en-IE"/>
        </w:rPr>
        <w:t xml:space="preserve">Figure </w:t>
      </w:r>
      <w:r w:rsidR="00C6592A">
        <w:rPr>
          <w:noProof/>
          <w:lang w:val="en-IE"/>
        </w:rPr>
        <w:t>23</w:t>
      </w:r>
      <w:bookmarkEnd w:id="1167"/>
      <w:r w:rsidRPr="003B11BD">
        <w:rPr>
          <w:noProof/>
          <w:lang w:val="en-IE"/>
        </w:rPr>
        <w:t>:</w:t>
      </w:r>
      <w:r w:rsidR="352D8F15" w:rsidRPr="003B11BD">
        <w:rPr>
          <w:noProof/>
          <w:lang w:val="en-IE" w:eastAsia="en-GB"/>
        </w:rPr>
        <w:t xml:space="preserve"> Detailed scheme describing the </w:t>
      </w:r>
      <w:r w:rsidR="253BB008" w:rsidRPr="003B11BD">
        <w:rPr>
          <w:noProof/>
          <w:lang w:val="en-IE" w:eastAsia="en-GB"/>
        </w:rPr>
        <w:t xml:space="preserve">procedural steps </w:t>
      </w:r>
      <w:r w:rsidR="00D83CF4" w:rsidRPr="003B11BD">
        <w:rPr>
          <w:noProof/>
          <w:lang w:val="en-IE" w:eastAsia="en-GB"/>
        </w:rPr>
        <w:t>foreseen</w:t>
      </w:r>
      <w:r w:rsidR="253BB008" w:rsidRPr="003B11BD">
        <w:rPr>
          <w:noProof/>
          <w:lang w:val="en-IE" w:eastAsia="en-GB"/>
        </w:rPr>
        <w:t xml:space="preserve"> under Option 4 </w:t>
      </w:r>
      <w:r w:rsidR="00D83CF4" w:rsidRPr="003B11BD">
        <w:rPr>
          <w:noProof/>
          <w:lang w:val="en-IE" w:eastAsia="en-GB"/>
        </w:rPr>
        <w:t>(e</w:t>
      </w:r>
      <w:r w:rsidR="253BB008" w:rsidRPr="003B11BD">
        <w:rPr>
          <w:noProof/>
          <w:lang w:val="en-IE" w:eastAsia="en-GB"/>
        </w:rPr>
        <w:t>xport)</w:t>
      </w:r>
    </w:p>
    <w:p w14:paraId="0D0E6D33" w14:textId="18322245" w:rsidR="4E0334D9" w:rsidRPr="003B11BD" w:rsidRDefault="6F23EBE1" w:rsidP="4A64553B">
      <w:pPr>
        <w:rPr>
          <w:noProof/>
          <w:lang w:val="en-IE"/>
        </w:rPr>
      </w:pPr>
      <w:r w:rsidRPr="003B11BD">
        <w:rPr>
          <w:noProof/>
          <w:lang w:eastAsia="en-GB"/>
        </w:rPr>
        <w:drawing>
          <wp:inline distT="0" distB="0" distL="0" distR="0" wp14:anchorId="3C1213CB" wp14:editId="3A586A64">
            <wp:extent cx="5276850" cy="3181350"/>
            <wp:effectExtent l="0" t="0" r="0" b="0"/>
            <wp:docPr id="868552645" name="Picture 86855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276850" cy="3181350"/>
                    </a:xfrm>
                    <a:prstGeom prst="rect">
                      <a:avLst/>
                    </a:prstGeom>
                  </pic:spPr>
                </pic:pic>
              </a:graphicData>
            </a:graphic>
          </wp:inline>
        </w:drawing>
      </w:r>
    </w:p>
    <w:p w14:paraId="2F3462AB" w14:textId="69745ED9" w:rsidR="603D7C39" w:rsidRPr="003B11BD" w:rsidRDefault="006009CA" w:rsidP="006009CA">
      <w:pPr>
        <w:pStyle w:val="Caption"/>
        <w:rPr>
          <w:noProof/>
          <w:lang w:val="en-IE" w:eastAsia="en-GB"/>
        </w:rPr>
      </w:pPr>
      <w:r w:rsidRPr="003B11BD">
        <w:rPr>
          <w:noProof/>
          <w:lang w:val="en-IE" w:eastAsia="en-GB"/>
        </w:rPr>
        <w:t xml:space="preserve">Note: AC – advisory committee, COM – the Commission, MS – Member State. </w:t>
      </w:r>
    </w:p>
    <w:p w14:paraId="74922BFB" w14:textId="77777777" w:rsidR="00C44BA9" w:rsidRPr="003B11BD" w:rsidRDefault="00C44BA9" w:rsidP="00B30437">
      <w:pPr>
        <w:rPr>
          <w:noProof/>
          <w:lang w:val="en-IE"/>
        </w:rPr>
      </w:pPr>
    </w:p>
    <w:p w14:paraId="7AF752A4" w14:textId="77777777" w:rsidR="00C2149B" w:rsidRPr="003B11BD" w:rsidRDefault="00C2149B" w:rsidP="007B63E8">
      <w:pPr>
        <w:pStyle w:val="Caption"/>
        <w:rPr>
          <w:noProof/>
          <w:lang w:val="en-IE"/>
        </w:rPr>
      </w:pPr>
      <w:bookmarkStart w:id="1168" w:name="_Ref121472047"/>
      <w:bookmarkStart w:id="1169" w:name="_Ref121733313"/>
      <w:bookmarkEnd w:id="1160"/>
    </w:p>
    <w:p w14:paraId="5A433718" w14:textId="77777777" w:rsidR="00C2149B" w:rsidRPr="003B11BD" w:rsidRDefault="00C2149B" w:rsidP="00C2149B">
      <w:pPr>
        <w:rPr>
          <w:noProof/>
          <w:color w:val="1F497D" w:themeColor="text2"/>
          <w:sz w:val="18"/>
          <w:szCs w:val="18"/>
          <w:lang w:val="en-IE"/>
        </w:rPr>
      </w:pPr>
      <w:r w:rsidRPr="003B11BD">
        <w:rPr>
          <w:noProof/>
          <w:lang w:val="en-IE"/>
        </w:rPr>
        <w:br w:type="page"/>
      </w:r>
    </w:p>
    <w:p w14:paraId="7727CDB2" w14:textId="3620C8A3" w:rsidR="007B63E8" w:rsidRPr="003B11BD" w:rsidRDefault="007B63E8" w:rsidP="007B63E8">
      <w:pPr>
        <w:pStyle w:val="Caption"/>
        <w:rPr>
          <w:noProof/>
          <w:lang w:val="en-IE"/>
        </w:rPr>
      </w:pPr>
      <w:r w:rsidRPr="003B11BD">
        <w:rPr>
          <w:noProof/>
          <w:lang w:val="en-IE"/>
        </w:rPr>
        <w:t xml:space="preserve">Figure </w:t>
      </w:r>
      <w:bookmarkEnd w:id="1168"/>
      <w:r w:rsidR="00C6592A">
        <w:rPr>
          <w:noProof/>
          <w:lang w:val="en-IE"/>
        </w:rPr>
        <w:t>24</w:t>
      </w:r>
      <w:bookmarkEnd w:id="1169"/>
      <w:r w:rsidR="003928F5" w:rsidRPr="003B11BD">
        <w:rPr>
          <w:noProof/>
          <w:lang w:val="en-IE"/>
        </w:rPr>
        <w:t xml:space="preserve">: </w:t>
      </w:r>
      <w:r w:rsidR="0002460C" w:rsidRPr="003B11BD">
        <w:rPr>
          <w:noProof/>
          <w:lang w:val="en-IE"/>
        </w:rPr>
        <w:t>T</w:t>
      </w:r>
      <w:r w:rsidR="003928F5" w:rsidRPr="003B11BD">
        <w:rPr>
          <w:noProof/>
          <w:lang w:val="en-IE"/>
        </w:rPr>
        <w:t>ypology</w:t>
      </w:r>
      <w:r w:rsidRPr="003B11BD">
        <w:rPr>
          <w:noProof/>
          <w:lang w:val="en-IE"/>
        </w:rPr>
        <w:t xml:space="preserve"> of impact </w:t>
      </w:r>
      <w:r w:rsidR="003928F5" w:rsidRPr="003B11BD">
        <w:rPr>
          <w:noProof/>
          <w:lang w:val="en-IE"/>
        </w:rPr>
        <w:t xml:space="preserve">considered in this impact assessment </w:t>
      </w:r>
      <w:r w:rsidRPr="003B11BD">
        <w:rPr>
          <w:noProof/>
          <w:lang w:val="en-IE"/>
        </w:rPr>
        <w:t xml:space="preserve"> </w:t>
      </w:r>
    </w:p>
    <w:p w14:paraId="383E559C" w14:textId="64066508" w:rsidR="003928F5" w:rsidRPr="003B11BD" w:rsidRDefault="00C300DA" w:rsidP="0002460C">
      <w:pPr>
        <w:jc w:val="center"/>
        <w:rPr>
          <w:noProof/>
          <w:lang w:val="en-IE"/>
        </w:rPr>
      </w:pPr>
      <w:r w:rsidRPr="003B11BD">
        <w:rPr>
          <w:noProof/>
          <w:lang w:eastAsia="en-GB"/>
        </w:rPr>
        <w:drawing>
          <wp:inline distT="0" distB="0" distL="0" distR="0" wp14:anchorId="2D411058" wp14:editId="5C46487E">
            <wp:extent cx="5396400" cy="187920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6400" cy="1879200"/>
                    </a:xfrm>
                    <a:prstGeom prst="rect">
                      <a:avLst/>
                    </a:prstGeom>
                    <a:noFill/>
                  </pic:spPr>
                </pic:pic>
              </a:graphicData>
            </a:graphic>
          </wp:inline>
        </w:drawing>
      </w:r>
    </w:p>
    <w:p w14:paraId="67B63143" w14:textId="628040D1" w:rsidR="00C300DA" w:rsidRPr="003B11BD" w:rsidRDefault="00C300DA" w:rsidP="00C300DA">
      <w:pPr>
        <w:pStyle w:val="Caption"/>
        <w:rPr>
          <w:noProof/>
          <w:lang w:val="en-IE"/>
        </w:rPr>
      </w:pPr>
      <w:r w:rsidRPr="003B11BD">
        <w:rPr>
          <w:noProof/>
          <w:lang w:val="en-IE"/>
        </w:rPr>
        <w:t>Source: own elaborations</w:t>
      </w:r>
    </w:p>
    <w:p w14:paraId="785B2025" w14:textId="4C1B3B69" w:rsidR="004003BB" w:rsidRPr="003B11BD" w:rsidRDefault="004003BB" w:rsidP="00FC6D56">
      <w:pPr>
        <w:pStyle w:val="AnnexTitle"/>
        <w:rPr>
          <w:noProof/>
        </w:rPr>
      </w:pPr>
      <w:bookmarkStart w:id="1170" w:name="_Toc120731256"/>
      <w:bookmarkStart w:id="1171" w:name="_Toc121386419"/>
      <w:bookmarkStart w:id="1172" w:name="_Toc121489643"/>
      <w:bookmarkStart w:id="1173" w:name="_Toc121496410"/>
      <w:bookmarkStart w:id="1174" w:name="_Toc121748056"/>
      <w:bookmarkStart w:id="1175" w:name="_Toc133435407"/>
      <w:r w:rsidRPr="003B11BD">
        <w:rPr>
          <w:noProof/>
        </w:rPr>
        <w:t xml:space="preserve">Annex </w:t>
      </w:r>
      <w:r w:rsidR="00C2149B" w:rsidRPr="003B11BD">
        <w:rPr>
          <w:noProof/>
        </w:rPr>
        <w:t xml:space="preserve">7: </w:t>
      </w:r>
      <w:r w:rsidRPr="003B11BD">
        <w:rPr>
          <w:noProof/>
        </w:rPr>
        <w:t>Supplementary legal analysis</w:t>
      </w:r>
      <w:r w:rsidR="00B50961" w:rsidRPr="003B11BD">
        <w:rPr>
          <w:noProof/>
        </w:rPr>
        <w:t>: t</w:t>
      </w:r>
      <w:r w:rsidR="481AE56D" w:rsidRPr="003B11BD">
        <w:rPr>
          <w:noProof/>
        </w:rPr>
        <w:t>he principle of exhaustion</w:t>
      </w:r>
      <w:r w:rsidR="5801A0B0" w:rsidRPr="003B11BD">
        <w:rPr>
          <w:noProof/>
        </w:rPr>
        <w:t xml:space="preserve"> in the </w:t>
      </w:r>
      <w:bookmarkEnd w:id="1170"/>
      <w:bookmarkEnd w:id="1171"/>
      <w:bookmarkEnd w:id="1172"/>
      <w:bookmarkEnd w:id="1173"/>
      <w:bookmarkEnd w:id="1174"/>
      <w:r w:rsidR="00D43F3F" w:rsidRPr="003B11BD">
        <w:rPr>
          <w:noProof/>
        </w:rPr>
        <w:t>Single Market</w:t>
      </w:r>
      <w:bookmarkEnd w:id="1175"/>
    </w:p>
    <w:p w14:paraId="6F4FEAB4" w14:textId="2C47144D" w:rsidR="0D223D14" w:rsidRPr="003B11BD" w:rsidRDefault="46B1C795" w:rsidP="004003BB">
      <w:pPr>
        <w:rPr>
          <w:rFonts w:eastAsia="Times New Roman"/>
          <w:b/>
          <w:noProof/>
          <w:color w:val="000000" w:themeColor="text1"/>
          <w:lang w:val="en-IE"/>
        </w:rPr>
      </w:pPr>
      <w:r w:rsidRPr="003B11BD">
        <w:rPr>
          <w:b/>
          <w:noProof/>
          <w:lang w:val="en-IE"/>
        </w:rPr>
        <w:t>1. The principle of EU-wide exhaustion in general</w:t>
      </w:r>
    </w:p>
    <w:p w14:paraId="74CEC043" w14:textId="2E573513" w:rsidR="0D223D14" w:rsidRPr="003B11BD" w:rsidRDefault="46B1C795" w:rsidP="004003BB">
      <w:pPr>
        <w:rPr>
          <w:rFonts w:eastAsia="Calibri"/>
          <w:noProof/>
          <w:color w:val="000000" w:themeColor="text1"/>
          <w:lang w:val="en-IE"/>
        </w:rPr>
      </w:pPr>
      <w:r w:rsidRPr="003B11BD">
        <w:rPr>
          <w:rFonts w:eastAsia="Calibri"/>
          <w:noProof/>
          <w:lang w:val="en-IE"/>
        </w:rPr>
        <w:t xml:space="preserve">EU rules on exhaustion are largely the result of the jurisprudence of the Court of Justice of the European Union interpreting Article 34 TFEU on measures having equivalent effect to quantitative restrictions between Member States. The Court of Justice has always interpreted the Treaty as meaning that rights conferred by IP rights are exhausted within the </w:t>
      </w:r>
      <w:r w:rsidR="00D43F3F" w:rsidRPr="003B11BD">
        <w:rPr>
          <w:rFonts w:eastAsia="Calibri"/>
          <w:noProof/>
          <w:lang w:val="en-IE"/>
        </w:rPr>
        <w:t>Single Market</w:t>
      </w:r>
      <w:r w:rsidRPr="003B11BD">
        <w:rPr>
          <w:rFonts w:eastAsia="Calibri"/>
          <w:noProof/>
          <w:lang w:val="en-IE"/>
        </w:rPr>
        <w:t xml:space="preserve"> by virtue of putting the relevant goods on the market (by the right holder or with his/her consent) in the European Union. See for instance cases: e.g. Centrafarm and Adriaan de Peijper v Sterling Drug Inc (C-15/74), Merck and Co Inc. vs Stephar BV and Petrus Stephanus Exler (C-187/80).</w:t>
      </w:r>
    </w:p>
    <w:p w14:paraId="4C3F2469" w14:textId="111A3FBE" w:rsidR="0D223D14" w:rsidRPr="003B11BD" w:rsidRDefault="46B1C795" w:rsidP="004003BB">
      <w:pPr>
        <w:rPr>
          <w:rFonts w:eastAsia="Calibri"/>
          <w:noProof/>
          <w:color w:val="000000" w:themeColor="text1"/>
          <w:lang w:val="en-IE"/>
        </w:rPr>
      </w:pPr>
      <w:r w:rsidRPr="003B11BD">
        <w:rPr>
          <w:rFonts w:eastAsia="Calibri"/>
          <w:noProof/>
          <w:lang w:val="en-IE"/>
        </w:rPr>
        <w:t>Under EU law, once a good protected by an intellectual property right has been put lawfully on the market within the European Union (i.e. by the right holder or with his or her consent), the rights conferred by that intellectual property right in relation to the commercial exploitation of the good become exhausted. In that case, the right holder can no longer invoke the intellectual property right in question to prevent the further resale, rental, lending or other forms of commercial exploitation of the good by third parties.</w:t>
      </w:r>
    </w:p>
    <w:p w14:paraId="156E8875" w14:textId="1F30CEB3" w:rsidR="0D223D14" w:rsidRPr="003B11BD" w:rsidRDefault="46B1C795" w:rsidP="004003BB">
      <w:pPr>
        <w:rPr>
          <w:rFonts w:eastAsia="Calibri"/>
          <w:noProof/>
          <w:color w:val="000000" w:themeColor="text1"/>
          <w:lang w:val="en-IE"/>
        </w:rPr>
      </w:pPr>
      <w:r w:rsidRPr="003B11BD">
        <w:rPr>
          <w:rFonts w:eastAsia="Calibri"/>
          <w:noProof/>
          <w:lang w:val="en-IE"/>
        </w:rPr>
        <w:t>In contrast, once a good protected by an intellectual property right has been put on the market within the EU by a person other than the right holder and without his or her consent, that right holder may inter alia oppose to the import by third parties of such good into the European Union or to the putting, resale or otherwise commercial exploitation of such good into the European Union market in so far as such import or commercial exploitation would constitute an infringement of the intellectual property right concerned.</w:t>
      </w:r>
    </w:p>
    <w:p w14:paraId="5A12D4C0" w14:textId="64AAE61E" w:rsidR="0D223D14" w:rsidRPr="003B11BD" w:rsidRDefault="46B1C795" w:rsidP="004003BB">
      <w:pPr>
        <w:rPr>
          <w:rFonts w:eastAsia="Times New Roman"/>
          <w:b/>
          <w:noProof/>
          <w:color w:val="000000" w:themeColor="text1"/>
          <w:lang w:val="en-IE"/>
        </w:rPr>
      </w:pPr>
      <w:r w:rsidRPr="003B11BD">
        <w:rPr>
          <w:b/>
          <w:noProof/>
          <w:lang w:val="en-IE"/>
        </w:rPr>
        <w:t>2. The principle of exhaustion as regards patents</w:t>
      </w:r>
    </w:p>
    <w:p w14:paraId="413F3403" w14:textId="61AF05D5" w:rsidR="0D223D14" w:rsidRPr="003B11BD" w:rsidRDefault="46B1C795" w:rsidP="004003BB">
      <w:pPr>
        <w:rPr>
          <w:rFonts w:eastAsia="Calibri"/>
          <w:noProof/>
          <w:color w:val="000000" w:themeColor="text1"/>
          <w:lang w:val="en-IE"/>
        </w:rPr>
      </w:pPr>
      <w:r w:rsidRPr="003B11BD">
        <w:rPr>
          <w:rFonts w:eastAsia="Calibri"/>
          <w:noProof/>
          <w:lang w:val="en-IE"/>
        </w:rPr>
        <w:t xml:space="preserve">In principle, EU secondary law in relation to patents (including rules on supplementary protection certificates extending the protection of patents for pharmaceutical and plant protection products) do not include specific rules on exhaustion, but the general principles affirmed by the jurisprudence of the Court of Justice apply. </w:t>
      </w:r>
    </w:p>
    <w:p w14:paraId="16D203BB" w14:textId="126A6A97" w:rsidR="0D223D14" w:rsidRPr="003B11BD" w:rsidRDefault="46B1C795" w:rsidP="004003BB">
      <w:pPr>
        <w:rPr>
          <w:rFonts w:eastAsia="Calibri"/>
          <w:noProof/>
          <w:color w:val="000000" w:themeColor="text1"/>
          <w:lang w:val="en-IE"/>
        </w:rPr>
      </w:pPr>
      <w:r w:rsidRPr="003B11BD">
        <w:rPr>
          <w:rFonts w:eastAsia="Calibri"/>
          <w:noProof/>
          <w:lang w:val="en-IE"/>
        </w:rPr>
        <w:t>Otherwise, “</w:t>
      </w:r>
      <w:r w:rsidRPr="003B11BD">
        <w:rPr>
          <w:rFonts w:eastAsia="Calibri"/>
          <w:i/>
          <w:noProof/>
          <w:lang w:val="en-IE"/>
        </w:rPr>
        <w:t>if a patent proprietor could preclude the importation of protected products marketed in another Member State by him or with his consent, he would be able to partition the national markets and thus restrict trade between the Member States, although such a restriction is not necessary to protect the substance of his exclusive rights under the parallel patents</w:t>
      </w:r>
      <w:r w:rsidRPr="003B11BD">
        <w:rPr>
          <w:rFonts w:eastAsia="Calibri"/>
          <w:noProof/>
          <w:lang w:val="en-IE"/>
        </w:rPr>
        <w:t>.” See for instance case: Pharmon v Hoechst (C-19/84).</w:t>
      </w:r>
    </w:p>
    <w:p w14:paraId="64F8F31F" w14:textId="2355F35F" w:rsidR="0D223D14" w:rsidRPr="003B11BD" w:rsidRDefault="46B1C795" w:rsidP="004003BB">
      <w:pPr>
        <w:rPr>
          <w:rFonts w:eastAsia="Calibri"/>
          <w:noProof/>
          <w:color w:val="000000" w:themeColor="text1"/>
          <w:lang w:val="en-IE"/>
        </w:rPr>
      </w:pPr>
      <w:r w:rsidRPr="003B11BD">
        <w:rPr>
          <w:rFonts w:eastAsia="Calibri"/>
          <w:noProof/>
          <w:lang w:val="en-IE"/>
        </w:rPr>
        <w:t>In this spirit also REGULATION (EU) No 1257/2012 OF THE EUROPEAN PARLIAMENT AND OF THE COUNCIL of 17 December 2012 implementing enhanced cooperation in the area of the creation of unitary patent protection states that in accordance with the case-law of the Court of Justice of the European Union, the principle of the exhaustion of rights should also be applied to European patents with unitary effect. Therefore, rights conferred by a European patent with unitary effect should not extend to acts concerning the product covered by that patent which are carried out within the participating Member States in which that patent has unitary effect after that product has been placed on the market in the Union by, or with the consent of, the patent proprietor, unless there are legitimate grounds for the patent proprietor to oppose further commercialisation of the product (Article 6 and recital 12).</w:t>
      </w:r>
    </w:p>
    <w:p w14:paraId="78CE3707" w14:textId="7692F94E" w:rsidR="0D223D14" w:rsidRPr="003B11BD" w:rsidRDefault="46B1C795" w:rsidP="004003BB">
      <w:pPr>
        <w:rPr>
          <w:rFonts w:eastAsia="Calibri"/>
          <w:b/>
          <w:noProof/>
          <w:color w:val="000000" w:themeColor="text1"/>
          <w:lang w:val="en-IE"/>
        </w:rPr>
      </w:pPr>
      <w:r w:rsidRPr="003B11BD">
        <w:rPr>
          <w:rFonts w:eastAsia="Calibri"/>
          <w:b/>
          <w:noProof/>
          <w:lang w:val="en-IE"/>
        </w:rPr>
        <w:t xml:space="preserve">3. Lack of exhaustion of patent rights on products </w:t>
      </w:r>
      <w:r w:rsidR="4E5D1B68" w:rsidRPr="003B11BD">
        <w:rPr>
          <w:rFonts w:eastAsia="Calibri"/>
          <w:b/>
          <w:noProof/>
          <w:lang w:val="en-IE"/>
        </w:rPr>
        <w:t>manufactured</w:t>
      </w:r>
      <w:r w:rsidRPr="003B11BD">
        <w:rPr>
          <w:rFonts w:eastAsia="Calibri"/>
          <w:b/>
          <w:noProof/>
          <w:lang w:val="en-IE"/>
        </w:rPr>
        <w:t xml:space="preserve"> under a compulsory licence</w:t>
      </w:r>
    </w:p>
    <w:p w14:paraId="5A6A5C34" w14:textId="0A0C2539" w:rsidR="0D223D14" w:rsidRPr="003B11BD" w:rsidRDefault="3BE590BC" w:rsidP="004003BB">
      <w:pPr>
        <w:rPr>
          <w:rFonts w:eastAsia="Calibri"/>
          <w:noProof/>
          <w:color w:val="000000" w:themeColor="text1"/>
          <w:lang w:val="en-IE"/>
        </w:rPr>
      </w:pPr>
      <w:r w:rsidRPr="003B11BD">
        <w:rPr>
          <w:rFonts w:eastAsia="Calibri"/>
          <w:noProof/>
          <w:lang w:val="en-IE"/>
        </w:rPr>
        <w:t>The relation</w:t>
      </w:r>
      <w:r w:rsidR="0EADC7E9" w:rsidRPr="003B11BD">
        <w:rPr>
          <w:rFonts w:eastAsia="Calibri"/>
          <w:noProof/>
          <w:lang w:val="en-IE"/>
        </w:rPr>
        <w:t>ship</w:t>
      </w:r>
      <w:r w:rsidRPr="003B11BD">
        <w:rPr>
          <w:rFonts w:eastAsia="Calibri"/>
          <w:noProof/>
          <w:lang w:val="en-IE"/>
        </w:rPr>
        <w:t xml:space="preserve"> between the principle of EU-wide exhaustion and compulsory </w:t>
      </w:r>
      <w:r w:rsidR="00C55853" w:rsidRPr="003B11BD">
        <w:rPr>
          <w:rFonts w:eastAsia="Calibri"/>
          <w:noProof/>
          <w:lang w:val="en-IE"/>
        </w:rPr>
        <w:t>licensing</w:t>
      </w:r>
      <w:r w:rsidRPr="003B11BD">
        <w:rPr>
          <w:rFonts w:eastAsia="Calibri"/>
          <w:noProof/>
          <w:lang w:val="en-IE"/>
        </w:rPr>
        <w:t xml:space="preserve"> </w:t>
      </w:r>
      <w:r w:rsidR="32EFA589" w:rsidRPr="003B11BD">
        <w:rPr>
          <w:rFonts w:eastAsia="Calibri"/>
          <w:noProof/>
          <w:lang w:val="en-IE"/>
        </w:rPr>
        <w:t xml:space="preserve">was subject to the </w:t>
      </w:r>
      <w:r w:rsidR="46B1C795" w:rsidRPr="003B11BD">
        <w:rPr>
          <w:rFonts w:eastAsia="Calibri"/>
          <w:noProof/>
          <w:lang w:val="en-IE"/>
        </w:rPr>
        <w:t>CJEU Judgement of 9 July 1985 (C-19/84, Pharmon v Hoechst)</w:t>
      </w:r>
      <w:r w:rsidR="0099B2E2" w:rsidRPr="003B11BD">
        <w:rPr>
          <w:rFonts w:eastAsia="Calibri"/>
          <w:noProof/>
          <w:lang w:val="en-IE"/>
        </w:rPr>
        <w:t>.</w:t>
      </w:r>
      <w:r w:rsidR="46B1C795" w:rsidRPr="003B11BD">
        <w:rPr>
          <w:rFonts w:eastAsia="Calibri"/>
          <w:noProof/>
          <w:lang w:val="en-IE"/>
        </w:rPr>
        <w:t xml:space="preserve"> The judgement was based on the following facts:</w:t>
      </w:r>
    </w:p>
    <w:p w14:paraId="343BD360" w14:textId="1324CE19" w:rsidR="004003BB" w:rsidRPr="003B11BD" w:rsidRDefault="3D945BD7" w:rsidP="004C618F">
      <w:pPr>
        <w:pStyle w:val="Bullets"/>
        <w:rPr>
          <w:noProof/>
        </w:rPr>
      </w:pPr>
      <w:r w:rsidRPr="003B11BD">
        <w:rPr>
          <w:noProof/>
        </w:rPr>
        <w:t>Hoechst was the proprietor of a patent in Germany and of parallel patents in the Netherlands and in the United Kingdom in respect of the same invention, namely a process for manufacturing the medicine known as 'frusemide'.</w:t>
      </w:r>
    </w:p>
    <w:p w14:paraId="1147997D" w14:textId="072A8E5B" w:rsidR="004003BB" w:rsidRPr="003B11BD" w:rsidRDefault="3D945BD7" w:rsidP="004C618F">
      <w:pPr>
        <w:pStyle w:val="Bullets"/>
        <w:rPr>
          <w:noProof/>
        </w:rPr>
      </w:pPr>
      <w:r w:rsidRPr="003B11BD">
        <w:rPr>
          <w:noProof/>
        </w:rPr>
        <w:t>DDSA Pharmaceuticals Ltd, a British company, obtained a compulsory license to exploit the invention in respect of the parallel patent granted to Hoechst in the United Kingdom.</w:t>
      </w:r>
    </w:p>
    <w:p w14:paraId="2CE45C70" w14:textId="60E2B94B" w:rsidR="004003BB" w:rsidRPr="003B11BD" w:rsidRDefault="3D945BD7" w:rsidP="004C618F">
      <w:pPr>
        <w:pStyle w:val="Bullets"/>
        <w:rPr>
          <w:noProof/>
        </w:rPr>
      </w:pPr>
      <w:r w:rsidRPr="003B11BD">
        <w:rPr>
          <w:noProof/>
        </w:rPr>
        <w:t>DDSA sold 'frusemide' tablets which it had produced under the compulsory license to Pharmon, a pharmaceutical company in the Netherlands who intended to market these pharmaceutical products in the Netherlands.</w:t>
      </w:r>
    </w:p>
    <w:p w14:paraId="6C5AF354" w14:textId="62871699" w:rsidR="617EE11F" w:rsidRPr="003B11BD" w:rsidRDefault="3D945BD7" w:rsidP="004C618F">
      <w:pPr>
        <w:pStyle w:val="Bullets"/>
        <w:rPr>
          <w:noProof/>
        </w:rPr>
      </w:pPr>
      <w:r w:rsidRPr="003B11BD">
        <w:rPr>
          <w:noProof/>
        </w:rPr>
        <w:t xml:space="preserve">Hoechst brought an action against Pharmon before the Dutch Courts for infringing rights arising under Hoechst's Netherlands patent. </w:t>
      </w:r>
      <w:r w:rsidR="57E0CF33" w:rsidRPr="003B11BD">
        <w:rPr>
          <w:noProof/>
        </w:rPr>
        <w:t xml:space="preserve"> </w:t>
      </w:r>
    </w:p>
    <w:p w14:paraId="1E74C544" w14:textId="75E9A5E8" w:rsidR="0D223D14" w:rsidRPr="003B11BD" w:rsidRDefault="76C0AF1D" w:rsidP="0D223D14">
      <w:pPr>
        <w:rPr>
          <w:rFonts w:eastAsia="Calibri"/>
          <w:noProof/>
          <w:sz w:val="22"/>
          <w:szCs w:val="22"/>
          <w:lang w:val="en-IE"/>
        </w:rPr>
      </w:pPr>
      <w:r w:rsidRPr="003B11BD">
        <w:rPr>
          <w:rFonts w:eastAsia="Calibri"/>
          <w:noProof/>
          <w:sz w:val="22"/>
          <w:szCs w:val="22"/>
          <w:lang w:val="en-IE"/>
        </w:rPr>
        <w:t xml:space="preserve">The CJEU, </w:t>
      </w:r>
      <w:r w:rsidR="1C8B6B95" w:rsidRPr="003B11BD">
        <w:rPr>
          <w:rFonts w:eastAsia="Calibri"/>
          <w:noProof/>
          <w:sz w:val="22"/>
          <w:szCs w:val="22"/>
          <w:lang w:val="en-IE"/>
        </w:rPr>
        <w:t xml:space="preserve">which </w:t>
      </w:r>
      <w:r w:rsidR="1537FB56" w:rsidRPr="003B11BD">
        <w:rPr>
          <w:rFonts w:eastAsia="Calibri"/>
          <w:noProof/>
          <w:sz w:val="22"/>
          <w:szCs w:val="22"/>
          <w:lang w:val="en-IE"/>
        </w:rPr>
        <w:t>had been asked b</w:t>
      </w:r>
      <w:r w:rsidR="67EF9A8B" w:rsidRPr="003B11BD">
        <w:rPr>
          <w:rFonts w:eastAsia="Calibri"/>
          <w:noProof/>
          <w:sz w:val="22"/>
          <w:szCs w:val="22"/>
          <w:lang w:val="en-IE"/>
        </w:rPr>
        <w:t xml:space="preserve">y the Hoge Raad </w:t>
      </w:r>
      <w:r w:rsidR="6AB486FB" w:rsidRPr="003B11BD">
        <w:rPr>
          <w:rFonts w:eastAsia="Calibri"/>
          <w:noProof/>
          <w:sz w:val="22"/>
          <w:szCs w:val="22"/>
          <w:lang w:val="en-IE"/>
        </w:rPr>
        <w:t xml:space="preserve">of the Netherlands </w:t>
      </w:r>
      <w:r w:rsidR="67EF9A8B" w:rsidRPr="003B11BD">
        <w:rPr>
          <w:rFonts w:eastAsia="Calibri"/>
          <w:noProof/>
          <w:sz w:val="22"/>
          <w:szCs w:val="22"/>
          <w:lang w:val="en-IE"/>
        </w:rPr>
        <w:t>to give a preliminary ruling</w:t>
      </w:r>
      <w:r w:rsidR="08752D33" w:rsidRPr="003B11BD">
        <w:rPr>
          <w:rFonts w:eastAsia="Calibri"/>
          <w:noProof/>
          <w:sz w:val="22"/>
          <w:szCs w:val="22"/>
          <w:lang w:val="en-IE"/>
        </w:rPr>
        <w:t xml:space="preserve">, </w:t>
      </w:r>
      <w:r w:rsidR="629058FE" w:rsidRPr="003B11BD">
        <w:rPr>
          <w:rFonts w:eastAsia="Calibri"/>
          <w:noProof/>
          <w:sz w:val="22"/>
          <w:szCs w:val="22"/>
          <w:lang w:val="en-IE"/>
        </w:rPr>
        <w:t>made the following observations in its decision:</w:t>
      </w:r>
    </w:p>
    <w:p w14:paraId="1637526C" w14:textId="7CED08E8" w:rsidR="64FE3B7A" w:rsidRPr="003B11BD" w:rsidRDefault="1DC0C7EF" w:rsidP="004C618F">
      <w:pPr>
        <w:pStyle w:val="Bullets"/>
        <w:rPr>
          <w:noProof/>
        </w:rPr>
      </w:pPr>
      <w:r w:rsidRPr="003B11BD">
        <w:rPr>
          <w:noProof/>
        </w:rPr>
        <w:t>First</w:t>
      </w:r>
      <w:r w:rsidR="7708C3AE" w:rsidRPr="003B11BD">
        <w:rPr>
          <w:noProof/>
        </w:rPr>
        <w:t xml:space="preserve">, the CJEU </w:t>
      </w:r>
      <w:r w:rsidR="2C2DBE33" w:rsidRPr="003B11BD">
        <w:rPr>
          <w:noProof/>
        </w:rPr>
        <w:t>recall</w:t>
      </w:r>
      <w:r w:rsidR="44CC051B" w:rsidRPr="003B11BD">
        <w:rPr>
          <w:noProof/>
        </w:rPr>
        <w:t xml:space="preserve">ed </w:t>
      </w:r>
      <w:r w:rsidR="2C2DBE33" w:rsidRPr="003B11BD">
        <w:rPr>
          <w:noProof/>
        </w:rPr>
        <w:t>that in accordance with the principle of the territoriality of the acts of the public authorities of a Member State, a compulsory licence cannot confer on its holder rights in the territories of the other Member States.</w:t>
      </w:r>
    </w:p>
    <w:p w14:paraId="6B57EDCF" w14:textId="7A47D46D" w:rsidR="12B2A451" w:rsidRPr="003B11BD" w:rsidRDefault="57B91CB0" w:rsidP="004C618F">
      <w:pPr>
        <w:pStyle w:val="Bullets"/>
        <w:rPr>
          <w:noProof/>
        </w:rPr>
      </w:pPr>
      <w:r w:rsidRPr="003B11BD">
        <w:rPr>
          <w:noProof/>
        </w:rPr>
        <w:t xml:space="preserve">Afterwards the CJEU </w:t>
      </w:r>
      <w:r w:rsidR="7708C3AE" w:rsidRPr="003B11BD">
        <w:rPr>
          <w:noProof/>
        </w:rPr>
        <w:t>clarifie</w:t>
      </w:r>
      <w:r w:rsidR="5BBAD207" w:rsidRPr="003B11BD">
        <w:rPr>
          <w:noProof/>
        </w:rPr>
        <w:t>d</w:t>
      </w:r>
      <w:r w:rsidR="7708C3AE" w:rsidRPr="003B11BD">
        <w:rPr>
          <w:noProof/>
        </w:rPr>
        <w:t xml:space="preserve"> that the question is wh</w:t>
      </w:r>
      <w:r w:rsidR="2354EB98" w:rsidRPr="003B11BD">
        <w:rPr>
          <w:noProof/>
        </w:rPr>
        <w:t>ether the principle of EU-wide exhaustion</w:t>
      </w:r>
      <w:r w:rsidR="7708C3AE" w:rsidRPr="003B11BD">
        <w:rPr>
          <w:noProof/>
        </w:rPr>
        <w:t xml:space="preserve"> </w:t>
      </w:r>
      <w:r w:rsidR="2354EB98" w:rsidRPr="003B11BD">
        <w:rPr>
          <w:noProof/>
        </w:rPr>
        <w:t xml:space="preserve">applies </w:t>
      </w:r>
      <w:r w:rsidR="2F26B409" w:rsidRPr="003B11BD">
        <w:rPr>
          <w:noProof/>
        </w:rPr>
        <w:t>where the product imported and offered for sale has been manufactured in the exporting Member State by the holder of a compulsory licence granted in respect of a parallel patent held by the proprietor of the patent in the importing Member State.</w:t>
      </w:r>
      <w:r w:rsidR="2CC05957" w:rsidRPr="003B11BD">
        <w:rPr>
          <w:noProof/>
        </w:rPr>
        <w:t xml:space="preserve"> </w:t>
      </w:r>
      <w:r w:rsidR="49B21428" w:rsidRPr="003B11BD">
        <w:rPr>
          <w:noProof/>
        </w:rPr>
        <w:t>Briefly</w:t>
      </w:r>
      <w:r w:rsidR="5474380F" w:rsidRPr="003B11BD">
        <w:rPr>
          <w:noProof/>
        </w:rPr>
        <w:t xml:space="preserve">: </w:t>
      </w:r>
      <w:r w:rsidR="5EA62D60" w:rsidRPr="003B11BD">
        <w:rPr>
          <w:noProof/>
        </w:rPr>
        <w:t xml:space="preserve">Does EU-wide exhaustion apply to products manufactured under a </w:t>
      </w:r>
      <w:r w:rsidR="6B2C1B64" w:rsidRPr="003B11BD">
        <w:rPr>
          <w:noProof/>
        </w:rPr>
        <w:t>compulsory</w:t>
      </w:r>
      <w:r w:rsidR="5EA62D60" w:rsidRPr="003B11BD">
        <w:rPr>
          <w:noProof/>
        </w:rPr>
        <w:t xml:space="preserve"> licence?</w:t>
      </w:r>
    </w:p>
    <w:p w14:paraId="11C38512" w14:textId="7A6EBE90" w:rsidR="2FB1CC37" w:rsidRPr="003B11BD" w:rsidRDefault="6C7B646A" w:rsidP="004C618F">
      <w:pPr>
        <w:pStyle w:val="Bullets"/>
        <w:rPr>
          <w:i/>
          <w:noProof/>
        </w:rPr>
      </w:pPr>
      <w:r w:rsidRPr="003B11BD">
        <w:rPr>
          <w:noProof/>
        </w:rPr>
        <w:t>T</w:t>
      </w:r>
      <w:r w:rsidR="416F6898" w:rsidRPr="003B11BD">
        <w:rPr>
          <w:noProof/>
        </w:rPr>
        <w:t>he</w:t>
      </w:r>
      <w:r w:rsidR="74468E68" w:rsidRPr="003B11BD">
        <w:rPr>
          <w:noProof/>
        </w:rPr>
        <w:t xml:space="preserve"> CJEU</w:t>
      </w:r>
      <w:r w:rsidR="4E6522CE" w:rsidRPr="003B11BD">
        <w:rPr>
          <w:noProof/>
        </w:rPr>
        <w:t xml:space="preserve"> point</w:t>
      </w:r>
      <w:r w:rsidR="3DC81F70" w:rsidRPr="003B11BD">
        <w:rPr>
          <w:noProof/>
        </w:rPr>
        <w:t>ed</w:t>
      </w:r>
      <w:r w:rsidR="4E6522CE" w:rsidRPr="003B11BD">
        <w:rPr>
          <w:noProof/>
        </w:rPr>
        <w:t xml:space="preserve"> out that where a compulsory licence </w:t>
      </w:r>
      <w:r w:rsidR="3D6501C1" w:rsidRPr="003B11BD">
        <w:rPr>
          <w:noProof/>
        </w:rPr>
        <w:t xml:space="preserve">is granted to a third party </w:t>
      </w:r>
      <w:r w:rsidR="48E88F99" w:rsidRPr="003B11BD">
        <w:rPr>
          <w:noProof/>
        </w:rPr>
        <w:t>which</w:t>
      </w:r>
      <w:r w:rsidR="4E6522CE" w:rsidRPr="003B11BD">
        <w:rPr>
          <w:noProof/>
        </w:rPr>
        <w:t xml:space="preserve"> allows to carry out manufacturing and marketing operations which the </w:t>
      </w:r>
      <w:r w:rsidR="2952D21F" w:rsidRPr="003B11BD">
        <w:rPr>
          <w:noProof/>
        </w:rPr>
        <w:t>patent</w:t>
      </w:r>
      <w:r w:rsidR="4E6522CE" w:rsidRPr="003B11BD">
        <w:rPr>
          <w:noProof/>
        </w:rPr>
        <w:t xml:space="preserve"> </w:t>
      </w:r>
      <w:r w:rsidR="6F9230EA" w:rsidRPr="003B11BD">
        <w:rPr>
          <w:noProof/>
        </w:rPr>
        <w:t>proprietor</w:t>
      </w:r>
      <w:r w:rsidR="2952D21F" w:rsidRPr="003B11BD">
        <w:rPr>
          <w:noProof/>
        </w:rPr>
        <w:t xml:space="preserve"> </w:t>
      </w:r>
      <w:r w:rsidR="4E6522CE" w:rsidRPr="003B11BD">
        <w:rPr>
          <w:noProof/>
        </w:rPr>
        <w:t xml:space="preserve">would normally have the right to prevent, the </w:t>
      </w:r>
      <w:r w:rsidR="2952D21F" w:rsidRPr="003B11BD">
        <w:rPr>
          <w:noProof/>
        </w:rPr>
        <w:t>patent</w:t>
      </w:r>
      <w:r w:rsidR="4E6522CE" w:rsidRPr="003B11BD">
        <w:rPr>
          <w:noProof/>
        </w:rPr>
        <w:t xml:space="preserve"> </w:t>
      </w:r>
      <w:r w:rsidR="49361415" w:rsidRPr="003B11BD">
        <w:rPr>
          <w:noProof/>
        </w:rPr>
        <w:t>proprietor</w:t>
      </w:r>
      <w:r w:rsidR="2952D21F" w:rsidRPr="003B11BD">
        <w:rPr>
          <w:noProof/>
        </w:rPr>
        <w:t xml:space="preserve"> </w:t>
      </w:r>
      <w:r w:rsidR="4E6522CE" w:rsidRPr="003B11BD">
        <w:rPr>
          <w:noProof/>
        </w:rPr>
        <w:t>cannot be deemed to have consented to the operation of that third party. Such a measure deprives the patent proprietor of his right to determine freely the conditions under which he markets his products</w:t>
      </w:r>
      <w:r w:rsidR="48E88F99" w:rsidRPr="003B11BD">
        <w:rPr>
          <w:noProof/>
        </w:rPr>
        <w:t>.</w:t>
      </w:r>
    </w:p>
    <w:p w14:paraId="0CF55849" w14:textId="1DBEC7C1" w:rsidR="75343996" w:rsidRPr="003B11BD" w:rsidRDefault="74FFF38C" w:rsidP="004C618F">
      <w:pPr>
        <w:pStyle w:val="Bullets"/>
        <w:rPr>
          <w:i/>
          <w:noProof/>
        </w:rPr>
      </w:pPr>
      <w:r w:rsidRPr="003B11BD">
        <w:rPr>
          <w:noProof/>
        </w:rPr>
        <w:t>F</w:t>
      </w:r>
      <w:r w:rsidR="7902820E" w:rsidRPr="003B11BD">
        <w:rPr>
          <w:noProof/>
        </w:rPr>
        <w:t>i</w:t>
      </w:r>
      <w:r w:rsidR="2802DA73" w:rsidRPr="003B11BD">
        <w:rPr>
          <w:noProof/>
        </w:rPr>
        <w:t>nally</w:t>
      </w:r>
      <w:r w:rsidR="7902820E" w:rsidRPr="003B11BD">
        <w:rPr>
          <w:noProof/>
        </w:rPr>
        <w:t>,</w:t>
      </w:r>
      <w:r w:rsidR="3802B484" w:rsidRPr="003B11BD">
        <w:rPr>
          <w:noProof/>
        </w:rPr>
        <w:t xml:space="preserve"> the CJEU s</w:t>
      </w:r>
      <w:r w:rsidR="63198178" w:rsidRPr="003B11BD">
        <w:rPr>
          <w:noProof/>
        </w:rPr>
        <w:t>t</w:t>
      </w:r>
      <w:r w:rsidR="3802B484" w:rsidRPr="003B11BD">
        <w:rPr>
          <w:noProof/>
        </w:rPr>
        <w:t>ate</w:t>
      </w:r>
      <w:r w:rsidR="1C55405D" w:rsidRPr="003B11BD">
        <w:rPr>
          <w:noProof/>
        </w:rPr>
        <w:t>d</w:t>
      </w:r>
      <w:r w:rsidR="3802B484" w:rsidRPr="003B11BD">
        <w:rPr>
          <w:noProof/>
        </w:rPr>
        <w:t xml:space="preserve"> that </w:t>
      </w:r>
      <w:r w:rsidR="1F8B976E" w:rsidRPr="003B11BD">
        <w:rPr>
          <w:noProof/>
        </w:rPr>
        <w:t>the substance of a patent right lies essentially in according the inventor an exclusive right of first placing the product on the market so as to allow him to obtain the reward for his creative effort. It is therefore necessary to allow the patent proprietor to prevent the importation and marketing of products manufactured under a compulsory licence in order to protect the substance of his exclusive rights under his patent.</w:t>
      </w:r>
    </w:p>
    <w:p w14:paraId="56D614AE" w14:textId="5912E97B" w:rsidR="7D4044FC" w:rsidRPr="003B11BD" w:rsidRDefault="659F37A7" w:rsidP="7D4044FC">
      <w:pPr>
        <w:rPr>
          <w:noProof/>
          <w:lang w:val="en-IE"/>
        </w:rPr>
      </w:pPr>
      <w:r w:rsidRPr="003B11BD">
        <w:rPr>
          <w:noProof/>
          <w:lang w:val="en-IE"/>
        </w:rPr>
        <w:t xml:space="preserve">Thus, following this judgement, </w:t>
      </w:r>
      <w:r w:rsidR="12C51653" w:rsidRPr="003B11BD">
        <w:rPr>
          <w:noProof/>
          <w:lang w:val="en-IE"/>
        </w:rPr>
        <w:t xml:space="preserve">products manufactured under a </w:t>
      </w:r>
      <w:r w:rsidR="23A93649" w:rsidRPr="003B11BD">
        <w:rPr>
          <w:noProof/>
          <w:lang w:val="en-IE"/>
        </w:rPr>
        <w:t xml:space="preserve">national </w:t>
      </w:r>
      <w:r w:rsidR="12C51653" w:rsidRPr="003B11BD">
        <w:rPr>
          <w:noProof/>
          <w:lang w:val="en-IE"/>
        </w:rPr>
        <w:t xml:space="preserve">compulsory licence </w:t>
      </w:r>
      <w:r w:rsidR="26A31DE5" w:rsidRPr="003B11BD">
        <w:rPr>
          <w:noProof/>
          <w:lang w:val="en-IE"/>
        </w:rPr>
        <w:t>(</w:t>
      </w:r>
      <w:r w:rsidR="45C20765" w:rsidRPr="003B11BD">
        <w:rPr>
          <w:noProof/>
          <w:lang w:val="en-IE"/>
        </w:rPr>
        <w:t>granted for the use of a national patent</w:t>
      </w:r>
      <w:r w:rsidR="05949736" w:rsidRPr="003B11BD">
        <w:rPr>
          <w:noProof/>
          <w:lang w:val="en-IE"/>
        </w:rPr>
        <w:t>)</w:t>
      </w:r>
      <w:r w:rsidR="45C20765" w:rsidRPr="003B11BD">
        <w:rPr>
          <w:noProof/>
          <w:lang w:val="en-IE"/>
        </w:rPr>
        <w:t xml:space="preserve"> </w:t>
      </w:r>
      <w:r w:rsidR="12C51653" w:rsidRPr="003B11BD">
        <w:rPr>
          <w:noProof/>
          <w:lang w:val="en-IE"/>
        </w:rPr>
        <w:t>in one M</w:t>
      </w:r>
      <w:r w:rsidR="4C3743F5" w:rsidRPr="003B11BD">
        <w:rPr>
          <w:noProof/>
          <w:lang w:val="en-IE"/>
        </w:rPr>
        <w:t>ember State</w:t>
      </w:r>
      <w:r w:rsidR="12C51653" w:rsidRPr="003B11BD">
        <w:rPr>
          <w:noProof/>
          <w:lang w:val="en-IE"/>
        </w:rPr>
        <w:t xml:space="preserve"> cannot be imported </w:t>
      </w:r>
      <w:r w:rsidR="7149C45A" w:rsidRPr="003B11BD">
        <w:rPr>
          <w:noProof/>
          <w:lang w:val="en-IE"/>
        </w:rPr>
        <w:t>in</w:t>
      </w:r>
      <w:r w:rsidR="12C51653" w:rsidRPr="003B11BD">
        <w:rPr>
          <w:noProof/>
          <w:lang w:val="en-IE"/>
        </w:rPr>
        <w:t xml:space="preserve"> </w:t>
      </w:r>
      <w:r w:rsidR="524EFD7F" w:rsidRPr="003B11BD">
        <w:rPr>
          <w:noProof/>
          <w:lang w:val="en-IE"/>
        </w:rPr>
        <w:t xml:space="preserve">another Member State </w:t>
      </w:r>
      <w:r w:rsidR="17FB3A57" w:rsidRPr="003B11BD">
        <w:rPr>
          <w:noProof/>
          <w:lang w:val="en-IE"/>
        </w:rPr>
        <w:t xml:space="preserve">(where there is a parallel patent) </w:t>
      </w:r>
      <w:r w:rsidR="21CE410A" w:rsidRPr="003B11BD">
        <w:rPr>
          <w:noProof/>
          <w:lang w:val="en-IE"/>
        </w:rPr>
        <w:t xml:space="preserve">without the consent of the patent proprietor. </w:t>
      </w:r>
      <w:r w:rsidR="53A35EA1" w:rsidRPr="003B11BD">
        <w:rPr>
          <w:noProof/>
          <w:lang w:val="en-IE"/>
        </w:rPr>
        <w:t xml:space="preserve">When products are brought into circulation under </w:t>
      </w:r>
      <w:r w:rsidR="75EAE7B3" w:rsidRPr="003B11BD">
        <w:rPr>
          <w:noProof/>
          <w:lang w:val="en-IE"/>
        </w:rPr>
        <w:t>a compu</w:t>
      </w:r>
      <w:r w:rsidR="72EED743" w:rsidRPr="003B11BD">
        <w:rPr>
          <w:noProof/>
          <w:lang w:val="en-IE"/>
        </w:rPr>
        <w:t xml:space="preserve">lsory license the principle of EU-wide exhaustion does not apply. </w:t>
      </w:r>
      <w:r w:rsidR="3D33E500" w:rsidRPr="003B11BD">
        <w:rPr>
          <w:noProof/>
          <w:lang w:val="en-IE"/>
        </w:rPr>
        <w:t>As</w:t>
      </w:r>
      <w:r w:rsidR="21CE410A" w:rsidRPr="003B11BD">
        <w:rPr>
          <w:noProof/>
          <w:lang w:val="en-IE"/>
        </w:rPr>
        <w:t xml:space="preserve"> regards</w:t>
      </w:r>
      <w:r w:rsidR="0D1CAA80" w:rsidRPr="003B11BD">
        <w:rPr>
          <w:noProof/>
          <w:lang w:val="en-IE"/>
        </w:rPr>
        <w:t xml:space="preserve"> the import of the protected products</w:t>
      </w:r>
      <w:r w:rsidR="0FDDF48D" w:rsidRPr="003B11BD">
        <w:rPr>
          <w:noProof/>
          <w:lang w:val="en-IE"/>
        </w:rPr>
        <w:t xml:space="preserve"> in another Member State</w:t>
      </w:r>
      <w:r w:rsidR="0D1CAA80" w:rsidRPr="003B11BD">
        <w:rPr>
          <w:noProof/>
          <w:lang w:val="en-IE"/>
        </w:rPr>
        <w:t xml:space="preserve">, </w:t>
      </w:r>
      <w:r w:rsidR="491AFEA3" w:rsidRPr="003B11BD">
        <w:rPr>
          <w:noProof/>
          <w:lang w:val="en-IE"/>
        </w:rPr>
        <w:t>the</w:t>
      </w:r>
      <w:r w:rsidR="0D1CAA80" w:rsidRPr="003B11BD">
        <w:rPr>
          <w:noProof/>
          <w:lang w:val="en-IE"/>
        </w:rPr>
        <w:t xml:space="preserve"> </w:t>
      </w:r>
      <w:r w:rsidR="688ACBCC" w:rsidRPr="003B11BD">
        <w:rPr>
          <w:noProof/>
          <w:lang w:val="en-IE"/>
        </w:rPr>
        <w:t xml:space="preserve">patent proprietor is </w:t>
      </w:r>
      <w:r w:rsidR="67C0F08D" w:rsidRPr="003B11BD">
        <w:rPr>
          <w:noProof/>
          <w:lang w:val="en-IE"/>
        </w:rPr>
        <w:t xml:space="preserve">consequently </w:t>
      </w:r>
      <w:r w:rsidR="1BEEF575" w:rsidRPr="003B11BD">
        <w:rPr>
          <w:noProof/>
          <w:lang w:val="en-IE"/>
        </w:rPr>
        <w:t>allowed</w:t>
      </w:r>
      <w:r w:rsidR="688ACBCC" w:rsidRPr="003B11BD">
        <w:rPr>
          <w:noProof/>
          <w:lang w:val="en-IE"/>
        </w:rPr>
        <w:t xml:space="preserve"> to stop this marketing operation.</w:t>
      </w:r>
      <w:r w:rsidR="367312F6" w:rsidRPr="003B11BD">
        <w:rPr>
          <w:noProof/>
          <w:lang w:val="en-IE"/>
        </w:rPr>
        <w:t xml:space="preserve"> </w:t>
      </w:r>
    </w:p>
    <w:p w14:paraId="07C2621E" w14:textId="52171C33" w:rsidR="1E20A546" w:rsidRPr="003B11BD" w:rsidRDefault="7254F9C6" w:rsidP="1E20A546">
      <w:pPr>
        <w:rPr>
          <w:b/>
          <w:noProof/>
          <w:lang w:val="en-IE"/>
        </w:rPr>
      </w:pPr>
      <w:r w:rsidRPr="003B11BD">
        <w:rPr>
          <w:b/>
          <w:noProof/>
          <w:lang w:val="en-IE"/>
        </w:rPr>
        <w:t>4. Consequences</w:t>
      </w:r>
      <w:r w:rsidR="0C4C5559" w:rsidRPr="003B11BD">
        <w:rPr>
          <w:b/>
          <w:noProof/>
          <w:lang w:val="en-IE"/>
        </w:rPr>
        <w:t xml:space="preserve"> for cross-border supply in times of crisis</w:t>
      </w:r>
    </w:p>
    <w:p w14:paraId="26343216" w14:textId="01AB6D6C" w:rsidR="00D20FD1" w:rsidRPr="003B11BD" w:rsidRDefault="2BBC71A8" w:rsidP="3D269CB2">
      <w:pPr>
        <w:rPr>
          <w:rFonts w:eastAsia="Times New Roman"/>
          <w:noProof/>
          <w:lang w:val="en-IE"/>
        </w:rPr>
      </w:pPr>
      <w:r w:rsidRPr="003B11BD">
        <w:rPr>
          <w:rFonts w:eastAsia="Times New Roman"/>
          <w:noProof/>
          <w:lang w:val="en-IE"/>
        </w:rPr>
        <w:t xml:space="preserve">Under the current </w:t>
      </w:r>
      <w:r w:rsidR="791DFEDA" w:rsidRPr="003B11BD">
        <w:rPr>
          <w:rFonts w:eastAsia="Times New Roman"/>
          <w:noProof/>
          <w:lang w:val="en-IE"/>
        </w:rPr>
        <w:t xml:space="preserve">compulsory </w:t>
      </w:r>
      <w:r w:rsidR="00C55853" w:rsidRPr="003B11BD">
        <w:rPr>
          <w:rFonts w:eastAsia="Times New Roman"/>
          <w:noProof/>
          <w:lang w:val="en-IE"/>
        </w:rPr>
        <w:t>licensing</w:t>
      </w:r>
      <w:r w:rsidRPr="003B11BD">
        <w:rPr>
          <w:rFonts w:eastAsia="Times New Roman"/>
          <w:noProof/>
          <w:lang w:val="en-IE"/>
        </w:rPr>
        <w:t xml:space="preserve"> regime</w:t>
      </w:r>
      <w:r w:rsidR="1AA67F1F" w:rsidRPr="003B11BD">
        <w:rPr>
          <w:rFonts w:eastAsia="Times New Roman"/>
          <w:noProof/>
          <w:lang w:val="en-IE"/>
        </w:rPr>
        <w:t xml:space="preserve"> in the Member States</w:t>
      </w:r>
      <w:r w:rsidRPr="003B11BD">
        <w:rPr>
          <w:rFonts w:eastAsia="Times New Roman"/>
          <w:noProof/>
          <w:lang w:val="en-IE"/>
        </w:rPr>
        <w:t>, based on national law and domestic considerations, a M</w:t>
      </w:r>
      <w:r w:rsidR="43A5D718" w:rsidRPr="003B11BD">
        <w:rPr>
          <w:rFonts w:eastAsia="Times New Roman"/>
          <w:noProof/>
          <w:lang w:val="en-IE"/>
        </w:rPr>
        <w:t xml:space="preserve">ember State </w:t>
      </w:r>
      <w:r w:rsidRPr="003B11BD">
        <w:rPr>
          <w:rFonts w:eastAsia="Times New Roman"/>
          <w:noProof/>
          <w:lang w:val="en-IE"/>
        </w:rPr>
        <w:t xml:space="preserve">cannot </w:t>
      </w:r>
      <w:r w:rsidR="1189395E" w:rsidRPr="003B11BD">
        <w:rPr>
          <w:rFonts w:eastAsia="Times New Roman"/>
          <w:noProof/>
          <w:lang w:val="en-IE"/>
        </w:rPr>
        <w:t>consider</w:t>
      </w:r>
      <w:r w:rsidRPr="003B11BD">
        <w:rPr>
          <w:rFonts w:eastAsia="Times New Roman"/>
          <w:noProof/>
          <w:lang w:val="en-IE"/>
        </w:rPr>
        <w:t xml:space="preserve"> the impact of a </w:t>
      </w:r>
      <w:r w:rsidR="2885F059" w:rsidRPr="003B11BD">
        <w:rPr>
          <w:rFonts w:eastAsia="Times New Roman"/>
          <w:noProof/>
          <w:lang w:val="en-IE"/>
        </w:rPr>
        <w:t>compulsory licence</w:t>
      </w:r>
      <w:r w:rsidRPr="003B11BD">
        <w:rPr>
          <w:rFonts w:eastAsia="Times New Roman"/>
          <w:noProof/>
          <w:lang w:val="en-IE"/>
        </w:rPr>
        <w:t xml:space="preserve"> granted in its </w:t>
      </w:r>
      <w:r w:rsidR="3348D987" w:rsidRPr="003B11BD">
        <w:rPr>
          <w:rFonts w:eastAsia="Times New Roman"/>
          <w:noProof/>
          <w:lang w:val="en-IE"/>
        </w:rPr>
        <w:t>jurisdiction</w:t>
      </w:r>
      <w:r w:rsidRPr="003B11BD">
        <w:rPr>
          <w:rFonts w:eastAsia="Times New Roman"/>
          <w:noProof/>
          <w:lang w:val="en-IE"/>
        </w:rPr>
        <w:t xml:space="preserve"> on the situation in other M</w:t>
      </w:r>
      <w:r w:rsidR="449BD10E" w:rsidRPr="003B11BD">
        <w:rPr>
          <w:rFonts w:eastAsia="Times New Roman"/>
          <w:noProof/>
          <w:lang w:val="en-IE"/>
        </w:rPr>
        <w:t>ember States</w:t>
      </w:r>
      <w:r w:rsidRPr="003B11BD">
        <w:rPr>
          <w:rFonts w:eastAsia="Times New Roman"/>
          <w:noProof/>
          <w:lang w:val="en-IE"/>
        </w:rPr>
        <w:t xml:space="preserve">. Nor can it make EU-wide arrangements when issuing a </w:t>
      </w:r>
      <w:r w:rsidR="2E8D58E3" w:rsidRPr="003B11BD">
        <w:rPr>
          <w:rFonts w:eastAsia="Times New Roman"/>
          <w:noProof/>
          <w:lang w:val="en-IE"/>
        </w:rPr>
        <w:t>compulsory licence</w:t>
      </w:r>
      <w:r w:rsidRPr="003B11BD">
        <w:rPr>
          <w:rFonts w:eastAsia="Times New Roman"/>
          <w:noProof/>
          <w:lang w:val="en-IE"/>
        </w:rPr>
        <w:t xml:space="preserve"> that would aim at tackling a cross-border crisis</w:t>
      </w:r>
      <w:r w:rsidR="72377B72" w:rsidRPr="003B11BD">
        <w:rPr>
          <w:rFonts w:eastAsia="Times New Roman"/>
          <w:noProof/>
          <w:lang w:val="en-IE"/>
        </w:rPr>
        <w:t xml:space="preserve"> (territoriality of national compulsory licensing schemes)</w:t>
      </w:r>
      <w:r w:rsidRPr="003B11BD">
        <w:rPr>
          <w:rFonts w:eastAsia="Times New Roman"/>
          <w:noProof/>
          <w:lang w:val="en-IE"/>
        </w:rPr>
        <w:t xml:space="preserve">. </w:t>
      </w:r>
      <w:r w:rsidR="55BD9ABF" w:rsidRPr="003B11BD">
        <w:rPr>
          <w:rFonts w:eastAsia="Times New Roman"/>
          <w:noProof/>
          <w:lang w:val="en-IE"/>
        </w:rPr>
        <w:t>In this context, t</w:t>
      </w:r>
      <w:r w:rsidR="22F08C6E" w:rsidRPr="003B11BD">
        <w:rPr>
          <w:rFonts w:eastAsia="Times New Roman"/>
          <w:noProof/>
          <w:lang w:val="en-IE"/>
        </w:rPr>
        <w:t xml:space="preserve">he lack of exhaustion of national patent rights on a product made under a </w:t>
      </w:r>
      <w:r w:rsidR="2E99581B" w:rsidRPr="003B11BD">
        <w:rPr>
          <w:rFonts w:eastAsia="Times New Roman"/>
          <w:noProof/>
          <w:lang w:val="en-IE"/>
        </w:rPr>
        <w:t>compulsory license</w:t>
      </w:r>
      <w:r w:rsidR="22F08C6E" w:rsidRPr="003B11BD">
        <w:rPr>
          <w:rFonts w:eastAsia="Times New Roman"/>
          <w:noProof/>
          <w:lang w:val="en-IE"/>
        </w:rPr>
        <w:t xml:space="preserve"> is a</w:t>
      </w:r>
      <w:r w:rsidRPr="003B11BD">
        <w:rPr>
          <w:rFonts w:eastAsia="Times New Roman"/>
          <w:noProof/>
          <w:lang w:val="en-IE"/>
        </w:rPr>
        <w:t xml:space="preserve"> </w:t>
      </w:r>
      <w:r w:rsidR="69AABEB8" w:rsidRPr="003B11BD">
        <w:rPr>
          <w:rFonts w:eastAsia="Times New Roman"/>
          <w:noProof/>
          <w:lang w:val="en-IE"/>
        </w:rPr>
        <w:t>crucial</w:t>
      </w:r>
      <w:r w:rsidRPr="003B11BD">
        <w:rPr>
          <w:rFonts w:eastAsia="Times New Roman"/>
          <w:noProof/>
          <w:lang w:val="en-IE"/>
        </w:rPr>
        <w:t xml:space="preserve"> obstacle preventing an EU-wide approach for addressing a crisis via a </w:t>
      </w:r>
      <w:r w:rsidR="1116A909" w:rsidRPr="003B11BD">
        <w:rPr>
          <w:rFonts w:eastAsia="Times New Roman"/>
          <w:noProof/>
          <w:lang w:val="en-IE"/>
        </w:rPr>
        <w:t>compulsory licence</w:t>
      </w:r>
      <w:r w:rsidRPr="003B11BD">
        <w:rPr>
          <w:rFonts w:eastAsia="Times New Roman"/>
          <w:noProof/>
          <w:lang w:val="en-IE"/>
        </w:rPr>
        <w:t xml:space="preserve">. </w:t>
      </w:r>
      <w:r w:rsidR="1CF70187" w:rsidRPr="003B11BD">
        <w:rPr>
          <w:rFonts w:eastAsia="Times New Roman"/>
          <w:noProof/>
          <w:lang w:val="en-IE"/>
        </w:rPr>
        <w:t xml:space="preserve">There is no </w:t>
      </w:r>
      <w:r w:rsidR="00D43F3F" w:rsidRPr="003B11BD">
        <w:rPr>
          <w:rFonts w:eastAsia="Times New Roman"/>
          <w:noProof/>
          <w:lang w:val="en-IE"/>
        </w:rPr>
        <w:t>Single Market</w:t>
      </w:r>
      <w:r w:rsidR="1CF70187" w:rsidRPr="003B11BD">
        <w:rPr>
          <w:rFonts w:eastAsia="Times New Roman"/>
          <w:noProof/>
          <w:lang w:val="en-IE"/>
        </w:rPr>
        <w:t xml:space="preserve"> for products produced under a compulsory licence.</w:t>
      </w:r>
    </w:p>
    <w:p w14:paraId="071EFF8A" w14:textId="3C6FAABA" w:rsidR="00D20FD1" w:rsidRPr="003B11BD" w:rsidRDefault="58128BED" w:rsidP="3D269CB2">
      <w:pPr>
        <w:rPr>
          <w:rFonts w:eastAsia="Times New Roman"/>
          <w:noProof/>
          <w:lang w:val="en-IE"/>
        </w:rPr>
      </w:pPr>
      <w:r w:rsidRPr="003B11BD">
        <w:rPr>
          <w:rFonts w:eastAsia="Times New Roman"/>
          <w:noProof/>
          <w:lang w:val="en-IE"/>
        </w:rPr>
        <w:t xml:space="preserve">The free movement of goods in the </w:t>
      </w:r>
      <w:r w:rsidR="00D43F3F" w:rsidRPr="003B11BD">
        <w:rPr>
          <w:rFonts w:eastAsia="Times New Roman"/>
          <w:noProof/>
          <w:lang w:val="en-IE"/>
        </w:rPr>
        <w:t>Single Market</w:t>
      </w:r>
      <w:r w:rsidRPr="003B11BD">
        <w:rPr>
          <w:rFonts w:eastAsia="Times New Roman"/>
          <w:noProof/>
          <w:lang w:val="en-IE"/>
        </w:rPr>
        <w:t xml:space="preserve"> is one of the fundamental freedoms of the Treaties (articles 34 and 35 TFEU). However, it is not applicable without restrictions. They can be justified by the protection of industrial and commercial property (article 36 TFEU). In its jurisdiction the CJEU has aimed at balancing the different interests involved by, on the one hand, allowing the free circulation of patented goods if the marketing was done with the consent of the patent owner (EU-wide exhaustion), but restricting the free circulation if this consent is missing, as in the case of a compulsory license (no EU-wide exhaustion). Whereas the advantages of a </w:t>
      </w:r>
      <w:r w:rsidR="00D43F3F" w:rsidRPr="003B11BD">
        <w:rPr>
          <w:rFonts w:eastAsia="Times New Roman"/>
          <w:noProof/>
          <w:lang w:val="en-IE"/>
        </w:rPr>
        <w:t>Single Market</w:t>
      </w:r>
      <w:r w:rsidRPr="003B11BD">
        <w:rPr>
          <w:rFonts w:eastAsia="Times New Roman"/>
          <w:noProof/>
          <w:lang w:val="en-IE"/>
        </w:rPr>
        <w:t xml:space="preserve"> might not be needed when the crisis affects only one Member State that has the capacities to supply itself with critical products under a national compulsory license, the lack of a </w:t>
      </w:r>
      <w:r w:rsidR="00D43F3F" w:rsidRPr="003B11BD">
        <w:rPr>
          <w:rFonts w:eastAsia="Times New Roman"/>
          <w:noProof/>
          <w:lang w:val="en-IE"/>
        </w:rPr>
        <w:t>Single Market</w:t>
      </w:r>
      <w:r w:rsidRPr="003B11BD">
        <w:rPr>
          <w:rFonts w:eastAsia="Times New Roman"/>
          <w:noProof/>
          <w:lang w:val="en-IE"/>
        </w:rPr>
        <w:t xml:space="preserve"> for such products and its effects become a significant barrier to cross-border supply in times of an EU-wide crisis when some Member States depend on the capacities of others.</w:t>
      </w:r>
    </w:p>
    <w:p w14:paraId="63B4E6ED" w14:textId="22F56828" w:rsidR="00D20FD1" w:rsidRPr="003B11BD" w:rsidRDefault="76215160" w:rsidP="000E3086">
      <w:pPr>
        <w:rPr>
          <w:rFonts w:eastAsia="Times New Roman"/>
          <w:noProof/>
          <w:lang w:val="en-IE"/>
        </w:rPr>
      </w:pPr>
      <w:r w:rsidRPr="003B11BD">
        <w:rPr>
          <w:rFonts w:eastAsia="Times New Roman"/>
          <w:noProof/>
          <w:lang w:val="en-IE"/>
        </w:rPr>
        <w:t>I</w:t>
      </w:r>
      <w:r w:rsidR="44178F4B" w:rsidRPr="003B11BD">
        <w:rPr>
          <w:rFonts w:eastAsia="Times New Roman"/>
          <w:noProof/>
          <w:lang w:val="en-IE"/>
        </w:rPr>
        <w:t>f</w:t>
      </w:r>
      <w:r w:rsidR="2BBC71A8" w:rsidRPr="003B11BD">
        <w:rPr>
          <w:rFonts w:eastAsia="Times New Roman"/>
          <w:noProof/>
          <w:lang w:val="en-IE"/>
        </w:rPr>
        <w:t xml:space="preserve"> a product that is important for solving an EU-wide crises can be manufactured in </w:t>
      </w:r>
      <w:r w:rsidR="6D68ADE9" w:rsidRPr="003B11BD">
        <w:rPr>
          <w:rFonts w:eastAsia="Times New Roman"/>
          <w:noProof/>
          <w:lang w:val="en-IE"/>
        </w:rPr>
        <w:t>one</w:t>
      </w:r>
      <w:r w:rsidR="6F4BBD47" w:rsidRPr="003B11BD">
        <w:rPr>
          <w:rFonts w:eastAsia="Times New Roman"/>
          <w:noProof/>
          <w:lang w:val="en-IE"/>
        </w:rPr>
        <w:t xml:space="preserve"> Member State</w:t>
      </w:r>
      <w:r w:rsidR="2BBC71A8" w:rsidRPr="003B11BD">
        <w:rPr>
          <w:rFonts w:eastAsia="Times New Roman"/>
          <w:noProof/>
          <w:lang w:val="en-IE"/>
        </w:rPr>
        <w:t xml:space="preserve"> under a </w:t>
      </w:r>
      <w:r w:rsidR="4ECBCCDE" w:rsidRPr="003B11BD">
        <w:rPr>
          <w:rFonts w:eastAsia="Times New Roman"/>
          <w:noProof/>
          <w:lang w:val="en-IE"/>
        </w:rPr>
        <w:t>compulsory licence</w:t>
      </w:r>
      <w:r w:rsidR="2BBC71A8" w:rsidRPr="003B11BD">
        <w:rPr>
          <w:rFonts w:eastAsia="Times New Roman"/>
          <w:noProof/>
          <w:lang w:val="en-IE"/>
        </w:rPr>
        <w:t xml:space="preserve">, that </w:t>
      </w:r>
      <w:r w:rsidR="0159D861" w:rsidRPr="003B11BD">
        <w:rPr>
          <w:rFonts w:eastAsia="Times New Roman"/>
          <w:noProof/>
          <w:lang w:val="en-IE"/>
        </w:rPr>
        <w:t>compulsory licence</w:t>
      </w:r>
      <w:r w:rsidR="2BBC71A8" w:rsidRPr="003B11BD">
        <w:rPr>
          <w:rFonts w:eastAsia="Times New Roman"/>
          <w:noProof/>
          <w:lang w:val="en-IE"/>
        </w:rPr>
        <w:t xml:space="preserve"> would not allow the supply in </w:t>
      </w:r>
      <w:r w:rsidR="714FE836" w:rsidRPr="003B11BD">
        <w:rPr>
          <w:rFonts w:eastAsia="Times New Roman"/>
          <w:noProof/>
          <w:lang w:val="en-IE"/>
        </w:rPr>
        <w:t>an</w:t>
      </w:r>
      <w:r w:rsidR="2BBC71A8" w:rsidRPr="003B11BD">
        <w:rPr>
          <w:rFonts w:eastAsia="Times New Roman"/>
          <w:noProof/>
          <w:lang w:val="en-IE"/>
        </w:rPr>
        <w:t>other M</w:t>
      </w:r>
      <w:r w:rsidR="7184CFFE" w:rsidRPr="003B11BD">
        <w:rPr>
          <w:rFonts w:eastAsia="Times New Roman"/>
          <w:noProof/>
          <w:lang w:val="en-IE"/>
        </w:rPr>
        <w:t>ember State</w:t>
      </w:r>
      <w:r w:rsidR="2BBC71A8" w:rsidRPr="003B11BD">
        <w:rPr>
          <w:rFonts w:eastAsia="Times New Roman"/>
          <w:noProof/>
          <w:lang w:val="en-IE"/>
        </w:rPr>
        <w:t xml:space="preserve">. Multiple </w:t>
      </w:r>
      <w:r w:rsidR="55755488" w:rsidRPr="003B11BD">
        <w:rPr>
          <w:rFonts w:eastAsia="Times New Roman"/>
          <w:noProof/>
          <w:lang w:val="en-IE"/>
        </w:rPr>
        <w:t xml:space="preserve">compulsory licences </w:t>
      </w:r>
      <w:r w:rsidR="2BBC71A8" w:rsidRPr="003B11BD">
        <w:rPr>
          <w:rFonts w:eastAsia="Times New Roman"/>
          <w:noProof/>
          <w:lang w:val="en-IE"/>
        </w:rPr>
        <w:t>would need to be requested in all</w:t>
      </w:r>
      <w:r w:rsidR="2A95363A" w:rsidRPr="003B11BD">
        <w:rPr>
          <w:rFonts w:eastAsia="Times New Roman"/>
          <w:noProof/>
          <w:lang w:val="en-IE"/>
        </w:rPr>
        <w:t xml:space="preserve"> </w:t>
      </w:r>
      <w:r w:rsidR="5C766880" w:rsidRPr="003B11BD">
        <w:rPr>
          <w:rFonts w:eastAsia="Times New Roman"/>
          <w:noProof/>
          <w:lang w:val="en-IE"/>
        </w:rPr>
        <w:t>importing</w:t>
      </w:r>
      <w:r w:rsidR="2BBC71A8" w:rsidRPr="003B11BD">
        <w:rPr>
          <w:rFonts w:eastAsia="Times New Roman"/>
          <w:noProof/>
          <w:lang w:val="en-IE"/>
        </w:rPr>
        <w:t xml:space="preserve"> M</w:t>
      </w:r>
      <w:r w:rsidR="6490F35E" w:rsidRPr="003B11BD">
        <w:rPr>
          <w:rFonts w:eastAsia="Times New Roman"/>
          <w:noProof/>
          <w:lang w:val="en-IE"/>
        </w:rPr>
        <w:t>ember States</w:t>
      </w:r>
      <w:r w:rsidR="65E07845" w:rsidRPr="003B11BD">
        <w:rPr>
          <w:rFonts w:eastAsia="Times New Roman"/>
          <w:noProof/>
          <w:lang w:val="en-IE"/>
        </w:rPr>
        <w:t>.</w:t>
      </w:r>
      <w:r w:rsidR="0D27BDC9" w:rsidRPr="003B11BD">
        <w:rPr>
          <w:rFonts w:eastAsia="Times New Roman"/>
          <w:noProof/>
          <w:lang w:val="en-IE"/>
        </w:rPr>
        <w:t xml:space="preserve"> </w:t>
      </w:r>
      <w:r w:rsidR="17CB0C64" w:rsidRPr="003B11BD">
        <w:rPr>
          <w:rFonts w:eastAsia="Times New Roman"/>
          <w:noProof/>
          <w:lang w:val="en-IE"/>
        </w:rPr>
        <w:t xml:space="preserve">These additional compulsory licences in the importing Member States </w:t>
      </w:r>
      <w:r w:rsidR="43DBAF51" w:rsidRPr="003B11BD">
        <w:rPr>
          <w:rFonts w:eastAsia="Times New Roman"/>
          <w:noProof/>
          <w:lang w:val="en-IE"/>
        </w:rPr>
        <w:t>would be</w:t>
      </w:r>
      <w:r w:rsidR="17CB0C64" w:rsidRPr="003B11BD">
        <w:rPr>
          <w:rFonts w:eastAsia="Times New Roman"/>
          <w:noProof/>
          <w:lang w:val="en-IE"/>
        </w:rPr>
        <w:t xml:space="preserve"> necessary </w:t>
      </w:r>
      <w:r w:rsidR="075DF39C" w:rsidRPr="003B11BD">
        <w:rPr>
          <w:rFonts w:eastAsia="Times New Roman"/>
          <w:noProof/>
          <w:lang w:val="en-IE"/>
        </w:rPr>
        <w:t>to prevent the</w:t>
      </w:r>
      <w:r w:rsidR="17CB0C64" w:rsidRPr="003B11BD">
        <w:rPr>
          <w:rFonts w:eastAsia="Times New Roman"/>
          <w:noProof/>
          <w:lang w:val="en-IE"/>
        </w:rPr>
        <w:t xml:space="preserve"> patent holder from </w:t>
      </w:r>
      <w:r w:rsidR="6755B164" w:rsidRPr="003B11BD">
        <w:rPr>
          <w:rFonts w:eastAsia="Times New Roman"/>
          <w:noProof/>
          <w:lang w:val="en-IE"/>
        </w:rPr>
        <w:t>exercising</w:t>
      </w:r>
      <w:r w:rsidR="17CB0C64" w:rsidRPr="003B11BD">
        <w:rPr>
          <w:rFonts w:eastAsia="Times New Roman"/>
          <w:noProof/>
          <w:lang w:val="en-IE"/>
        </w:rPr>
        <w:t xml:space="preserve"> his patent rights </w:t>
      </w:r>
      <w:r w:rsidR="053B4E33" w:rsidRPr="003B11BD">
        <w:rPr>
          <w:rFonts w:eastAsia="Times New Roman"/>
          <w:noProof/>
          <w:lang w:val="en-IE"/>
        </w:rPr>
        <w:t xml:space="preserve">to stop the goods from being imported </w:t>
      </w:r>
      <w:r w:rsidR="26EF1A49" w:rsidRPr="003B11BD">
        <w:rPr>
          <w:rFonts w:eastAsia="Times New Roman"/>
          <w:noProof/>
          <w:lang w:val="en-IE"/>
        </w:rPr>
        <w:t xml:space="preserve">(still </w:t>
      </w:r>
      <w:r w:rsidR="0ECC95C6" w:rsidRPr="003B11BD">
        <w:rPr>
          <w:rFonts w:eastAsia="Times New Roman"/>
          <w:noProof/>
          <w:lang w:val="en-IE"/>
        </w:rPr>
        <w:t xml:space="preserve">exercisable </w:t>
      </w:r>
      <w:r w:rsidR="0CEA6D1A" w:rsidRPr="003B11BD">
        <w:rPr>
          <w:rFonts w:eastAsia="Times New Roman"/>
          <w:noProof/>
          <w:lang w:val="en-IE"/>
        </w:rPr>
        <w:t>d</w:t>
      </w:r>
      <w:r w:rsidR="0ECC95C6" w:rsidRPr="003B11BD">
        <w:rPr>
          <w:rFonts w:eastAsia="Times New Roman"/>
          <w:noProof/>
          <w:lang w:val="en-IE"/>
        </w:rPr>
        <w:t>ue to the lack of exhaustion)</w:t>
      </w:r>
      <w:r w:rsidR="10A98E93" w:rsidRPr="003B11BD">
        <w:rPr>
          <w:rFonts w:eastAsia="Times New Roman"/>
          <w:noProof/>
          <w:lang w:val="en-IE"/>
        </w:rPr>
        <w:t>.</w:t>
      </w:r>
      <w:r w:rsidR="17CB0C64" w:rsidRPr="003B11BD">
        <w:rPr>
          <w:rFonts w:eastAsia="Times New Roman"/>
          <w:noProof/>
          <w:lang w:val="en-IE"/>
        </w:rPr>
        <w:t xml:space="preserve"> </w:t>
      </w:r>
      <w:r w:rsidR="27256DF3" w:rsidRPr="003B11BD">
        <w:rPr>
          <w:rFonts w:eastAsia="Times New Roman"/>
          <w:noProof/>
          <w:lang w:val="en-IE"/>
        </w:rPr>
        <w:t xml:space="preserve">Apart from the fact that requiring multiple national compulsory licenses is a high </w:t>
      </w:r>
      <w:r w:rsidR="01112529" w:rsidRPr="003B11BD">
        <w:rPr>
          <w:rFonts w:eastAsia="Times New Roman"/>
          <w:noProof/>
          <w:lang w:val="en-IE"/>
        </w:rPr>
        <w:t>hurdle</w:t>
      </w:r>
      <w:r w:rsidR="1526C2E2" w:rsidRPr="003B11BD">
        <w:rPr>
          <w:rFonts w:eastAsia="Times New Roman"/>
          <w:noProof/>
          <w:lang w:val="en-IE"/>
        </w:rPr>
        <w:t xml:space="preserve"> for cross-border </w:t>
      </w:r>
      <w:r w:rsidR="5662F7F6" w:rsidRPr="003B11BD">
        <w:rPr>
          <w:rFonts w:eastAsia="Times New Roman"/>
          <w:noProof/>
          <w:lang w:val="en-IE"/>
        </w:rPr>
        <w:t xml:space="preserve">supply within the EU </w:t>
      </w:r>
      <w:r w:rsidR="00D43F3F" w:rsidRPr="003B11BD">
        <w:rPr>
          <w:rFonts w:eastAsia="Times New Roman"/>
          <w:noProof/>
          <w:lang w:val="en-IE"/>
        </w:rPr>
        <w:t>Single Market</w:t>
      </w:r>
      <w:r w:rsidR="01112529" w:rsidRPr="003B11BD">
        <w:rPr>
          <w:rFonts w:eastAsia="Times New Roman"/>
          <w:noProof/>
          <w:lang w:val="en-IE"/>
        </w:rPr>
        <w:t>, this</w:t>
      </w:r>
      <w:r w:rsidR="27256DF3" w:rsidRPr="003B11BD">
        <w:rPr>
          <w:rFonts w:eastAsia="Times New Roman"/>
          <w:noProof/>
          <w:lang w:val="en-IE"/>
        </w:rPr>
        <w:t xml:space="preserve"> also bears the risk of</w:t>
      </w:r>
      <w:r w:rsidR="3EDAA564" w:rsidRPr="003B11BD">
        <w:rPr>
          <w:rFonts w:eastAsia="Times New Roman"/>
          <w:noProof/>
          <w:lang w:val="en-IE"/>
        </w:rPr>
        <w:t xml:space="preserve"> contradicting decisions </w:t>
      </w:r>
      <w:r w:rsidR="1E850970" w:rsidRPr="003B11BD">
        <w:rPr>
          <w:rFonts w:eastAsia="Times New Roman"/>
          <w:noProof/>
          <w:lang w:val="en-IE"/>
        </w:rPr>
        <w:t>(for instance diverging in content) due to</w:t>
      </w:r>
      <w:r w:rsidR="24499F3C" w:rsidRPr="003B11BD">
        <w:rPr>
          <w:rFonts w:eastAsia="Times New Roman"/>
          <w:noProof/>
          <w:lang w:val="en-IE"/>
        </w:rPr>
        <w:t xml:space="preserve"> the current </w:t>
      </w:r>
      <w:r w:rsidR="47AE6704" w:rsidRPr="003B11BD">
        <w:rPr>
          <w:rFonts w:eastAsia="Times New Roman"/>
          <w:noProof/>
          <w:lang w:val="en-IE"/>
        </w:rPr>
        <w:t xml:space="preserve">legal </w:t>
      </w:r>
      <w:r w:rsidR="24499F3C" w:rsidRPr="003B11BD">
        <w:rPr>
          <w:rFonts w:eastAsia="Times New Roman"/>
          <w:noProof/>
          <w:lang w:val="en-IE"/>
        </w:rPr>
        <w:t xml:space="preserve">fragmentation </w:t>
      </w:r>
      <w:r w:rsidR="4F358FF5" w:rsidRPr="003B11BD">
        <w:rPr>
          <w:rFonts w:eastAsia="Times New Roman"/>
          <w:noProof/>
          <w:lang w:val="en-IE"/>
        </w:rPr>
        <w:t xml:space="preserve">of national compulsory licensing schemes. </w:t>
      </w:r>
    </w:p>
    <w:p w14:paraId="2ACBE013" w14:textId="5B8D1F99" w:rsidR="00CB2982" w:rsidRPr="003B11BD" w:rsidRDefault="4BFC3BEA" w:rsidP="4A64553B">
      <w:pPr>
        <w:pStyle w:val="AnnexTitle"/>
        <w:rPr>
          <w:noProof/>
        </w:rPr>
      </w:pPr>
      <w:bookmarkStart w:id="1176" w:name="_Toc120731257"/>
      <w:bookmarkStart w:id="1177" w:name="_Toc121386420"/>
      <w:bookmarkStart w:id="1178" w:name="_Toc121489644"/>
      <w:bookmarkStart w:id="1179" w:name="_Toc121496411"/>
      <w:bookmarkStart w:id="1180" w:name="_Toc133435408"/>
      <w:bookmarkStart w:id="1181" w:name="_Toc121748057"/>
      <w:r w:rsidRPr="003B11BD">
        <w:rPr>
          <w:noProof/>
        </w:rPr>
        <w:t xml:space="preserve">Annex </w:t>
      </w:r>
      <w:r w:rsidR="00C2149B" w:rsidRPr="003B11BD">
        <w:rPr>
          <w:noProof/>
        </w:rPr>
        <w:t>8</w:t>
      </w:r>
      <w:r w:rsidRPr="003B11BD">
        <w:rPr>
          <w:noProof/>
        </w:rPr>
        <w:t>: SME test</w:t>
      </w:r>
      <w:bookmarkEnd w:id="1176"/>
      <w:bookmarkEnd w:id="1177"/>
      <w:bookmarkEnd w:id="1178"/>
      <w:bookmarkEnd w:id="1179"/>
      <w:bookmarkEnd w:id="1180"/>
      <w:r w:rsidRPr="003B11BD">
        <w:rPr>
          <w:noProof/>
        </w:rPr>
        <w:t xml:space="preserve"> </w:t>
      </w:r>
      <w:bookmarkEnd w:id="1181"/>
    </w:p>
    <w:p w14:paraId="6632DBED" w14:textId="0FABF8F1" w:rsidR="003F5CFD" w:rsidRPr="003B11BD" w:rsidRDefault="003F5CFD" w:rsidP="003F5CFD">
      <w:pPr>
        <w:rPr>
          <w:noProof/>
          <w:lang w:val="en-IE"/>
        </w:rPr>
      </w:pPr>
      <w:r w:rsidRPr="003B11BD">
        <w:rPr>
          <w:noProof/>
          <w:lang w:val="en-IE"/>
        </w:rPr>
        <w:t xml:space="preserve">This SME-test investigates the impacts of the preferred policy option on SMEs that might be concerned by </w:t>
      </w:r>
      <w:r w:rsidR="000B5D2D" w:rsidRPr="003B11BD">
        <w:rPr>
          <w:noProof/>
          <w:lang w:val="en-IE"/>
        </w:rPr>
        <w:t>compulsory licencing</w:t>
      </w:r>
      <w:r w:rsidRPr="003B11BD">
        <w:rPr>
          <w:noProof/>
          <w:lang w:val="en-IE"/>
        </w:rPr>
        <w:t xml:space="preserve"> issued to address a crisis.</w:t>
      </w:r>
    </w:p>
    <w:p w14:paraId="17386034" w14:textId="0CF1FF72" w:rsidR="003F5CFD" w:rsidRPr="003B11BD" w:rsidRDefault="003F5CFD" w:rsidP="003F5CFD">
      <w:pPr>
        <w:rPr>
          <w:noProof/>
          <w:lang w:val="en-IE"/>
        </w:rPr>
      </w:pPr>
      <w:r w:rsidRPr="003B11BD">
        <w:rPr>
          <w:noProof/>
          <w:lang w:val="en-IE"/>
        </w:rPr>
        <w:t>The test has been conducted in line with the 4-steps foreseen, as following:</w:t>
      </w:r>
    </w:p>
    <w:p w14:paraId="137B3DB0" w14:textId="757C70AC" w:rsidR="00CB2982" w:rsidRPr="003B11BD" w:rsidRDefault="003F5CFD" w:rsidP="00C03891">
      <w:pPr>
        <w:pStyle w:val="LettersinAnnex"/>
        <w:rPr>
          <w:noProof/>
        </w:rPr>
      </w:pPr>
      <w:r w:rsidRPr="003B11BD">
        <w:rPr>
          <w:noProof/>
        </w:rPr>
        <w:t>Step-1: Identification of affected businesses</w:t>
      </w:r>
    </w:p>
    <w:p w14:paraId="1B3B68EE" w14:textId="13E720F6" w:rsidR="00C03891" w:rsidRPr="003B11BD" w:rsidRDefault="57C4BE14" w:rsidP="00C03891">
      <w:pPr>
        <w:rPr>
          <w:rFonts w:eastAsia="Calibri"/>
          <w:noProof/>
          <w:lang w:val="en-IE"/>
        </w:rPr>
      </w:pPr>
      <w:r w:rsidRPr="003B11BD">
        <w:rPr>
          <w:noProof/>
          <w:lang w:val="en-IE"/>
        </w:rPr>
        <w:t xml:space="preserve">As mentioned in Annex 3, the majority of EPO patent applications originating from European countries were filed by large companies (75%), followed by SMEs and individual inventors (20%), and 5% by universities and public research organisations (see: </w:t>
      </w:r>
      <w:r w:rsidR="00C03891" w:rsidRPr="003B11BD">
        <w:rPr>
          <w:noProof/>
          <w:lang w:val="en-IE"/>
        </w:rPr>
        <w:fldChar w:fldCharType="begin"/>
      </w:r>
      <w:r w:rsidR="00C03891" w:rsidRPr="003B11BD">
        <w:rPr>
          <w:noProof/>
          <w:lang w:val="en-IE"/>
        </w:rPr>
        <w:instrText xml:space="preserve"> REF _Ref121733743 \h </w:instrText>
      </w:r>
      <w:r w:rsidR="0010202B" w:rsidRPr="003B11BD">
        <w:rPr>
          <w:noProof/>
          <w:lang w:val="en-IE"/>
        </w:rPr>
        <w:instrText xml:space="preserve"> \* MERGEFORMAT </w:instrText>
      </w:r>
      <w:r w:rsidR="00C03891" w:rsidRPr="003B11BD">
        <w:rPr>
          <w:noProof/>
          <w:lang w:val="en-IE"/>
        </w:rPr>
      </w:r>
      <w:r w:rsidR="00C03891" w:rsidRPr="003B11BD">
        <w:rPr>
          <w:noProof/>
          <w:lang w:val="en-IE"/>
        </w:rPr>
        <w:fldChar w:fldCharType="separate"/>
      </w:r>
      <w:r w:rsidR="00C6592A" w:rsidRPr="003B11BD">
        <w:rPr>
          <w:noProof/>
          <w:lang w:val="en-IE"/>
        </w:rPr>
        <w:t xml:space="preserve">Figure </w:t>
      </w:r>
      <w:r w:rsidR="00C6592A">
        <w:rPr>
          <w:noProof/>
          <w:lang w:val="en-IE"/>
        </w:rPr>
        <w:t>11</w:t>
      </w:r>
      <w:r w:rsidR="00C03891" w:rsidRPr="003B11BD">
        <w:rPr>
          <w:noProof/>
          <w:lang w:val="en-IE"/>
        </w:rPr>
        <w:fldChar w:fldCharType="end"/>
      </w:r>
      <w:r w:rsidRPr="003B11BD">
        <w:rPr>
          <w:noProof/>
          <w:lang w:val="en-IE"/>
        </w:rPr>
        <w:t xml:space="preserve">). </w:t>
      </w:r>
      <w:r w:rsidRPr="003B11BD">
        <w:rPr>
          <w:rFonts w:eastAsia="Calibri"/>
          <w:noProof/>
          <w:lang w:val="en-IE"/>
        </w:rPr>
        <w:t xml:space="preserve">The 2022 IP SME Scoreboard collected data among 8.372 SMEs in all 27 EU Member States. Only 10 % of these SMEs reported that they own registered IP rights, such as patents. Among those SMEs owning a registered IP right, national </w:t>
      </w:r>
      <w:r w:rsidR="00AE00C8" w:rsidRPr="003B11BD">
        <w:rPr>
          <w:rFonts w:eastAsia="Calibri"/>
          <w:noProof/>
          <w:lang w:val="en-IE"/>
        </w:rPr>
        <w:t>trademarks</w:t>
      </w:r>
      <w:r w:rsidRPr="003B11BD">
        <w:rPr>
          <w:rFonts w:eastAsia="Calibri"/>
          <w:noProof/>
          <w:lang w:val="en-IE"/>
        </w:rPr>
        <w:t xml:space="preserve"> are the most commonly owned registered type if IP right, owned by 6 % of SMEs. This is followed by EU trademarks (EUTM) and patents (both owned by roughly 4 % of SMEs – 4.2 % EUTMs and 3.6 % patents). The least frequently owned registered types of IP rights are breeder rights / plant variety rights (1 %) and registered Community design (2 %). Thus,</w:t>
      </w:r>
      <w:r w:rsidR="46F2FB1B" w:rsidRPr="003B11BD">
        <w:rPr>
          <w:rFonts w:eastAsia="Calibri"/>
          <w:noProof/>
          <w:lang w:val="en-IE"/>
        </w:rPr>
        <w:t xml:space="preserve"> </w:t>
      </w:r>
      <w:r w:rsidRPr="003B11BD">
        <w:rPr>
          <w:rFonts w:eastAsia="Calibri"/>
          <w:noProof/>
          <w:lang w:val="en-IE"/>
        </w:rPr>
        <w:t xml:space="preserve">the number of patents owned by SMEs is in general low. </w:t>
      </w:r>
      <w:r w:rsidR="3BDF37B8" w:rsidRPr="003B11BD">
        <w:rPr>
          <w:rFonts w:eastAsia="Calibri"/>
          <w:noProof/>
          <w:lang w:val="en-IE"/>
        </w:rPr>
        <w:t xml:space="preserve">However, the initiative </w:t>
      </w:r>
      <w:r w:rsidR="7C07904F" w:rsidRPr="003B11BD">
        <w:rPr>
          <w:rFonts w:eastAsia="Calibri"/>
          <w:noProof/>
          <w:lang w:val="en-IE"/>
        </w:rPr>
        <w:t>is considered relevant for SMEs as</w:t>
      </w:r>
      <w:r w:rsidR="1496AC86" w:rsidRPr="003B11BD">
        <w:rPr>
          <w:rFonts w:eastAsia="Calibri"/>
          <w:noProof/>
          <w:lang w:val="en-IE"/>
        </w:rPr>
        <w:t xml:space="preserve"> it targets </w:t>
      </w:r>
      <w:r w:rsidR="57B84A3F" w:rsidRPr="003B11BD">
        <w:rPr>
          <w:rFonts w:eastAsia="Calibri"/>
          <w:noProof/>
          <w:lang w:val="en-IE"/>
        </w:rPr>
        <w:t xml:space="preserve">patented products that are needed for crisis management, regardless of the patent owner (be it a large </w:t>
      </w:r>
      <w:r w:rsidR="7EB41892" w:rsidRPr="003B11BD">
        <w:rPr>
          <w:rFonts w:eastAsia="Calibri"/>
          <w:noProof/>
          <w:lang w:val="en-IE"/>
        </w:rPr>
        <w:t xml:space="preserve">company or a SME). </w:t>
      </w:r>
      <w:r w:rsidR="40409C68" w:rsidRPr="003B11BD">
        <w:rPr>
          <w:rFonts w:eastAsia="Calibri"/>
          <w:noProof/>
          <w:lang w:val="en-IE"/>
        </w:rPr>
        <w:t xml:space="preserve">Since </w:t>
      </w:r>
      <w:r w:rsidR="7EB41892" w:rsidRPr="003B11BD">
        <w:rPr>
          <w:rFonts w:eastAsia="Calibri"/>
          <w:noProof/>
          <w:lang w:val="en-IE"/>
        </w:rPr>
        <w:t xml:space="preserve">SMEs </w:t>
      </w:r>
      <w:r w:rsidR="0276FDF0" w:rsidRPr="003B11BD">
        <w:rPr>
          <w:rFonts w:eastAsia="Calibri"/>
          <w:noProof/>
          <w:lang w:val="en-IE"/>
        </w:rPr>
        <w:t>own patents, even if this applies to them to a small extent, it cannot be ruled out that a SME-</w:t>
      </w:r>
      <w:r w:rsidR="7D89934A" w:rsidRPr="003B11BD">
        <w:rPr>
          <w:rFonts w:eastAsia="Calibri"/>
          <w:noProof/>
          <w:lang w:val="en-IE"/>
        </w:rPr>
        <w:t>owned</w:t>
      </w:r>
      <w:r w:rsidR="0276FDF0" w:rsidRPr="003B11BD">
        <w:rPr>
          <w:rFonts w:eastAsia="Calibri"/>
          <w:noProof/>
          <w:lang w:val="en-IE"/>
        </w:rPr>
        <w:t xml:space="preserve"> </w:t>
      </w:r>
      <w:r w:rsidR="49542B9D" w:rsidRPr="003B11BD">
        <w:rPr>
          <w:rFonts w:eastAsia="Calibri"/>
          <w:noProof/>
          <w:lang w:val="en-IE"/>
        </w:rPr>
        <w:t xml:space="preserve">patent </w:t>
      </w:r>
      <w:r w:rsidR="7D89934A" w:rsidRPr="003B11BD">
        <w:rPr>
          <w:rFonts w:eastAsia="Calibri"/>
          <w:noProof/>
          <w:lang w:val="en-IE"/>
        </w:rPr>
        <w:t>will be subject</w:t>
      </w:r>
      <w:r w:rsidR="70846995" w:rsidRPr="003B11BD">
        <w:rPr>
          <w:rFonts w:eastAsia="Calibri"/>
          <w:noProof/>
          <w:lang w:val="en-IE"/>
        </w:rPr>
        <w:t xml:space="preserve"> of </w:t>
      </w:r>
      <w:r w:rsidR="7D89934A" w:rsidRPr="003B11BD">
        <w:rPr>
          <w:rFonts w:eastAsia="Calibri"/>
          <w:noProof/>
          <w:lang w:val="en-IE"/>
        </w:rPr>
        <w:t xml:space="preserve">a compulsory licence. </w:t>
      </w:r>
      <w:r w:rsidR="0276FDF0" w:rsidRPr="003B11BD">
        <w:rPr>
          <w:rFonts w:eastAsia="Calibri"/>
          <w:noProof/>
          <w:lang w:val="en-IE"/>
        </w:rPr>
        <w:t xml:space="preserve"> </w:t>
      </w:r>
      <w:r w:rsidR="06219BB6" w:rsidRPr="003B11BD">
        <w:rPr>
          <w:rFonts w:eastAsia="Calibri"/>
          <w:noProof/>
          <w:lang w:val="en-IE"/>
        </w:rPr>
        <w:t>Nevertheless</w:t>
      </w:r>
      <w:r w:rsidR="52887C3D" w:rsidRPr="003B11BD">
        <w:rPr>
          <w:rFonts w:eastAsia="Calibri"/>
          <w:noProof/>
          <w:lang w:val="en-IE"/>
        </w:rPr>
        <w:t xml:space="preserve">, </w:t>
      </w:r>
      <w:r w:rsidR="291D98DB" w:rsidRPr="003B11BD">
        <w:rPr>
          <w:rFonts w:eastAsia="Calibri"/>
          <w:noProof/>
          <w:lang w:val="en-IE"/>
        </w:rPr>
        <w:t>a</w:t>
      </w:r>
      <w:r w:rsidRPr="003B11BD">
        <w:rPr>
          <w:rFonts w:eastAsia="Calibri"/>
          <w:noProof/>
          <w:lang w:val="en-IE"/>
        </w:rPr>
        <w:t xml:space="preserve">s the initiative focuses on patents, only a very small part of the SMEs could possibly be affected </w:t>
      </w:r>
      <w:r w:rsidR="755EF49B" w:rsidRPr="003B11BD">
        <w:rPr>
          <w:rFonts w:eastAsia="Calibri"/>
          <w:noProof/>
          <w:lang w:val="en-IE"/>
        </w:rPr>
        <w:t xml:space="preserve">directly </w:t>
      </w:r>
      <w:r w:rsidRPr="003B11BD">
        <w:rPr>
          <w:rFonts w:eastAsia="Calibri"/>
          <w:noProof/>
          <w:lang w:val="en-IE"/>
        </w:rPr>
        <w:t>by compulsory licenc</w:t>
      </w:r>
      <w:r w:rsidR="120E00D4" w:rsidRPr="003B11BD">
        <w:rPr>
          <w:rFonts w:eastAsia="Calibri"/>
          <w:noProof/>
          <w:lang w:val="en-IE"/>
        </w:rPr>
        <w:t>ing</w:t>
      </w:r>
      <w:r w:rsidRPr="003B11BD">
        <w:rPr>
          <w:rFonts w:eastAsia="Calibri"/>
          <w:noProof/>
          <w:lang w:val="en-IE"/>
        </w:rPr>
        <w:t xml:space="preserve">. </w:t>
      </w:r>
    </w:p>
    <w:p w14:paraId="725D5140" w14:textId="0C41F014" w:rsidR="003F5CFD" w:rsidRPr="003B11BD" w:rsidRDefault="003F5CFD" w:rsidP="00FF30DF">
      <w:pPr>
        <w:pStyle w:val="LettersinAnnex"/>
        <w:rPr>
          <w:noProof/>
        </w:rPr>
      </w:pPr>
      <w:r w:rsidRPr="003B11BD">
        <w:rPr>
          <w:noProof/>
        </w:rPr>
        <w:t>Step-2: Consultations of SME Stakeholders</w:t>
      </w:r>
    </w:p>
    <w:p w14:paraId="35413019" w14:textId="2FB08F43" w:rsidR="00FF30DF" w:rsidRPr="003B11BD" w:rsidRDefault="007F2E2A" w:rsidP="007F2E2A">
      <w:pPr>
        <w:rPr>
          <w:noProof/>
          <w:lang w:val="en-IE"/>
        </w:rPr>
      </w:pPr>
      <w:r w:rsidRPr="003B11BD">
        <w:rPr>
          <w:noProof/>
          <w:lang w:val="en-IE"/>
        </w:rPr>
        <w:t>As far the OPC are concerned, the SMEs</w:t>
      </w:r>
      <w:r w:rsidR="00A34369" w:rsidRPr="003B11BD">
        <w:rPr>
          <w:noProof/>
          <w:lang w:val="en-IE"/>
        </w:rPr>
        <w:t xml:space="preserve"> contributed</w:t>
      </w:r>
      <w:r w:rsidRPr="003B11BD">
        <w:rPr>
          <w:noProof/>
          <w:lang w:val="en-IE"/>
        </w:rPr>
        <w:t>, but they have not constituted the majority of respondents (74 in total</w:t>
      </w:r>
      <w:r w:rsidR="00596CD1" w:rsidRPr="003B11BD">
        <w:rPr>
          <w:noProof/>
          <w:lang w:val="en-IE"/>
        </w:rPr>
        <w:t>, out of which 18 companies/business organisations</w:t>
      </w:r>
      <w:r w:rsidRPr="003B11BD">
        <w:rPr>
          <w:noProof/>
          <w:lang w:val="en-IE"/>
        </w:rPr>
        <w:t>)</w:t>
      </w:r>
      <w:r w:rsidR="00A34369" w:rsidRPr="003B11BD">
        <w:rPr>
          <w:noProof/>
          <w:lang w:val="en-IE"/>
        </w:rPr>
        <w:t xml:space="preserve">, see </w:t>
      </w:r>
      <w:r w:rsidR="00596CD1" w:rsidRPr="003B11BD">
        <w:rPr>
          <w:noProof/>
          <w:lang w:val="en-IE"/>
        </w:rPr>
        <w:fldChar w:fldCharType="begin"/>
      </w:r>
      <w:r w:rsidR="00596CD1" w:rsidRPr="003B11BD">
        <w:rPr>
          <w:noProof/>
          <w:lang w:val="en-IE"/>
        </w:rPr>
        <w:instrText xml:space="preserve"> REF _Ref122450226 \h </w:instrText>
      </w:r>
      <w:r w:rsidR="0010202B" w:rsidRPr="003B11BD">
        <w:rPr>
          <w:noProof/>
          <w:lang w:val="en-IE"/>
        </w:rPr>
        <w:instrText xml:space="preserve"> \* MERGEFORMAT </w:instrText>
      </w:r>
      <w:r w:rsidR="00596CD1" w:rsidRPr="003B11BD">
        <w:rPr>
          <w:noProof/>
          <w:lang w:val="en-IE"/>
        </w:rPr>
      </w:r>
      <w:r w:rsidR="00596CD1" w:rsidRPr="003B11BD">
        <w:rPr>
          <w:noProof/>
          <w:lang w:val="en-IE"/>
        </w:rPr>
        <w:fldChar w:fldCharType="separate"/>
      </w:r>
      <w:r w:rsidR="00C6592A" w:rsidRPr="003B11BD">
        <w:rPr>
          <w:noProof/>
          <w:lang w:val="en-IE"/>
        </w:rPr>
        <w:t xml:space="preserve">Figure </w:t>
      </w:r>
      <w:r w:rsidR="00C6592A">
        <w:rPr>
          <w:noProof/>
          <w:lang w:val="en-IE"/>
        </w:rPr>
        <w:t>25</w:t>
      </w:r>
      <w:r w:rsidR="00596CD1" w:rsidRPr="003B11BD">
        <w:rPr>
          <w:noProof/>
          <w:lang w:val="en-IE"/>
        </w:rPr>
        <w:fldChar w:fldCharType="end"/>
      </w:r>
      <w:r w:rsidR="00596CD1" w:rsidRPr="003B11BD">
        <w:rPr>
          <w:noProof/>
          <w:lang w:val="en-IE"/>
        </w:rPr>
        <w:t xml:space="preserve"> below.</w:t>
      </w:r>
    </w:p>
    <w:p w14:paraId="4ED24A8E" w14:textId="6C1E3708" w:rsidR="007F2E2A" w:rsidRPr="003B11BD" w:rsidRDefault="007F2E2A" w:rsidP="007F2E2A">
      <w:pPr>
        <w:pStyle w:val="Caption"/>
        <w:rPr>
          <w:noProof/>
          <w:lang w:val="en-IE"/>
        </w:rPr>
      </w:pPr>
      <w:bookmarkStart w:id="1182" w:name="_Ref122450226"/>
      <w:r w:rsidRPr="003B11BD">
        <w:rPr>
          <w:noProof/>
          <w:lang w:val="en-IE"/>
        </w:rPr>
        <w:t xml:space="preserve">Figure </w:t>
      </w:r>
      <w:r w:rsidR="00C6592A">
        <w:rPr>
          <w:noProof/>
          <w:lang w:val="en-IE"/>
        </w:rPr>
        <w:t>25</w:t>
      </w:r>
      <w:bookmarkEnd w:id="1182"/>
      <w:r w:rsidRPr="003B11BD">
        <w:rPr>
          <w:noProof/>
          <w:lang w:val="en-IE"/>
        </w:rPr>
        <w:t xml:space="preserve">: </w:t>
      </w:r>
      <w:r w:rsidR="00A34369" w:rsidRPr="003B11BD">
        <w:rPr>
          <w:noProof/>
          <w:lang w:val="en-IE"/>
        </w:rPr>
        <w:t>Number</w:t>
      </w:r>
      <w:r w:rsidRPr="003B11BD">
        <w:rPr>
          <w:noProof/>
          <w:lang w:val="en-IE"/>
        </w:rPr>
        <w:t xml:space="preserve"> of respondents to the OPC by size-classes among companies</w:t>
      </w:r>
    </w:p>
    <w:p w14:paraId="02DA1AE0" w14:textId="0B2148C9" w:rsidR="007F2E2A" w:rsidRPr="003B11BD" w:rsidRDefault="007F2E2A" w:rsidP="007F2E2A">
      <w:pPr>
        <w:jc w:val="center"/>
        <w:rPr>
          <w:noProof/>
          <w:lang w:val="en-IE"/>
        </w:rPr>
      </w:pPr>
      <w:r w:rsidRPr="003B11BD">
        <w:rPr>
          <w:noProof/>
          <w:lang w:eastAsia="en-GB"/>
        </w:rPr>
        <w:drawing>
          <wp:inline distT="0" distB="0" distL="0" distR="0" wp14:anchorId="1BED5FA0" wp14:editId="5D676331">
            <wp:extent cx="2082374" cy="1773361"/>
            <wp:effectExtent l="0" t="0" r="0" b="0"/>
            <wp:docPr id="343297059" name="Picture 34329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6284" t="12044" r="7834" b="2514"/>
                    <a:stretch/>
                  </pic:blipFill>
                  <pic:spPr bwMode="auto">
                    <a:xfrm>
                      <a:off x="0" y="0"/>
                      <a:ext cx="2082374" cy="1773361"/>
                    </a:xfrm>
                    <a:prstGeom prst="rect">
                      <a:avLst/>
                    </a:prstGeom>
                    <a:noFill/>
                    <a:ln>
                      <a:noFill/>
                    </a:ln>
                    <a:extLst>
                      <a:ext uri="{53640926-AAD7-44D8-BBD7-CCE9431645EC}">
                        <a14:shadowObscured xmlns:a14="http://schemas.microsoft.com/office/drawing/2010/main"/>
                      </a:ext>
                    </a:extLst>
                  </pic:spPr>
                </pic:pic>
              </a:graphicData>
            </a:graphic>
          </wp:inline>
        </w:drawing>
      </w:r>
    </w:p>
    <w:p w14:paraId="7EEB1D3C" w14:textId="460B42B8" w:rsidR="007F2E2A" w:rsidRPr="003B11BD" w:rsidRDefault="00AE00C8" w:rsidP="007F2E2A">
      <w:pPr>
        <w:pStyle w:val="Caption"/>
        <w:rPr>
          <w:noProof/>
          <w:lang w:val="en-IE"/>
        </w:rPr>
      </w:pPr>
      <w:r w:rsidRPr="003B11BD">
        <w:rPr>
          <w:noProof/>
          <w:lang w:val="en-IE"/>
        </w:rPr>
        <w:t xml:space="preserve">Source: </w:t>
      </w:r>
      <w:r w:rsidR="007F2E2A" w:rsidRPr="003B11BD">
        <w:rPr>
          <w:noProof/>
          <w:lang w:val="en-IE"/>
        </w:rPr>
        <w:t>OPC</w:t>
      </w:r>
    </w:p>
    <w:p w14:paraId="7458CDA7" w14:textId="0DB1E570" w:rsidR="00A34369" w:rsidRPr="003B11BD" w:rsidRDefault="03961FE8" w:rsidP="00A34369">
      <w:pPr>
        <w:rPr>
          <w:noProof/>
          <w:lang w:val="en-IE"/>
        </w:rPr>
      </w:pPr>
      <w:r w:rsidRPr="003B11BD">
        <w:rPr>
          <w:noProof/>
          <w:lang w:val="en-IE"/>
        </w:rPr>
        <w:t>Additionally,</w:t>
      </w:r>
      <w:r w:rsidR="493B8AC6" w:rsidRPr="003B11BD">
        <w:rPr>
          <w:noProof/>
          <w:lang w:val="en-IE"/>
        </w:rPr>
        <w:t xml:space="preserve"> </w:t>
      </w:r>
      <w:r w:rsidRPr="003B11BD">
        <w:rPr>
          <w:noProof/>
          <w:lang w:val="en-IE"/>
        </w:rPr>
        <w:t>twenty two</w:t>
      </w:r>
      <w:r w:rsidR="493B8AC6" w:rsidRPr="003B11BD">
        <w:rPr>
          <w:noProof/>
          <w:lang w:val="en-IE"/>
        </w:rPr>
        <w:t xml:space="preserve"> </w:t>
      </w:r>
      <w:r w:rsidRPr="003B11BD">
        <w:rPr>
          <w:noProof/>
          <w:lang w:val="en-IE"/>
        </w:rPr>
        <w:t>business associations contributed to the OPC</w:t>
      </w:r>
      <w:r w:rsidR="493B8AC6" w:rsidRPr="003B11BD">
        <w:rPr>
          <w:noProof/>
          <w:lang w:val="en-IE"/>
        </w:rPr>
        <w:t>, among which many could have represented the views of smaller companies.</w:t>
      </w:r>
      <w:r w:rsidR="068A1538" w:rsidRPr="003B11BD">
        <w:rPr>
          <w:noProof/>
          <w:lang w:val="en-IE"/>
        </w:rPr>
        <w:t xml:space="preserve"> </w:t>
      </w:r>
      <w:r w:rsidR="00746D3A" w:rsidRPr="003B11BD">
        <w:rPr>
          <w:noProof/>
          <w:lang w:val="en-IE"/>
        </w:rPr>
        <w:t>I</w:t>
      </w:r>
      <w:r w:rsidR="00776903" w:rsidRPr="003B11BD">
        <w:rPr>
          <w:noProof/>
          <w:lang w:val="en-IE"/>
        </w:rPr>
        <w:t xml:space="preserve">nputs received in the OPC </w:t>
      </w:r>
      <w:r w:rsidR="00746D3A" w:rsidRPr="003B11BD">
        <w:rPr>
          <w:noProof/>
          <w:lang w:val="en-IE"/>
        </w:rPr>
        <w:t xml:space="preserve">have not </w:t>
      </w:r>
      <w:r w:rsidR="00776903" w:rsidRPr="003B11BD">
        <w:rPr>
          <w:noProof/>
          <w:lang w:val="en-IE"/>
        </w:rPr>
        <w:t>pointed out towards potential negative consequences towards SMEs. The same concerned the feedback received following the Call for Evidence.</w:t>
      </w:r>
    </w:p>
    <w:p w14:paraId="7F5F3EC0" w14:textId="22BA5FE9" w:rsidR="003F5CFD" w:rsidRPr="003B11BD" w:rsidRDefault="003F5CFD" w:rsidP="00C0018B">
      <w:pPr>
        <w:pStyle w:val="LettersinAnnex"/>
        <w:rPr>
          <w:noProof/>
        </w:rPr>
      </w:pPr>
      <w:r w:rsidRPr="003B11BD">
        <w:rPr>
          <w:noProof/>
        </w:rPr>
        <w:t>Step-3: Assessment of the impact on SMEs</w:t>
      </w:r>
    </w:p>
    <w:p w14:paraId="521AA12B" w14:textId="40FDC77B" w:rsidR="18ADBE62" w:rsidRPr="003B11BD" w:rsidRDefault="0C5A4ED7" w:rsidP="2EA36C00">
      <w:pPr>
        <w:rPr>
          <w:noProof/>
          <w:lang w:val="en-IE"/>
        </w:rPr>
      </w:pPr>
      <w:r w:rsidRPr="003B11BD">
        <w:rPr>
          <w:noProof/>
          <w:lang w:val="en-IE"/>
        </w:rPr>
        <w:t xml:space="preserve">Impacts that may materialise as a result of the </w:t>
      </w:r>
      <w:r w:rsidR="16FAF674" w:rsidRPr="003B11BD">
        <w:rPr>
          <w:noProof/>
          <w:lang w:val="en-IE"/>
        </w:rPr>
        <w:t>preferred</w:t>
      </w:r>
      <w:r w:rsidRPr="003B11BD">
        <w:rPr>
          <w:noProof/>
          <w:lang w:val="en-IE"/>
        </w:rPr>
        <w:t xml:space="preserve"> option </w:t>
      </w:r>
      <w:r w:rsidR="16FAF674" w:rsidRPr="003B11BD">
        <w:rPr>
          <w:noProof/>
          <w:lang w:val="en-IE"/>
        </w:rPr>
        <w:t xml:space="preserve">(PO4) </w:t>
      </w:r>
      <w:r w:rsidRPr="003B11BD">
        <w:rPr>
          <w:noProof/>
          <w:lang w:val="en-IE"/>
        </w:rPr>
        <w:t>will mainly concern</w:t>
      </w:r>
      <w:r w:rsidR="16FAF674" w:rsidRPr="003B11BD">
        <w:rPr>
          <w:noProof/>
          <w:lang w:val="en-IE"/>
        </w:rPr>
        <w:t xml:space="preserve"> the </w:t>
      </w:r>
      <w:r w:rsidRPr="003B11BD">
        <w:rPr>
          <w:noProof/>
          <w:lang w:val="en-IE"/>
        </w:rPr>
        <w:t>patent holders</w:t>
      </w:r>
      <w:r w:rsidR="4986C0B4" w:rsidRPr="003B11BD">
        <w:rPr>
          <w:noProof/>
          <w:lang w:val="en-IE"/>
        </w:rPr>
        <w:t>, but the number of SMEs that ow</w:t>
      </w:r>
      <w:r w:rsidR="1C35C53E" w:rsidRPr="003B11BD">
        <w:rPr>
          <w:noProof/>
          <w:lang w:val="en-IE"/>
        </w:rPr>
        <w:t>n</w:t>
      </w:r>
      <w:r w:rsidR="4986C0B4" w:rsidRPr="003B11BD">
        <w:rPr>
          <w:noProof/>
          <w:lang w:val="en-IE"/>
        </w:rPr>
        <w:t xml:space="preserve"> IP rights in the EU is relatively low (see above). </w:t>
      </w:r>
      <w:r w:rsidR="7C37543A" w:rsidRPr="003B11BD">
        <w:rPr>
          <w:noProof/>
          <w:lang w:val="en-IE"/>
        </w:rPr>
        <w:t>Furthermore</w:t>
      </w:r>
      <w:r w:rsidR="4986C0B4" w:rsidRPr="003B11BD">
        <w:rPr>
          <w:noProof/>
          <w:lang w:val="en-IE"/>
        </w:rPr>
        <w:t>,</w:t>
      </w:r>
      <w:r w:rsidRPr="003B11BD">
        <w:rPr>
          <w:noProof/>
          <w:lang w:val="en-IE"/>
        </w:rPr>
        <w:t xml:space="preserve"> </w:t>
      </w:r>
      <w:r w:rsidR="10C3863E" w:rsidRPr="003B11BD">
        <w:rPr>
          <w:noProof/>
          <w:lang w:val="en-IE"/>
        </w:rPr>
        <w:t xml:space="preserve">apart from the fact that a compulsory licence is an extreme event in terms of probability (last resort instrument that has been used very rarely in the past), </w:t>
      </w:r>
      <w:r w:rsidRPr="003B11BD">
        <w:rPr>
          <w:noProof/>
          <w:lang w:val="en-IE"/>
        </w:rPr>
        <w:t xml:space="preserve">it can be assumed that small enterprises are more prone to enter into voluntary </w:t>
      </w:r>
      <w:r w:rsidR="16FAF674" w:rsidRPr="003B11BD">
        <w:rPr>
          <w:noProof/>
          <w:lang w:val="en-IE"/>
        </w:rPr>
        <w:t>agreements than larger firms, hence there could be no need to use the CL at all. This is because the</w:t>
      </w:r>
      <w:r w:rsidRPr="003B11BD">
        <w:rPr>
          <w:noProof/>
          <w:lang w:val="en-IE"/>
        </w:rPr>
        <w:t xml:space="preserve"> manufacturing capacities</w:t>
      </w:r>
      <w:r w:rsidR="16FAF674" w:rsidRPr="003B11BD">
        <w:rPr>
          <w:noProof/>
          <w:lang w:val="en-IE"/>
        </w:rPr>
        <w:t xml:space="preserve"> of an SME</w:t>
      </w:r>
      <w:r w:rsidRPr="003B11BD">
        <w:rPr>
          <w:noProof/>
          <w:lang w:val="en-IE"/>
        </w:rPr>
        <w:t xml:space="preserve"> may be insufficient to satisfy sudden increase in demand</w:t>
      </w:r>
      <w:r w:rsidR="16FAF674" w:rsidRPr="003B11BD">
        <w:rPr>
          <w:noProof/>
          <w:lang w:val="en-IE"/>
        </w:rPr>
        <w:t xml:space="preserve"> induced by crisis</w:t>
      </w:r>
      <w:r w:rsidRPr="003B11BD">
        <w:rPr>
          <w:noProof/>
          <w:lang w:val="en-IE"/>
        </w:rPr>
        <w:t xml:space="preserve"> (e.g. carry-out large scale production </w:t>
      </w:r>
      <w:r w:rsidR="16FAF674" w:rsidRPr="003B11BD">
        <w:rPr>
          <w:noProof/>
          <w:lang w:val="en-IE"/>
        </w:rPr>
        <w:t xml:space="preserve">to serve several </w:t>
      </w:r>
      <w:r w:rsidR="00B4494C" w:rsidRPr="003B11BD">
        <w:rPr>
          <w:noProof/>
          <w:lang w:val="en-IE"/>
        </w:rPr>
        <w:t>Member States</w:t>
      </w:r>
      <w:r w:rsidRPr="003B11BD">
        <w:rPr>
          <w:noProof/>
          <w:lang w:val="en-IE"/>
        </w:rPr>
        <w:t>)</w:t>
      </w:r>
      <w:r w:rsidR="16FAF674" w:rsidRPr="003B11BD">
        <w:rPr>
          <w:noProof/>
          <w:lang w:val="en-IE"/>
        </w:rPr>
        <w:t xml:space="preserve">, so they would be more willing to benefit from remuneration from a </w:t>
      </w:r>
      <w:r w:rsidR="73E3D3E1" w:rsidRPr="003B11BD">
        <w:rPr>
          <w:noProof/>
          <w:lang w:val="en-IE"/>
        </w:rPr>
        <w:t>licensing</w:t>
      </w:r>
      <w:r w:rsidR="16FAF674" w:rsidRPr="003B11BD">
        <w:rPr>
          <w:noProof/>
          <w:lang w:val="en-IE"/>
        </w:rPr>
        <w:t xml:space="preserve"> agreement.</w:t>
      </w:r>
      <w:r w:rsidRPr="003B11BD">
        <w:rPr>
          <w:noProof/>
          <w:lang w:val="en-IE"/>
        </w:rPr>
        <w:t xml:space="preserve"> </w:t>
      </w:r>
      <w:r w:rsidR="16FAF674" w:rsidRPr="003B11BD">
        <w:rPr>
          <w:noProof/>
          <w:lang w:val="en-IE"/>
        </w:rPr>
        <w:t xml:space="preserve">In other words, </w:t>
      </w:r>
      <w:r w:rsidR="0ED6C05C" w:rsidRPr="003B11BD">
        <w:rPr>
          <w:noProof/>
          <w:lang w:val="en-IE"/>
        </w:rPr>
        <w:t xml:space="preserve">if during a major cross-border crisis </w:t>
      </w:r>
      <w:r w:rsidR="16FAF674" w:rsidRPr="003B11BD">
        <w:rPr>
          <w:noProof/>
          <w:lang w:val="en-IE"/>
        </w:rPr>
        <w:t>there is</w:t>
      </w:r>
      <w:r w:rsidR="0ED6C05C" w:rsidRPr="003B11BD">
        <w:rPr>
          <w:noProof/>
          <w:lang w:val="en-IE"/>
        </w:rPr>
        <w:t xml:space="preserve"> a need for access to critical goods covered by a patent held by an SME, the probability that such circumstances would lead to CL negotiations is lower </w:t>
      </w:r>
      <w:r w:rsidR="568D303D" w:rsidRPr="003B11BD">
        <w:rPr>
          <w:noProof/>
          <w:lang w:val="en-IE"/>
        </w:rPr>
        <w:t xml:space="preserve">that if the patent holder was a large company. </w:t>
      </w:r>
    </w:p>
    <w:p w14:paraId="038FED01" w14:textId="03747778" w:rsidR="00C0018B" w:rsidRPr="003B11BD" w:rsidRDefault="00D03273" w:rsidP="00C0018B">
      <w:pPr>
        <w:rPr>
          <w:noProof/>
          <w:lang w:val="en-IE"/>
        </w:rPr>
      </w:pPr>
      <w:r w:rsidRPr="003B11BD">
        <w:rPr>
          <w:noProof/>
          <w:lang w:val="en-IE"/>
        </w:rPr>
        <w:t xml:space="preserve">Yet, if a CL is nevertheless granted, the terms and conditions for an SME would be the same as for a large company (i.e. the proposed rules would be identical, irrespective of the patent holder size). </w:t>
      </w:r>
    </w:p>
    <w:p w14:paraId="181011CC" w14:textId="7209A8C1" w:rsidR="003F5CFD" w:rsidRPr="003B11BD" w:rsidRDefault="003F5CFD" w:rsidP="00C0018B">
      <w:pPr>
        <w:pStyle w:val="LettersinAnnex"/>
        <w:rPr>
          <w:noProof/>
        </w:rPr>
      </w:pPr>
      <w:r w:rsidRPr="003B11BD">
        <w:rPr>
          <w:noProof/>
        </w:rPr>
        <w:t>Step-4: Minimising negative impacts on SMEs</w:t>
      </w:r>
      <w:r w:rsidR="4DCBEBA2" w:rsidRPr="003B11BD">
        <w:rPr>
          <w:noProof/>
        </w:rPr>
        <w:t>.</w:t>
      </w:r>
    </w:p>
    <w:p w14:paraId="274C4C25" w14:textId="16A71372" w:rsidR="4DCBEBA2" w:rsidRPr="003B11BD" w:rsidRDefault="4DCBEBA2" w:rsidP="0033180A">
      <w:pPr>
        <w:spacing w:line="257" w:lineRule="auto"/>
        <w:rPr>
          <w:rFonts w:eastAsia="Calibri"/>
          <w:noProof/>
          <w:lang w:val="en-IE"/>
        </w:rPr>
      </w:pPr>
      <w:r w:rsidRPr="003B11BD">
        <w:rPr>
          <w:rFonts w:eastAsia="Calibri"/>
          <w:noProof/>
          <w:lang w:val="en-IE"/>
        </w:rPr>
        <w:t xml:space="preserve">The preferred policy option (PO4) is not expected to have negative effects on SMEs.  </w:t>
      </w:r>
    </w:p>
    <w:p w14:paraId="6486038F" w14:textId="425BAE40" w:rsidR="003F5CFD" w:rsidRPr="003B11BD" w:rsidRDefault="003F5CFD" w:rsidP="003F5CFD">
      <w:pPr>
        <w:rPr>
          <w:noProof/>
          <w:lang w:val="en-IE"/>
        </w:rPr>
      </w:pPr>
    </w:p>
    <w:sectPr w:rsidR="003F5CFD" w:rsidRPr="003B11BD" w:rsidSect="0053316B">
      <w:headerReference w:type="even" r:id="rId114"/>
      <w:headerReference w:type="default" r:id="rId115"/>
      <w:footerReference w:type="even" r:id="rId116"/>
      <w:footerReference w:type="default" r:id="rId117"/>
      <w:headerReference w:type="first" r:id="rId118"/>
      <w:footerReference w:type="first" r:id="rId119"/>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6A26F" w14:textId="77777777" w:rsidR="00921FA3" w:rsidRDefault="00921FA3" w:rsidP="000E3086">
      <w:r>
        <w:separator/>
      </w:r>
    </w:p>
  </w:endnote>
  <w:endnote w:type="continuationSeparator" w:id="0">
    <w:p w14:paraId="4B0A1A8F" w14:textId="77777777" w:rsidR="00921FA3" w:rsidRDefault="00921FA3" w:rsidP="000E3086">
      <w:r>
        <w:continuationSeparator/>
      </w:r>
    </w:p>
  </w:endnote>
  <w:endnote w:type="continuationNotice" w:id="1">
    <w:p w14:paraId="525D96A9" w14:textId="77777777" w:rsidR="00921FA3" w:rsidRDefault="00921F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D523" w14:textId="77777777" w:rsidR="00A06738" w:rsidRDefault="00A067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70B9" w14:textId="77777777" w:rsidR="00921FA3" w:rsidRDefault="00921FA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CB0F" w14:textId="77777777" w:rsidR="00921FA3" w:rsidRPr="00F92EAE" w:rsidRDefault="00921FA3" w:rsidP="00F92EAE">
    <w:pPr>
      <w:pStyle w:val="FooterCoverPage"/>
      <w:rPr>
        <w:rFonts w:ascii="Arial" w:hAnsi="Arial" w:cs="Arial"/>
        <w:b/>
        <w:sz w:val="48"/>
      </w:rPr>
    </w:pPr>
    <w:r w:rsidRPr="00F92EAE">
      <w:rPr>
        <w:rFonts w:ascii="Arial" w:hAnsi="Arial" w:cs="Arial"/>
        <w:b/>
        <w:sz w:val="48"/>
      </w:rPr>
      <w:t>EN</w:t>
    </w:r>
    <w:r w:rsidRPr="00F92EAE">
      <w:rPr>
        <w:rFonts w:ascii="Arial" w:hAnsi="Arial" w:cs="Arial"/>
        <w:b/>
        <w:sz w:val="48"/>
      </w:rPr>
      <w:tab/>
    </w:r>
    <w:r w:rsidRPr="00F92EAE">
      <w:rPr>
        <w:rFonts w:ascii="Arial" w:hAnsi="Arial" w:cs="Arial"/>
        <w:b/>
        <w:sz w:val="48"/>
      </w:rPr>
      <w:tab/>
    </w:r>
    <w:r w:rsidRPr="00F92EAE">
      <w:tab/>
    </w:r>
    <w:proofErr w:type="spellStart"/>
    <w:r w:rsidRPr="00F92EAE">
      <w:rPr>
        <w:rFonts w:ascii="Arial" w:hAnsi="Arial" w:cs="Arial"/>
        <w:b/>
        <w:sz w:val="48"/>
      </w:rPr>
      <w:t>EN</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6D42" w14:textId="77777777" w:rsidR="00921FA3" w:rsidRDefault="00921FA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B5F4" w14:textId="77777777" w:rsidR="00921FA3" w:rsidRDefault="00921FA3" w:rsidP="000E308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AB90" w14:textId="55217862" w:rsidR="00921FA3" w:rsidRDefault="00921FA3" w:rsidP="00A103E4">
    <w:pPr>
      <w:pStyle w:val="Footer"/>
      <w:jc w:val="center"/>
    </w:pPr>
    <w:r>
      <w:fldChar w:fldCharType="begin"/>
    </w:r>
    <w:r>
      <w:instrText>PAGE</w:instrText>
    </w:r>
    <w:r>
      <w:fldChar w:fldCharType="separate"/>
    </w:r>
    <w:r w:rsidR="00BC33EF">
      <w:rPr>
        <w:noProof/>
      </w:rPr>
      <w:t>9</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D955E" w14:textId="5B3E3420" w:rsidR="00921FA3" w:rsidRDefault="00921FA3" w:rsidP="00A103E4">
    <w:pPr>
      <w:pStyle w:val="Footer"/>
      <w:jc w:val="center"/>
    </w:pPr>
    <w:r>
      <w:fldChar w:fldCharType="begin"/>
    </w:r>
    <w:r>
      <w:instrText xml:space="preserve"> PAGE   \* MERGEFORMAT </w:instrText>
    </w:r>
    <w:r>
      <w:fldChar w:fldCharType="separate"/>
    </w:r>
    <w:r w:rsidR="00BC33EF">
      <w:rPr>
        <w:noProof/>
      </w:rPr>
      <w:t>4</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E749" w14:textId="77777777" w:rsidR="00921FA3" w:rsidRDefault="00921FA3" w:rsidP="000E308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66C9" w14:textId="041ABFE8" w:rsidR="00921FA3" w:rsidRDefault="00921FA3" w:rsidP="00A103E4">
    <w:pPr>
      <w:pStyle w:val="Footer"/>
      <w:jc w:val="center"/>
    </w:pPr>
    <w:r>
      <w:fldChar w:fldCharType="begin"/>
    </w:r>
    <w:r>
      <w:instrText>PAGE</w:instrText>
    </w:r>
    <w:r>
      <w:fldChar w:fldCharType="separate"/>
    </w:r>
    <w:r w:rsidR="00621867">
      <w:rPr>
        <w:noProof/>
      </w:rPr>
      <w:t>94</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F9BD" w14:textId="243C1FC6" w:rsidR="00921FA3" w:rsidRDefault="00921FA3" w:rsidP="00A103E4">
    <w:pPr>
      <w:pStyle w:val="Footer"/>
      <w:jc w:val="center"/>
    </w:pPr>
    <w:r>
      <w:fldChar w:fldCharType="begin"/>
    </w:r>
    <w:r>
      <w:instrText xml:space="preserve"> PAGE   \* MERGEFORMAT </w:instrText>
    </w:r>
    <w:r>
      <w:fldChar w:fldCharType="separate"/>
    </w:r>
    <w:r w:rsidR="00621867">
      <w:rPr>
        <w:noProof/>
      </w:rPr>
      <w:t>91</w:t>
    </w:r>
    <w:r>
      <w:rPr>
        <w:noProof/>
      </w:rPr>
      <w:fldChar w:fldCharType="end"/>
    </w:r>
  </w:p>
  <w:p w14:paraId="4F5D76D3" w14:textId="351B88D4" w:rsidR="00921FA3" w:rsidRDefault="00921FA3" w:rsidP="00311CC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68A6" w14:textId="77777777" w:rsidR="00921FA3" w:rsidRDefault="00921FA3" w:rsidP="000E3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A06738" w:rsidRPr="00D94637" w14:paraId="1147DAFF" w14:textId="77777777" w:rsidTr="00A06738">
      <w:trPr>
        <w:jc w:val="center"/>
      </w:trPr>
      <w:tc>
        <w:tcPr>
          <w:tcW w:w="5000" w:type="pct"/>
          <w:gridSpan w:val="7"/>
          <w:shd w:val="clear" w:color="auto" w:fill="auto"/>
          <w:tcMar>
            <w:top w:w="57" w:type="dxa"/>
          </w:tcMar>
        </w:tcPr>
        <w:p w14:paraId="6724FE97" w14:textId="77777777" w:rsidR="00A06738" w:rsidRPr="00D94637" w:rsidRDefault="00A06738" w:rsidP="00D94637">
          <w:pPr>
            <w:pStyle w:val="FooterText"/>
            <w:pBdr>
              <w:top w:val="single" w:sz="4" w:space="1" w:color="auto"/>
            </w:pBdr>
            <w:spacing w:before="200"/>
            <w:rPr>
              <w:sz w:val="2"/>
              <w:szCs w:val="2"/>
            </w:rPr>
          </w:pPr>
          <w:bookmarkStart w:id="2" w:name="FOOTER_STANDARD"/>
        </w:p>
      </w:tc>
    </w:tr>
    <w:tr w:rsidR="00A06738" w:rsidRPr="00B310DC" w14:paraId="7D7DCE1A" w14:textId="77777777" w:rsidTr="00A06738">
      <w:trPr>
        <w:jc w:val="center"/>
      </w:trPr>
      <w:tc>
        <w:tcPr>
          <w:tcW w:w="2500" w:type="pct"/>
          <w:gridSpan w:val="2"/>
          <w:shd w:val="clear" w:color="auto" w:fill="auto"/>
          <w:tcMar>
            <w:top w:w="0" w:type="dxa"/>
          </w:tcMar>
        </w:tcPr>
        <w:p w14:paraId="0CA930F2" w14:textId="7BD729D2" w:rsidR="00A06738" w:rsidRPr="00AD7BF2" w:rsidRDefault="00A06738" w:rsidP="004F54B2">
          <w:pPr>
            <w:pStyle w:val="FooterText"/>
          </w:pPr>
          <w:r>
            <w:t>8901/23</w:t>
          </w:r>
          <w:r w:rsidRPr="002511D8">
            <w:t xml:space="preserve"> </w:t>
          </w:r>
          <w:r>
            <w:t>ADD 4</w:t>
          </w:r>
        </w:p>
      </w:tc>
      <w:tc>
        <w:tcPr>
          <w:tcW w:w="625" w:type="pct"/>
          <w:shd w:val="clear" w:color="auto" w:fill="auto"/>
          <w:tcMar>
            <w:top w:w="0" w:type="dxa"/>
          </w:tcMar>
        </w:tcPr>
        <w:p w14:paraId="51C77241" w14:textId="77777777" w:rsidR="00A06738" w:rsidRPr="00AD7BF2" w:rsidRDefault="00A06738" w:rsidP="00D94637">
          <w:pPr>
            <w:pStyle w:val="FooterText"/>
            <w:jc w:val="center"/>
          </w:pPr>
        </w:p>
      </w:tc>
      <w:tc>
        <w:tcPr>
          <w:tcW w:w="1286" w:type="pct"/>
          <w:gridSpan w:val="3"/>
          <w:shd w:val="clear" w:color="auto" w:fill="auto"/>
          <w:tcMar>
            <w:top w:w="0" w:type="dxa"/>
          </w:tcMar>
        </w:tcPr>
        <w:p w14:paraId="6B77063F" w14:textId="6C7835D1" w:rsidR="00A06738" w:rsidRPr="002511D8" w:rsidRDefault="00A06738" w:rsidP="00D94637">
          <w:pPr>
            <w:pStyle w:val="FooterText"/>
            <w:jc w:val="center"/>
          </w:pPr>
          <w:r>
            <w:t>BM/</w:t>
          </w:r>
          <w:proofErr w:type="spellStart"/>
          <w:r>
            <w:t>ps</w:t>
          </w:r>
          <w:proofErr w:type="spellEnd"/>
        </w:p>
      </w:tc>
      <w:tc>
        <w:tcPr>
          <w:tcW w:w="589" w:type="pct"/>
          <w:shd w:val="clear" w:color="auto" w:fill="auto"/>
          <w:tcMar>
            <w:top w:w="0" w:type="dxa"/>
          </w:tcMar>
        </w:tcPr>
        <w:p w14:paraId="50378889" w14:textId="6A1275C2" w:rsidR="00A06738" w:rsidRPr="00B310DC" w:rsidRDefault="00A06738" w:rsidP="00D94637">
          <w:pPr>
            <w:pStyle w:val="FooterText"/>
            <w:jc w:val="right"/>
          </w:pPr>
          <w:r>
            <w:fldChar w:fldCharType="begin"/>
          </w:r>
          <w:r>
            <w:instrText xml:space="preserve"> PAGE  \* MERGEFORMAT </w:instrText>
          </w:r>
          <w:r>
            <w:fldChar w:fldCharType="separate"/>
          </w:r>
          <w:r>
            <w:rPr>
              <w:noProof/>
            </w:rPr>
            <w:t>0</w:t>
          </w:r>
          <w:r>
            <w:fldChar w:fldCharType="end"/>
          </w:r>
        </w:p>
      </w:tc>
    </w:tr>
    <w:tr w:rsidR="00A06738" w:rsidRPr="00D94637" w14:paraId="0D767939" w14:textId="77777777" w:rsidTr="00A06738">
      <w:trPr>
        <w:jc w:val="center"/>
      </w:trPr>
      <w:tc>
        <w:tcPr>
          <w:tcW w:w="1774" w:type="pct"/>
          <w:shd w:val="clear" w:color="auto" w:fill="auto"/>
        </w:tcPr>
        <w:p w14:paraId="5E58AF95" w14:textId="43C4176E" w:rsidR="00A06738" w:rsidRPr="00AD7BF2" w:rsidRDefault="00A06738" w:rsidP="00D94637">
          <w:pPr>
            <w:pStyle w:val="FooterText"/>
            <w:spacing w:before="40"/>
          </w:pPr>
        </w:p>
      </w:tc>
      <w:tc>
        <w:tcPr>
          <w:tcW w:w="1455" w:type="pct"/>
          <w:gridSpan w:val="3"/>
          <w:shd w:val="clear" w:color="auto" w:fill="auto"/>
        </w:tcPr>
        <w:p w14:paraId="0B54D5F4" w14:textId="5C449391" w:rsidR="00A06738" w:rsidRPr="00AD7BF2" w:rsidRDefault="00A06738" w:rsidP="00D204D6">
          <w:pPr>
            <w:pStyle w:val="FooterText"/>
            <w:spacing w:before="40"/>
            <w:jc w:val="center"/>
          </w:pPr>
          <w:r>
            <w:t>COMPET.1</w:t>
          </w:r>
        </w:p>
      </w:tc>
      <w:tc>
        <w:tcPr>
          <w:tcW w:w="742" w:type="pct"/>
          <w:shd w:val="clear" w:color="auto" w:fill="auto"/>
        </w:tcPr>
        <w:p w14:paraId="50A0978E" w14:textId="552684BF" w:rsidR="00A06738" w:rsidRPr="00D94637" w:rsidRDefault="00A06738" w:rsidP="002F0099">
          <w:pPr>
            <w:pStyle w:val="FooterText"/>
            <w:jc w:val="center"/>
            <w:rPr>
              <w:b/>
              <w:position w:val="-4"/>
              <w:sz w:val="36"/>
            </w:rPr>
          </w:pPr>
        </w:p>
      </w:tc>
      <w:tc>
        <w:tcPr>
          <w:tcW w:w="1029" w:type="pct"/>
          <w:gridSpan w:val="2"/>
          <w:shd w:val="clear" w:color="auto" w:fill="auto"/>
        </w:tcPr>
        <w:p w14:paraId="3BE2F8FB" w14:textId="2C792C6E" w:rsidR="00A06738" w:rsidRPr="000310C2" w:rsidRDefault="00A06738" w:rsidP="00D94637">
          <w:pPr>
            <w:pStyle w:val="FooterText"/>
            <w:jc w:val="right"/>
            <w:rPr>
              <w:spacing w:val="-20"/>
              <w:sz w:val="16"/>
            </w:rPr>
          </w:pPr>
          <w:r>
            <w:rPr>
              <w:b/>
              <w:spacing w:val="-20"/>
              <w:position w:val="-4"/>
              <w:sz w:val="36"/>
            </w:rPr>
            <w:t>EN</w:t>
          </w:r>
        </w:p>
      </w:tc>
    </w:tr>
    <w:bookmarkEnd w:id="2"/>
  </w:tbl>
  <w:p w14:paraId="69C833CC" w14:textId="0222CDFC" w:rsidR="00921FA3" w:rsidRPr="00A06738" w:rsidRDefault="00921FA3" w:rsidP="00A06738">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45E7" w14:textId="77777777" w:rsidR="00921FA3" w:rsidRDefault="00921FA3" w:rsidP="000E3086">
    <w:pPr>
      <w:pStyle w:val="Footer"/>
    </w:pPr>
    <w:r>
      <w:fldChar w:fldCharType="begin"/>
    </w:r>
    <w:r>
      <w:instrText>PAGE</w:instrText>
    </w:r>
    <w:r>
      <w:fldChar w:fldCharType="separate"/>
    </w:r>
    <w:r>
      <w:rPr>
        <w:noProof/>
      </w:rPr>
      <w:t>46</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D1B1" w14:textId="20FBE80C" w:rsidR="00921FA3" w:rsidRDefault="00921FA3" w:rsidP="00A103E4">
    <w:pPr>
      <w:pStyle w:val="Footer"/>
      <w:jc w:val="center"/>
    </w:pPr>
    <w:r>
      <w:fldChar w:fldCharType="begin"/>
    </w:r>
    <w:r>
      <w:instrText xml:space="preserve"> PAGE   \* MERGEFORMAT </w:instrText>
    </w:r>
    <w:r>
      <w:fldChar w:fldCharType="separate"/>
    </w:r>
    <w:r w:rsidR="00621867">
      <w:rPr>
        <w:noProof/>
      </w:rPr>
      <w:t>95</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298E" w14:textId="77777777" w:rsidR="00921FA3" w:rsidRDefault="00921FA3" w:rsidP="000E308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4B72" w14:textId="41EFE322" w:rsidR="00921FA3" w:rsidRDefault="00921FA3" w:rsidP="00A103E4">
    <w:pPr>
      <w:pStyle w:val="Footer"/>
      <w:jc w:val="center"/>
    </w:pPr>
    <w:r>
      <w:fldChar w:fldCharType="begin"/>
    </w:r>
    <w:r>
      <w:instrText>PAGE</w:instrText>
    </w:r>
    <w:r>
      <w:fldChar w:fldCharType="separate"/>
    </w:r>
    <w:r w:rsidR="00621867">
      <w:rPr>
        <w:noProof/>
      </w:rPr>
      <w:t>116</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DD40" w14:textId="176E9DE1" w:rsidR="00921FA3" w:rsidRDefault="00921FA3" w:rsidP="00A103E4">
    <w:pPr>
      <w:pStyle w:val="Footer"/>
      <w:jc w:val="center"/>
    </w:pPr>
    <w:r>
      <w:fldChar w:fldCharType="begin"/>
    </w:r>
    <w:r>
      <w:instrText xml:space="preserve"> PAGE   \* MERGEFORMAT </w:instrText>
    </w:r>
    <w:r>
      <w:fldChar w:fldCharType="separate"/>
    </w:r>
    <w:r w:rsidR="00621867">
      <w:rPr>
        <w:noProof/>
      </w:rPr>
      <w:t>96</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5BA0" w14:textId="77777777" w:rsidR="00921FA3" w:rsidRDefault="00921FA3" w:rsidP="000E308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790191"/>
      <w:docPartObj>
        <w:docPartGallery w:val="Page Numbers (Bottom of Page)"/>
        <w:docPartUnique/>
      </w:docPartObj>
    </w:sdtPr>
    <w:sdtEndPr>
      <w:rPr>
        <w:noProof/>
      </w:rPr>
    </w:sdtEndPr>
    <w:sdtContent>
      <w:p w14:paraId="28D1F697" w14:textId="5CF25D59" w:rsidR="00921FA3" w:rsidRPr="00CD516A" w:rsidRDefault="00921FA3" w:rsidP="00A103E4">
        <w:pPr>
          <w:pStyle w:val="Footer"/>
          <w:jc w:val="center"/>
        </w:pPr>
        <w:r>
          <w:fldChar w:fldCharType="begin"/>
        </w:r>
        <w:r>
          <w:instrText xml:space="preserve"> PAGE   \* MERGEFORMAT </w:instrText>
        </w:r>
        <w:r>
          <w:fldChar w:fldCharType="separate"/>
        </w:r>
        <w:r w:rsidR="00621867">
          <w:rPr>
            <w:noProof/>
          </w:rPr>
          <w:t>128</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4706" w14:textId="475150E3" w:rsidR="00921FA3" w:rsidRDefault="00921FA3" w:rsidP="00A103E4">
    <w:pPr>
      <w:pStyle w:val="Footer"/>
      <w:jc w:val="center"/>
    </w:pPr>
    <w:r>
      <w:fldChar w:fldCharType="begin"/>
    </w:r>
    <w:r>
      <w:instrText xml:space="preserve"> PAGE   \* MERGEFORMAT </w:instrText>
    </w:r>
    <w:r>
      <w:fldChar w:fldCharType="separate"/>
    </w:r>
    <w:r w:rsidR="00621867">
      <w:rPr>
        <w:noProof/>
      </w:rPr>
      <w:t>118</w:t>
    </w:r>
    <w:r>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A594" w14:textId="77777777" w:rsidR="00921FA3" w:rsidRDefault="00921FA3" w:rsidP="000E308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944273"/>
      <w:docPartObj>
        <w:docPartGallery w:val="Page Numbers (Bottom of Page)"/>
        <w:docPartUnique/>
      </w:docPartObj>
    </w:sdtPr>
    <w:sdtEndPr>
      <w:rPr>
        <w:noProof/>
      </w:rPr>
    </w:sdtEndPr>
    <w:sdtContent>
      <w:p w14:paraId="589A50A9" w14:textId="51DD1A77" w:rsidR="00921FA3" w:rsidRPr="00CD516A" w:rsidRDefault="00921FA3" w:rsidP="00A103E4">
        <w:pPr>
          <w:pStyle w:val="Footer"/>
          <w:jc w:val="center"/>
        </w:pPr>
        <w:r>
          <w:fldChar w:fldCharType="begin"/>
        </w:r>
        <w:r>
          <w:instrText xml:space="preserve"> PAGE   \* MERGEFORMAT </w:instrText>
        </w:r>
        <w:r>
          <w:fldChar w:fldCharType="separate"/>
        </w:r>
        <w:r w:rsidR="00621867">
          <w:rPr>
            <w:noProof/>
          </w:rPr>
          <w:t>136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A06738" w:rsidRPr="00D94637" w14:paraId="4B8122A4" w14:textId="77777777" w:rsidTr="00A06738">
      <w:trPr>
        <w:jc w:val="center"/>
      </w:trPr>
      <w:tc>
        <w:tcPr>
          <w:tcW w:w="5000" w:type="pct"/>
          <w:gridSpan w:val="7"/>
          <w:shd w:val="clear" w:color="auto" w:fill="auto"/>
          <w:tcMar>
            <w:top w:w="57" w:type="dxa"/>
          </w:tcMar>
        </w:tcPr>
        <w:p w14:paraId="72F56719" w14:textId="77777777" w:rsidR="00A06738" w:rsidRPr="00D94637" w:rsidRDefault="00A06738" w:rsidP="00D94637">
          <w:pPr>
            <w:pStyle w:val="FooterText"/>
            <w:pBdr>
              <w:top w:val="single" w:sz="4" w:space="1" w:color="auto"/>
            </w:pBdr>
            <w:spacing w:before="200"/>
            <w:rPr>
              <w:sz w:val="2"/>
              <w:szCs w:val="2"/>
            </w:rPr>
          </w:pPr>
        </w:p>
      </w:tc>
    </w:tr>
    <w:tr w:rsidR="00A06738" w:rsidRPr="00B310DC" w14:paraId="137DE580" w14:textId="77777777" w:rsidTr="00A06738">
      <w:trPr>
        <w:jc w:val="center"/>
      </w:trPr>
      <w:tc>
        <w:tcPr>
          <w:tcW w:w="2500" w:type="pct"/>
          <w:gridSpan w:val="2"/>
          <w:shd w:val="clear" w:color="auto" w:fill="auto"/>
          <w:tcMar>
            <w:top w:w="0" w:type="dxa"/>
          </w:tcMar>
        </w:tcPr>
        <w:p w14:paraId="341AD175" w14:textId="40E37837" w:rsidR="00A06738" w:rsidRPr="00AD7BF2" w:rsidRDefault="00A06738" w:rsidP="004F54B2">
          <w:pPr>
            <w:pStyle w:val="FooterText"/>
          </w:pPr>
          <w:r>
            <w:t>8901/23</w:t>
          </w:r>
          <w:r w:rsidRPr="002511D8">
            <w:t xml:space="preserve"> </w:t>
          </w:r>
          <w:r>
            <w:t>ADD 4</w:t>
          </w:r>
        </w:p>
      </w:tc>
      <w:tc>
        <w:tcPr>
          <w:tcW w:w="625" w:type="pct"/>
          <w:shd w:val="clear" w:color="auto" w:fill="auto"/>
          <w:tcMar>
            <w:top w:w="0" w:type="dxa"/>
          </w:tcMar>
        </w:tcPr>
        <w:p w14:paraId="03E25438" w14:textId="77777777" w:rsidR="00A06738" w:rsidRPr="00AD7BF2" w:rsidRDefault="00A06738" w:rsidP="00D94637">
          <w:pPr>
            <w:pStyle w:val="FooterText"/>
            <w:jc w:val="center"/>
          </w:pPr>
        </w:p>
      </w:tc>
      <w:tc>
        <w:tcPr>
          <w:tcW w:w="1286" w:type="pct"/>
          <w:gridSpan w:val="3"/>
          <w:shd w:val="clear" w:color="auto" w:fill="auto"/>
          <w:tcMar>
            <w:top w:w="0" w:type="dxa"/>
          </w:tcMar>
        </w:tcPr>
        <w:p w14:paraId="1CC58C3D" w14:textId="52CC0CC3" w:rsidR="00A06738" w:rsidRPr="002511D8" w:rsidRDefault="00A06738" w:rsidP="00D94637">
          <w:pPr>
            <w:pStyle w:val="FooterText"/>
            <w:jc w:val="center"/>
          </w:pPr>
          <w:r>
            <w:t>BM/</w:t>
          </w:r>
          <w:proofErr w:type="spellStart"/>
          <w:r>
            <w:t>ps</w:t>
          </w:r>
          <w:proofErr w:type="spellEnd"/>
        </w:p>
      </w:tc>
      <w:tc>
        <w:tcPr>
          <w:tcW w:w="589" w:type="pct"/>
          <w:shd w:val="clear" w:color="auto" w:fill="auto"/>
          <w:tcMar>
            <w:top w:w="0" w:type="dxa"/>
          </w:tcMar>
        </w:tcPr>
        <w:p w14:paraId="61A1B3DC" w14:textId="3A178154" w:rsidR="00A06738" w:rsidRPr="00B310DC" w:rsidRDefault="00A06738" w:rsidP="00D94637">
          <w:pPr>
            <w:pStyle w:val="FooterText"/>
            <w:jc w:val="right"/>
          </w:pPr>
        </w:p>
      </w:tc>
    </w:tr>
    <w:tr w:rsidR="00A06738" w:rsidRPr="00D94637" w14:paraId="3F7F43A1" w14:textId="77777777" w:rsidTr="00A06738">
      <w:trPr>
        <w:jc w:val="center"/>
      </w:trPr>
      <w:tc>
        <w:tcPr>
          <w:tcW w:w="1774" w:type="pct"/>
          <w:shd w:val="clear" w:color="auto" w:fill="auto"/>
        </w:tcPr>
        <w:p w14:paraId="5FDA2C86" w14:textId="2504538F" w:rsidR="00A06738" w:rsidRPr="00AD7BF2" w:rsidRDefault="00A06738" w:rsidP="00D94637">
          <w:pPr>
            <w:pStyle w:val="FooterText"/>
            <w:spacing w:before="40"/>
          </w:pPr>
        </w:p>
      </w:tc>
      <w:tc>
        <w:tcPr>
          <w:tcW w:w="1455" w:type="pct"/>
          <w:gridSpan w:val="3"/>
          <w:shd w:val="clear" w:color="auto" w:fill="auto"/>
        </w:tcPr>
        <w:p w14:paraId="4FEB0664" w14:textId="0293DB40" w:rsidR="00A06738" w:rsidRPr="00AD7BF2" w:rsidRDefault="00A06738" w:rsidP="00D204D6">
          <w:pPr>
            <w:pStyle w:val="FooterText"/>
            <w:spacing w:before="40"/>
            <w:jc w:val="center"/>
          </w:pPr>
          <w:r>
            <w:t>COMPET.1</w:t>
          </w:r>
        </w:p>
      </w:tc>
      <w:tc>
        <w:tcPr>
          <w:tcW w:w="742" w:type="pct"/>
          <w:shd w:val="clear" w:color="auto" w:fill="auto"/>
        </w:tcPr>
        <w:p w14:paraId="066111E2" w14:textId="7994E25F" w:rsidR="00A06738" w:rsidRPr="00D94637" w:rsidRDefault="00A06738" w:rsidP="002F0099">
          <w:pPr>
            <w:pStyle w:val="FooterText"/>
            <w:jc w:val="center"/>
            <w:rPr>
              <w:b/>
              <w:position w:val="-4"/>
              <w:sz w:val="36"/>
            </w:rPr>
          </w:pPr>
        </w:p>
      </w:tc>
      <w:tc>
        <w:tcPr>
          <w:tcW w:w="1029" w:type="pct"/>
          <w:gridSpan w:val="2"/>
          <w:shd w:val="clear" w:color="auto" w:fill="auto"/>
        </w:tcPr>
        <w:p w14:paraId="54F7BFA0" w14:textId="3E70207F" w:rsidR="00A06738" w:rsidRPr="000310C2" w:rsidRDefault="00A06738" w:rsidP="00D94637">
          <w:pPr>
            <w:pStyle w:val="FooterText"/>
            <w:jc w:val="right"/>
            <w:rPr>
              <w:spacing w:val="-20"/>
              <w:sz w:val="16"/>
            </w:rPr>
          </w:pPr>
          <w:r>
            <w:rPr>
              <w:b/>
              <w:spacing w:val="-20"/>
              <w:position w:val="-4"/>
              <w:sz w:val="36"/>
            </w:rPr>
            <w:t>EN</w:t>
          </w:r>
        </w:p>
      </w:tc>
    </w:tr>
  </w:tbl>
  <w:p w14:paraId="5D83449E" w14:textId="77777777" w:rsidR="00BC33EF" w:rsidRPr="00A06738" w:rsidRDefault="00BC33EF" w:rsidP="00A06738">
    <w:pPr>
      <w:pStyle w:val="FooterCouncil"/>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A32B" w14:textId="60162D54" w:rsidR="00921FA3" w:rsidRDefault="00921FA3" w:rsidP="00A103E4">
    <w:pPr>
      <w:pStyle w:val="Footer"/>
      <w:jc w:val="center"/>
    </w:pPr>
    <w:r>
      <w:fldChar w:fldCharType="begin"/>
    </w:r>
    <w:r>
      <w:instrText xml:space="preserve"> PAGE   \* MERGEFORMAT </w:instrText>
    </w:r>
    <w:r>
      <w:fldChar w:fldCharType="separate"/>
    </w:r>
    <w:r w:rsidR="00621867">
      <w:rPr>
        <w:noProof/>
      </w:rPr>
      <w:t>129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7F5C" w14:textId="77777777" w:rsidR="00C6592A" w:rsidRPr="00BC33EF" w:rsidRDefault="00C6592A" w:rsidP="00BC33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4D49" w14:textId="77777777" w:rsidR="00C6592A" w:rsidRPr="00BC33EF" w:rsidRDefault="00C6592A" w:rsidP="00BC33EF">
    <w:pPr>
      <w:pStyle w:val="FooterCoverPage"/>
      <w:rPr>
        <w:rFonts w:ascii="Arial" w:hAnsi="Arial" w:cs="Arial"/>
        <w:b/>
        <w:sz w:val="48"/>
      </w:rPr>
    </w:pPr>
    <w:r w:rsidRPr="00BC33EF">
      <w:rPr>
        <w:rFonts w:ascii="Arial" w:hAnsi="Arial" w:cs="Arial"/>
        <w:b/>
        <w:sz w:val="48"/>
      </w:rPr>
      <w:t>EN</w:t>
    </w:r>
    <w:r w:rsidRPr="00BC33EF">
      <w:rPr>
        <w:rFonts w:ascii="Arial" w:hAnsi="Arial" w:cs="Arial"/>
        <w:b/>
        <w:sz w:val="48"/>
      </w:rPr>
      <w:tab/>
    </w:r>
    <w:r w:rsidRPr="00BC33EF">
      <w:rPr>
        <w:rFonts w:ascii="Arial" w:hAnsi="Arial" w:cs="Arial"/>
        <w:b/>
        <w:sz w:val="48"/>
      </w:rPr>
      <w:tab/>
    </w:r>
    <w:r w:rsidRPr="00BC33EF">
      <w:tab/>
    </w:r>
    <w:proofErr w:type="spellStart"/>
    <w:r w:rsidRPr="00BC33EF">
      <w:rPr>
        <w:rFonts w:ascii="Arial" w:hAnsi="Arial" w:cs="Arial"/>
        <w:b/>
        <w:sz w:val="48"/>
      </w:rPr>
      <w:t>EN</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BB4" w14:textId="77777777" w:rsidR="00C6592A" w:rsidRPr="00BC33EF" w:rsidRDefault="00C6592A" w:rsidP="00BC33EF">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853C" w14:textId="77777777" w:rsidR="00921FA3" w:rsidRDefault="00921FA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101119"/>
      <w:docPartObj>
        <w:docPartGallery w:val="Page Numbers (Bottom of Page)"/>
        <w:docPartUnique/>
      </w:docPartObj>
    </w:sdtPr>
    <w:sdtEndPr>
      <w:rPr>
        <w:noProof/>
      </w:rPr>
    </w:sdtEndPr>
    <w:sdtContent>
      <w:p w14:paraId="6A631684" w14:textId="4E8E0BD9" w:rsidR="00921FA3" w:rsidRDefault="00921FA3">
        <w:pPr>
          <w:pStyle w:val="Footer"/>
          <w:jc w:val="center"/>
        </w:pPr>
        <w:r>
          <w:fldChar w:fldCharType="begin"/>
        </w:r>
        <w:r>
          <w:instrText xml:space="preserve"> PAGE   \* MERGEFORMAT </w:instrText>
        </w:r>
        <w:r>
          <w:fldChar w:fldCharType="separate"/>
        </w:r>
        <w:r w:rsidR="00BC33EF">
          <w:rPr>
            <w:noProof/>
          </w:rPr>
          <w:t>3</w:t>
        </w:r>
        <w:r>
          <w:rPr>
            <w:noProof/>
          </w:rPr>
          <w:fldChar w:fldCharType="end"/>
        </w:r>
      </w:p>
    </w:sdtContent>
  </w:sdt>
  <w:p w14:paraId="1B6222E6" w14:textId="74FEB498" w:rsidR="00921FA3" w:rsidRPr="00F92EAE" w:rsidRDefault="00921FA3" w:rsidP="00F92EAE">
    <w:pPr>
      <w:pStyle w:val="FooterCoverPage"/>
      <w:rPr>
        <w:rFonts w:ascii="Arial" w:hAnsi="Arial" w:cs="Arial"/>
        <w:b/>
        <w:sz w:val="4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C033" w14:textId="77777777" w:rsidR="00921FA3" w:rsidRDefault="00921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5C471" w14:textId="77777777" w:rsidR="00921FA3" w:rsidRDefault="00921FA3" w:rsidP="000E3086">
      <w:r>
        <w:separator/>
      </w:r>
    </w:p>
  </w:footnote>
  <w:footnote w:type="continuationSeparator" w:id="0">
    <w:p w14:paraId="2FC905CD" w14:textId="77777777" w:rsidR="00921FA3" w:rsidRDefault="00921FA3" w:rsidP="000E3086">
      <w:r>
        <w:continuationSeparator/>
      </w:r>
    </w:p>
  </w:footnote>
  <w:footnote w:type="continuationNotice" w:id="1">
    <w:p w14:paraId="1994CBF2" w14:textId="77777777" w:rsidR="00921FA3" w:rsidRDefault="00921FA3">
      <w:pPr>
        <w:spacing w:after="0"/>
      </w:pPr>
    </w:p>
  </w:footnote>
  <w:footnote w:id="2">
    <w:p w14:paraId="66DC202D" w14:textId="772A2A6A" w:rsidR="00921FA3" w:rsidRPr="00152DA4" w:rsidRDefault="00921FA3">
      <w:pPr>
        <w:pStyle w:val="FootnoteText"/>
      </w:pPr>
      <w:r>
        <w:rPr>
          <w:rStyle w:val="FootnoteReference"/>
        </w:rPr>
        <w:footnoteRef/>
      </w:r>
      <w:r>
        <w:t xml:space="preserve"> Patent applications must be published and indicate the technical details of the invention they aim at protecting. The granting of a monopoly – limited in time – is done in exchange of sharing the technicalities underlying the invention, based on which new research and invention can develop. This is part of the inherent equilibrium of patent law; allowing at the same time incentive to innovate and access to innovation.</w:t>
      </w:r>
    </w:p>
  </w:footnote>
  <w:footnote w:id="3">
    <w:p w14:paraId="3EDCC8FD" w14:textId="757BDF45" w:rsidR="00921FA3" w:rsidRPr="009E325F" w:rsidRDefault="00921FA3">
      <w:pPr>
        <w:pStyle w:val="FootnoteText"/>
      </w:pPr>
      <w:r>
        <w:rPr>
          <w:rStyle w:val="FootnoteReference"/>
        </w:rPr>
        <w:footnoteRef/>
      </w:r>
      <w:r>
        <w:t xml:space="preserve"> In this impact assessment the notion of critical good(s)/ products(s) refers to good(s)/ product(s) that are critical to tackle a crisis, notwithstanding the type of crisis that is being discussed.</w:t>
      </w:r>
    </w:p>
  </w:footnote>
  <w:footnote w:id="4">
    <w:p w14:paraId="5497391B" w14:textId="5D07ACE9" w:rsidR="00921FA3" w:rsidRPr="00152DA4" w:rsidRDefault="00921FA3">
      <w:pPr>
        <w:pStyle w:val="FootnoteText"/>
      </w:pPr>
      <w:r>
        <w:rPr>
          <w:rStyle w:val="FootnoteReference"/>
        </w:rPr>
        <w:footnoteRef/>
      </w:r>
      <w:r>
        <w:t xml:space="preserve"> </w:t>
      </w:r>
      <w:r w:rsidRPr="00654AE2">
        <w:rPr>
          <w:lang w:val="en-IE"/>
        </w:rPr>
        <w:t>Waiving IP rights would potentially consist of depriving the patent owner of its rights from the outset, including of the right to adequate remuneration.</w:t>
      </w:r>
    </w:p>
  </w:footnote>
  <w:footnote w:id="5">
    <w:p w14:paraId="3B628D8D" w14:textId="5771F110" w:rsidR="00921FA3" w:rsidRPr="00152DA4" w:rsidRDefault="00921FA3">
      <w:pPr>
        <w:pStyle w:val="FootnoteText"/>
      </w:pPr>
      <w:r>
        <w:rPr>
          <w:rStyle w:val="FootnoteReference"/>
        </w:rPr>
        <w:footnoteRef/>
      </w:r>
      <w:r>
        <w:t xml:space="preserve"> </w:t>
      </w:r>
      <w:r w:rsidRPr="00654AE2">
        <w:rPr>
          <w:lang w:val="en-IE"/>
        </w:rPr>
        <w:t>Discussions at WTO level led to a Ministerial Decision in June 2022</w:t>
      </w:r>
      <w:r>
        <w:rPr>
          <w:lang w:val="en-IE"/>
        </w:rPr>
        <w:t>, which provided</w:t>
      </w:r>
      <w:r w:rsidRPr="00654AE2">
        <w:rPr>
          <w:lang w:val="en-IE"/>
        </w:rPr>
        <w:t xml:space="preserve"> clarifications of e</w:t>
      </w:r>
      <w:r>
        <w:rPr>
          <w:lang w:val="en-IE"/>
        </w:rPr>
        <w:t>xisting flexibilities and waived</w:t>
      </w:r>
      <w:r w:rsidRPr="00654AE2">
        <w:rPr>
          <w:lang w:val="en-IE"/>
        </w:rPr>
        <w:t xml:space="preserve"> one of the conditions for the production of COVID-19 vaccines, namely the requirement that a </w:t>
      </w:r>
      <w:r>
        <w:rPr>
          <w:lang w:val="en-IE"/>
        </w:rPr>
        <w:t>CL</w:t>
      </w:r>
      <w:r w:rsidRPr="00654AE2">
        <w:rPr>
          <w:lang w:val="en-IE"/>
        </w:rPr>
        <w:t xml:space="preserve"> is granted “predominantly for the </w:t>
      </w:r>
      <w:r>
        <w:rPr>
          <w:lang w:val="en-IE"/>
        </w:rPr>
        <w:t>domestic market”. It also waived</w:t>
      </w:r>
      <w:r w:rsidRPr="00654AE2">
        <w:rPr>
          <w:lang w:val="en-IE"/>
        </w:rPr>
        <w:t xml:space="preserve"> the application of Article 31bis of the TRIPS Agreement which provides for a specific procedure applicable to export</w:t>
      </w:r>
      <w:r>
        <w:rPr>
          <w:lang w:val="en-IE"/>
        </w:rPr>
        <w:t>.</w:t>
      </w:r>
      <w:r w:rsidRPr="00654AE2">
        <w:rPr>
          <w:lang w:val="en-IE"/>
        </w:rPr>
        <w:t xml:space="preserve"> This means that COVID-19 vaccines manufactured under a </w:t>
      </w:r>
      <w:r>
        <w:rPr>
          <w:lang w:val="en-IE"/>
        </w:rPr>
        <w:t>CL</w:t>
      </w:r>
      <w:r w:rsidRPr="00654AE2">
        <w:rPr>
          <w:lang w:val="en-IE"/>
        </w:rPr>
        <w:t xml:space="preserve"> issued under the Decision can be exported to other eligible countries in a much faster and simplified manner. Discussions are still ongoing as regards possible extension of the Decision to COVID-19 therapeuti</w:t>
      </w:r>
      <w:r>
        <w:rPr>
          <w:lang w:val="en-IE"/>
        </w:rPr>
        <w:t xml:space="preserve">cs and diagnostics (see </w:t>
      </w:r>
      <w:r w:rsidRPr="00C36F29">
        <w:rPr>
          <w:lang w:val="en-IE"/>
        </w:rPr>
        <w:t>Annex 5C</w:t>
      </w:r>
      <w:r w:rsidRPr="00654AE2">
        <w:rPr>
          <w:lang w:val="en-IE"/>
        </w:rPr>
        <w:t>)</w:t>
      </w:r>
      <w:r>
        <w:rPr>
          <w:lang w:val="en-IE"/>
        </w:rPr>
        <w:t>.</w:t>
      </w:r>
    </w:p>
  </w:footnote>
  <w:footnote w:id="6">
    <w:p w14:paraId="0EA244AD" w14:textId="4B6B301A" w:rsidR="00921FA3" w:rsidRPr="00D272AB" w:rsidRDefault="00921FA3" w:rsidP="006501C0">
      <w:pPr>
        <w:pStyle w:val="FootnoteText"/>
      </w:pPr>
      <w:r>
        <w:rPr>
          <w:rStyle w:val="FootnoteReference"/>
        </w:rPr>
        <w:footnoteRef/>
      </w:r>
      <w:r>
        <w:t xml:space="preserve"> IP action plan, </w:t>
      </w:r>
      <w:hyperlink r:id="rId1" w:history="1">
        <w:r w:rsidRPr="00AE3CAB">
          <w:rPr>
            <w:rStyle w:val="Hyperlink"/>
          </w:rPr>
          <w:t>COM(2020) 760 final, 25.11.2020</w:t>
        </w:r>
      </w:hyperlink>
      <w:r>
        <w:t>.</w:t>
      </w:r>
    </w:p>
  </w:footnote>
  <w:footnote w:id="7">
    <w:p w14:paraId="415021B2" w14:textId="3D4C36B9" w:rsidR="00921FA3" w:rsidRPr="00152DA4" w:rsidRDefault="00921FA3">
      <w:pPr>
        <w:pStyle w:val="FootnoteText"/>
      </w:pPr>
      <w:r>
        <w:rPr>
          <w:rStyle w:val="FootnoteReference"/>
        </w:rPr>
        <w:footnoteRef/>
      </w:r>
      <w:r>
        <w:t xml:space="preserve"> Commission Work programme of 2023, available </w:t>
      </w:r>
      <w:hyperlink r:id="rId2" w:history="1">
        <w:r w:rsidRPr="00F06A23">
          <w:rPr>
            <w:rStyle w:val="Hyperlink"/>
          </w:rPr>
          <w:t>here</w:t>
        </w:r>
      </w:hyperlink>
      <w:r>
        <w:t xml:space="preserve">. </w:t>
      </w:r>
    </w:p>
  </w:footnote>
  <w:footnote w:id="8">
    <w:p w14:paraId="452ED228" w14:textId="61F4C34E" w:rsidR="00921FA3" w:rsidRPr="005E2DC7" w:rsidRDefault="00921FA3">
      <w:pPr>
        <w:pStyle w:val="FootnoteText"/>
      </w:pPr>
      <w:r>
        <w:rPr>
          <w:rStyle w:val="FootnoteReference"/>
        </w:rPr>
        <w:footnoteRef/>
      </w:r>
      <w:r>
        <w:t xml:space="preserve"> The resolution </w:t>
      </w:r>
      <w:r w:rsidRPr="009A3D85">
        <w:rPr>
          <w:lang w:val="en-IE"/>
        </w:rPr>
        <w:t>on the intellectual property action plan to support the EU’s recovery and resilience (2021/2007(INI))</w:t>
      </w:r>
      <w:r>
        <w:rPr>
          <w:lang w:val="en-IE"/>
        </w:rPr>
        <w:t>.</w:t>
      </w:r>
    </w:p>
  </w:footnote>
  <w:footnote w:id="9">
    <w:p w14:paraId="0E225FDB" w14:textId="15C27C93" w:rsidR="00921FA3" w:rsidRPr="00152DA4" w:rsidRDefault="00921FA3">
      <w:pPr>
        <w:pStyle w:val="FootnoteText"/>
      </w:pPr>
      <w:r>
        <w:rPr>
          <w:rStyle w:val="FootnoteReference"/>
        </w:rPr>
        <w:footnoteRef/>
      </w:r>
      <w:r>
        <w:t xml:space="preserve"> </w:t>
      </w:r>
      <w:r w:rsidRPr="00572A5E">
        <w:rPr>
          <w:lang w:val="en-IE"/>
        </w:rPr>
        <w:t>Council conclusions</w:t>
      </w:r>
      <w:r>
        <w:rPr>
          <w:rStyle w:val="FootnoteReference"/>
          <w:lang w:val="en-IE"/>
        </w:rPr>
        <w:footnoteRef/>
      </w:r>
      <w:r>
        <w:rPr>
          <w:lang w:val="en-IE"/>
        </w:rPr>
        <w:t xml:space="preserve"> </w:t>
      </w:r>
      <w:r w:rsidRPr="009A3D85">
        <w:rPr>
          <w:lang w:val="en-IE"/>
        </w:rPr>
        <w:t>of 18 June 2021</w:t>
      </w:r>
      <w:r>
        <w:rPr>
          <w:lang w:val="en-IE"/>
        </w:rPr>
        <w:t xml:space="preserve">, available </w:t>
      </w:r>
      <w:hyperlink r:id="rId3" w:history="1">
        <w:r w:rsidRPr="00B51723">
          <w:rPr>
            <w:rStyle w:val="Hyperlink"/>
            <w:lang w:val="en-IE"/>
          </w:rPr>
          <w:t>here</w:t>
        </w:r>
      </w:hyperlink>
      <w:r>
        <w:rPr>
          <w:lang w:val="en-IE"/>
        </w:rPr>
        <w:t xml:space="preserve">. </w:t>
      </w:r>
    </w:p>
  </w:footnote>
  <w:footnote w:id="10">
    <w:p w14:paraId="3BAE9071" w14:textId="0EBF4F0A" w:rsidR="00921FA3" w:rsidRPr="00C70634" w:rsidRDefault="00921FA3">
      <w:pPr>
        <w:pStyle w:val="FootnoteText"/>
        <w:rPr>
          <w:lang w:val="pl-PL"/>
        </w:rPr>
      </w:pPr>
      <w:r>
        <w:rPr>
          <w:rStyle w:val="FootnoteReference"/>
        </w:rPr>
        <w:footnoteRef/>
      </w:r>
      <w:r>
        <w:t xml:space="preserve"> Where reference is made hereinafter to exports to third countries or non-EU countries, this refers to third countries covered by Regulation (EC) No 816/2006. </w:t>
      </w:r>
    </w:p>
  </w:footnote>
  <w:footnote w:id="11">
    <w:p w14:paraId="02B64ABA" w14:textId="2974C786" w:rsidR="00921FA3" w:rsidRPr="00F2028D" w:rsidRDefault="00921FA3" w:rsidP="00F2028D">
      <w:pPr>
        <w:shd w:val="clear" w:color="auto" w:fill="FFFFFF"/>
        <w:spacing w:after="0"/>
        <w:outlineLvl w:val="0"/>
        <w:rPr>
          <w:rFonts w:eastAsia="Times New Roman"/>
          <w:color w:val="404040"/>
          <w:kern w:val="36"/>
          <w:sz w:val="20"/>
          <w:szCs w:val="20"/>
          <w:lang w:val="en-IE" w:eastAsia="en-IE"/>
        </w:rPr>
      </w:pPr>
      <w:r w:rsidRPr="00F2028D">
        <w:rPr>
          <w:rStyle w:val="FootnoteReference"/>
          <w:sz w:val="20"/>
          <w:szCs w:val="20"/>
        </w:rPr>
        <w:footnoteRef/>
      </w:r>
      <w:r w:rsidRPr="00F2028D">
        <w:rPr>
          <w:sz w:val="20"/>
          <w:szCs w:val="20"/>
        </w:rPr>
        <w:t xml:space="preserve"> </w:t>
      </w:r>
      <w:hyperlink r:id="rId4" w:history="1">
        <w:r w:rsidRPr="00F2028D">
          <w:rPr>
            <w:rStyle w:val="Hyperlink"/>
            <w:rFonts w:eastAsia="Times New Roman"/>
            <w:kern w:val="36"/>
            <w:sz w:val="20"/>
            <w:szCs w:val="20"/>
            <w:lang w:val="en-IE" w:eastAsia="en-IE"/>
          </w:rPr>
          <w:t>Proposal</w:t>
        </w:r>
      </w:hyperlink>
      <w:r w:rsidRPr="00F2028D">
        <w:rPr>
          <w:rFonts w:eastAsia="Times New Roman"/>
          <w:kern w:val="36"/>
          <w:sz w:val="20"/>
          <w:szCs w:val="20"/>
          <w:lang w:val="en-IE" w:eastAsia="en-IE"/>
        </w:rPr>
        <w:t xml:space="preserve"> for a regulation of the European Parliament and of the Council establishing a </w:t>
      </w:r>
      <w:r>
        <w:rPr>
          <w:rFonts w:eastAsia="Times New Roman"/>
          <w:kern w:val="36"/>
          <w:sz w:val="20"/>
          <w:szCs w:val="20"/>
          <w:lang w:val="en-IE" w:eastAsia="en-IE"/>
        </w:rPr>
        <w:t>Single Market</w:t>
      </w:r>
      <w:r w:rsidRPr="00F2028D">
        <w:rPr>
          <w:rFonts w:eastAsia="Times New Roman"/>
          <w:kern w:val="36"/>
          <w:sz w:val="20"/>
          <w:szCs w:val="20"/>
          <w:lang w:val="en-IE" w:eastAsia="en-IE"/>
        </w:rPr>
        <w:t xml:space="preserve"> emergency instrument and repealing Council Regulation No (EC) 2679/98</w:t>
      </w:r>
      <w:r>
        <w:rPr>
          <w:rFonts w:eastAsia="Times New Roman"/>
          <w:kern w:val="36"/>
          <w:sz w:val="20"/>
          <w:szCs w:val="20"/>
          <w:lang w:val="en-IE" w:eastAsia="en-IE"/>
        </w:rPr>
        <w:t>.</w:t>
      </w:r>
    </w:p>
  </w:footnote>
  <w:footnote w:id="12">
    <w:p w14:paraId="67DE6F9B" w14:textId="20DD950E" w:rsidR="00921FA3" w:rsidRPr="00F97A51" w:rsidRDefault="00921FA3" w:rsidP="006501C0">
      <w:pPr>
        <w:pStyle w:val="FootnoteText"/>
      </w:pPr>
      <w:r w:rsidRPr="00F97A51">
        <w:rPr>
          <w:rStyle w:val="FootnoteReference"/>
        </w:rPr>
        <w:footnoteRef/>
      </w:r>
      <w:r w:rsidRPr="00F97A51">
        <w:t xml:space="preserve"> </w:t>
      </w:r>
      <w:hyperlink r:id="rId5" w:history="1">
        <w:r w:rsidRPr="00F97A51">
          <w:rPr>
            <w:rStyle w:val="Hyperlink"/>
          </w:rPr>
          <w:t>Regulation</w:t>
        </w:r>
      </w:hyperlink>
      <w:r w:rsidRPr="00F97A51">
        <w:t xml:space="preserve"> (</w:t>
      </w:r>
      <w:r w:rsidRPr="0000387C">
        <w:t>EU) 2022/</w:t>
      </w:r>
      <w:r w:rsidRPr="004047A6">
        <w:t xml:space="preserve">2371 </w:t>
      </w:r>
      <w:r w:rsidRPr="0000387C">
        <w:t>of 23 November 2022 on serious cross-border threats to health and repealing Decision No 1082/2013/EU</w:t>
      </w:r>
      <w:r>
        <w:t>.</w:t>
      </w:r>
    </w:p>
  </w:footnote>
  <w:footnote w:id="13">
    <w:p w14:paraId="5B6C6ECA" w14:textId="6E084ACC" w:rsidR="00921FA3" w:rsidRPr="00915A9F" w:rsidRDefault="00921FA3" w:rsidP="006501C0">
      <w:pPr>
        <w:pStyle w:val="FootnoteText"/>
      </w:pPr>
      <w:r w:rsidRPr="00F97A51">
        <w:rPr>
          <w:rStyle w:val="FootnoteReference"/>
        </w:rPr>
        <w:footnoteRef/>
      </w:r>
      <w:r w:rsidRPr="00F97A51">
        <w:t xml:space="preserve"> </w:t>
      </w:r>
      <w:hyperlink r:id="rId6" w:history="1">
        <w:r w:rsidRPr="00037B32">
          <w:rPr>
            <w:rStyle w:val="Hyperlink"/>
          </w:rPr>
          <w:t>Council Regulation</w:t>
        </w:r>
      </w:hyperlink>
      <w:r w:rsidRPr="00037B32">
        <w:rPr>
          <w:color w:val="333333"/>
          <w:shd w:val="clear" w:color="auto" w:fill="FFFFFF"/>
        </w:rPr>
        <w:t xml:space="preserve"> </w:t>
      </w:r>
      <w:r w:rsidRPr="0000387C">
        <w:rPr>
          <w:shd w:val="clear" w:color="auto" w:fill="FFFFFF"/>
        </w:rPr>
        <w:t>(EU) 2022/2372 of 24 October 2022 on a framework of measures for ensuring the supply of crisis-relevant medical countermeasures in the event of a public health emergency at Union level</w:t>
      </w:r>
      <w:r>
        <w:rPr>
          <w:shd w:val="clear" w:color="auto" w:fill="FFFFFF"/>
        </w:rPr>
        <w:t>.</w:t>
      </w:r>
    </w:p>
  </w:footnote>
  <w:footnote w:id="14">
    <w:p w14:paraId="66299532" w14:textId="01D9DB5D" w:rsidR="00921FA3" w:rsidRPr="00A0640B" w:rsidRDefault="00921FA3">
      <w:pPr>
        <w:pStyle w:val="FootnoteText"/>
      </w:pPr>
      <w:r w:rsidRPr="00915A9F">
        <w:rPr>
          <w:rStyle w:val="FootnoteReference"/>
        </w:rPr>
        <w:footnoteRef/>
      </w:r>
      <w:r w:rsidRPr="00915A9F">
        <w:t xml:space="preserve"> </w:t>
      </w:r>
      <w:hyperlink r:id="rId7" w:history="1">
        <w:r w:rsidRPr="00037B32">
          <w:rPr>
            <w:rStyle w:val="Hyperlink"/>
          </w:rPr>
          <w:t>Proposal</w:t>
        </w:r>
      </w:hyperlink>
      <w:r w:rsidRPr="00037B32">
        <w:rPr>
          <w:color w:val="333333"/>
          <w:shd w:val="clear" w:color="auto" w:fill="FFFFFF"/>
        </w:rPr>
        <w:t xml:space="preserve"> </w:t>
      </w:r>
      <w:r w:rsidRPr="0000387C">
        <w:rPr>
          <w:shd w:val="clear" w:color="auto" w:fill="FFFFFF"/>
        </w:rPr>
        <w:t>for a regulation establishing a framework of measures for strengthening Europe's semiconductor ecosystem (Chips Act).</w:t>
      </w:r>
      <w:r w:rsidRPr="0000387C" w:rsidDel="00A7733B">
        <w:rPr>
          <w:highlight w:val="yellow"/>
        </w:rPr>
        <w:t xml:space="preserve"> </w:t>
      </w:r>
    </w:p>
  </w:footnote>
  <w:footnote w:id="15">
    <w:p w14:paraId="15215839" w14:textId="77777777" w:rsidR="00921FA3" w:rsidRPr="00593D6D" w:rsidRDefault="00921FA3">
      <w:pPr>
        <w:pStyle w:val="FootnoteText"/>
      </w:pPr>
      <w:r w:rsidRPr="00593D6D">
        <w:rPr>
          <w:rStyle w:val="FootnoteReference"/>
        </w:rPr>
        <w:footnoteRef/>
      </w:r>
      <w:r w:rsidRPr="00593D6D">
        <w:t xml:space="preserve"> </w:t>
      </w:r>
      <w:r w:rsidRPr="00593D6D">
        <w:rPr>
          <w:rFonts w:eastAsia="Calibri"/>
          <w:lang w:val="en-IE"/>
        </w:rPr>
        <w:t xml:space="preserve">The term “compulsory licence” is found in national patent laws but not in the TRIPS Agreement where article 31 refers to the “use [of </w:t>
      </w:r>
      <w:r>
        <w:rPr>
          <w:rFonts w:eastAsia="Calibri"/>
          <w:lang w:val="en-IE"/>
        </w:rPr>
        <w:t>patent</w:t>
      </w:r>
      <w:r w:rsidRPr="00593D6D">
        <w:rPr>
          <w:rFonts w:eastAsia="Calibri"/>
          <w:lang w:val="en-IE"/>
        </w:rPr>
        <w:t>s] without authorization of the right holder”.</w:t>
      </w:r>
      <w:r>
        <w:rPr>
          <w:rFonts w:eastAsia="Calibri"/>
          <w:lang w:val="en-IE"/>
        </w:rPr>
        <w:t xml:space="preserve"> </w:t>
      </w:r>
    </w:p>
  </w:footnote>
  <w:footnote w:id="16">
    <w:p w14:paraId="0FFBD382" w14:textId="77777777" w:rsidR="00921FA3" w:rsidRPr="00B25621" w:rsidRDefault="00921FA3" w:rsidP="002955F4">
      <w:pPr>
        <w:pStyle w:val="FootnoteText"/>
      </w:pPr>
      <w:r>
        <w:rPr>
          <w:rStyle w:val="FootnoteReference"/>
        </w:rPr>
        <w:footnoteRef/>
      </w:r>
      <w:r>
        <w:t xml:space="preserve"> Recital 10 of Regulation EU No 1257/2012 of 17 December 2012 implementing enhanced cooperation in the area of the creation of unitary patent protection provides that: “compulsory licences for European patents with unitary effect should be governed by the laws of the participating Member States as regards their respective territories.”</w:t>
      </w:r>
    </w:p>
  </w:footnote>
  <w:footnote w:id="17">
    <w:p w14:paraId="3B4244F2" w14:textId="66FC10C2" w:rsidR="00921FA3" w:rsidRPr="008135FE" w:rsidRDefault="00921FA3" w:rsidP="00A01F41">
      <w:pPr>
        <w:pStyle w:val="FootnoteText"/>
      </w:pPr>
      <w:r>
        <w:rPr>
          <w:rStyle w:val="FootnoteReference"/>
        </w:rPr>
        <w:footnoteRef/>
      </w:r>
      <w:r>
        <w:t xml:space="preserve"> </w:t>
      </w:r>
      <w:r w:rsidRPr="002B690A">
        <w:t xml:space="preserve">Regulation </w:t>
      </w:r>
      <w:r>
        <w:t>(EC) No 816/2006 of the European Parliament and of the Council of 17 May 2006 on compulsory licensing of patents relating to the manufacture of pharmaceutical products for export to countries with public health problems.</w:t>
      </w:r>
    </w:p>
  </w:footnote>
  <w:footnote w:id="18">
    <w:p w14:paraId="782F0776" w14:textId="2A709D6A" w:rsidR="00921FA3" w:rsidRPr="001D3612" w:rsidRDefault="00921FA3">
      <w:pPr>
        <w:pStyle w:val="FootnoteText"/>
      </w:pPr>
      <w:r>
        <w:rPr>
          <w:rStyle w:val="FootnoteReference"/>
        </w:rPr>
        <w:footnoteRef/>
      </w:r>
      <w:r>
        <w:t xml:space="preserve"> Plant variety rights cover varieties of all botanical genera and species that are distinct, uniform, stable, and new. In addition, the variety must be designated by a denomination in accordance with the provisions of Article 63</w:t>
      </w:r>
      <w:r w:rsidRPr="00851202">
        <w:t xml:space="preserve"> </w:t>
      </w:r>
      <w:r>
        <w:t>of Regulation No 2100/94 of 27 July 1994 on Community plant variety right. Regulation No 2100/94 of 27 July 1994 on Community plant variety right.</w:t>
      </w:r>
    </w:p>
  </w:footnote>
  <w:footnote w:id="19">
    <w:p w14:paraId="07345642" w14:textId="346AA1F7" w:rsidR="00921FA3" w:rsidRPr="001D3612" w:rsidRDefault="00921FA3">
      <w:pPr>
        <w:pStyle w:val="FootnoteText"/>
      </w:pPr>
      <w:r>
        <w:rPr>
          <w:rStyle w:val="FootnoteReference"/>
        </w:rPr>
        <w:footnoteRef/>
      </w:r>
      <w:r>
        <w:t xml:space="preserve"> Article 29 of Regulation No 2100/94. A compulsory exploitation of rights shall be granted on grounds of public interest. Three grounds in particular can constitute a public interest: a) the protection of life or health of humans, animals and plants; b) the need to supply the market with material offering specific features; c) the need to maintain the incentive for continued breeding of improved varieties (see Article 41(2) of the Commission Regulation (EC) No 874/2009). An application for a compulsory licence was submitted to the Community Plant Variety Office in March 2017 but ultimately denies as the ground of public interest was not proven (see Decision of the Community Plant Variety Office of 28 March 2018, no. NCL001).</w:t>
      </w:r>
    </w:p>
  </w:footnote>
  <w:footnote w:id="20">
    <w:p w14:paraId="687917E5" w14:textId="4968A039" w:rsidR="00921FA3" w:rsidRPr="001D3612" w:rsidRDefault="00921FA3">
      <w:pPr>
        <w:pStyle w:val="FootnoteText"/>
      </w:pPr>
      <w:r>
        <w:rPr>
          <w:rStyle w:val="FootnoteReference"/>
        </w:rPr>
        <w:footnoteRef/>
      </w:r>
      <w:r>
        <w:t xml:space="preserve"> Article 12 of Directive 98/44/EC of 6 July 1998 on the legal protection of biotechnological inventions.</w:t>
      </w:r>
    </w:p>
  </w:footnote>
  <w:footnote w:id="21">
    <w:p w14:paraId="090512E2" w14:textId="219F3EED" w:rsidR="00921FA3" w:rsidRPr="007F07BC" w:rsidRDefault="00921FA3">
      <w:pPr>
        <w:pStyle w:val="FootnoteText"/>
      </w:pPr>
      <w:r>
        <w:rPr>
          <w:rStyle w:val="FootnoteReference"/>
        </w:rPr>
        <w:footnoteRef/>
      </w:r>
      <w:r>
        <w:t xml:space="preserve"> </w:t>
      </w:r>
      <w:r w:rsidRPr="00D0351D">
        <w:t>Article 31 of the TRIPS Agreement</w:t>
      </w:r>
      <w:r>
        <w:t xml:space="preserve"> requires that </w:t>
      </w:r>
      <w:r w:rsidRPr="00D0351D">
        <w:t>efforts</w:t>
      </w:r>
      <w:r>
        <w:t xml:space="preserve"> must be made </w:t>
      </w:r>
      <w:r w:rsidRPr="00D0351D">
        <w:t xml:space="preserve">to obtain authorisation from the right holder on reasonable terms and conditions and that such efforts proved unsuccessful. However, </w:t>
      </w:r>
      <w:r>
        <w:t xml:space="preserve">there are no specific rules on what those terms and conditions are or what type and length of efforts are required. Also, </w:t>
      </w:r>
      <w:r w:rsidRPr="00D0351D">
        <w:t>this requirement can be waived in “the case of a national emergency or other circumstances of extreme urgency or in cases of public non-commercial use”.</w:t>
      </w:r>
    </w:p>
  </w:footnote>
  <w:footnote w:id="22">
    <w:p w14:paraId="1B5827DC" w14:textId="77777777" w:rsidR="00921FA3" w:rsidRPr="00152DA4" w:rsidRDefault="00921FA3" w:rsidP="00B3716A">
      <w:pPr>
        <w:pStyle w:val="FootnoteText"/>
      </w:pPr>
      <w:r>
        <w:rPr>
          <w:rStyle w:val="FootnoteReference"/>
        </w:rPr>
        <w:footnoteRef/>
      </w:r>
      <w:r>
        <w:t xml:space="preserve"> </w:t>
      </w:r>
      <w:r w:rsidRPr="00777958">
        <w:rPr>
          <w:noProof/>
        </w:rPr>
        <w:t xml:space="preserve">However, </w:t>
      </w:r>
      <w:r w:rsidRPr="00777958">
        <w:t xml:space="preserve">views </w:t>
      </w:r>
      <w:r>
        <w:t>on this issue</w:t>
      </w:r>
      <w:r w:rsidRPr="00FC1976">
        <w:t xml:space="preserve"> </w:t>
      </w:r>
      <w:r>
        <w:t>are contrasted among stakeholders:</w:t>
      </w:r>
      <w:r w:rsidRPr="0055004E">
        <w:t xml:space="preserve"> </w:t>
      </w:r>
      <w:r>
        <w:t xml:space="preserve">although all (4) public authorities and </w:t>
      </w:r>
      <w:r w:rsidRPr="0055004E">
        <w:t>almost all companies and business association (</w:t>
      </w:r>
      <w:r>
        <w:t>85</w:t>
      </w:r>
      <w:r w:rsidRPr="0055004E">
        <w:t>%</w:t>
      </w:r>
      <w:r>
        <w:t>, N=34</w:t>
      </w:r>
      <w:r w:rsidRPr="0055004E">
        <w:t>)</w:t>
      </w:r>
      <w:r>
        <w:t xml:space="preserve"> </w:t>
      </w:r>
      <w:r w:rsidRPr="0055004E">
        <w:t>agree</w:t>
      </w:r>
      <w:r>
        <w:t>d</w:t>
      </w:r>
      <w:r w:rsidRPr="0055004E">
        <w:t xml:space="preserve"> with the last resort approach</w:t>
      </w:r>
      <w:r>
        <w:t>, 4 out of 6 NGOs having replied to the public consultation disagreed</w:t>
      </w:r>
      <w:r w:rsidRPr="0055004E">
        <w:t>.</w:t>
      </w:r>
    </w:p>
  </w:footnote>
  <w:footnote w:id="23">
    <w:p w14:paraId="60AFE32D" w14:textId="5C8E47C9" w:rsidR="00921FA3" w:rsidRPr="00F000B1" w:rsidRDefault="00921FA3" w:rsidP="0042558E">
      <w:pPr>
        <w:pStyle w:val="FootnoteText"/>
      </w:pPr>
      <w:r>
        <w:rPr>
          <w:rStyle w:val="FootnoteReference"/>
        </w:rPr>
        <w:footnoteRef/>
      </w:r>
      <w:r>
        <w:t xml:space="preserve"> E.g. when the voluntary agreement would not ensure the manufacturing and delivery of the critical goods in a timely manner (e.g. several months or years depending on the nature of the crisis).</w:t>
      </w:r>
    </w:p>
  </w:footnote>
  <w:footnote w:id="24">
    <w:p w14:paraId="56AB2A03" w14:textId="090588BF" w:rsidR="00921FA3" w:rsidRPr="003C7652" w:rsidRDefault="00921FA3" w:rsidP="0042558E">
      <w:pPr>
        <w:pStyle w:val="FootnoteText"/>
      </w:pPr>
      <w:r>
        <w:rPr>
          <w:rStyle w:val="FootnoteReference"/>
        </w:rPr>
        <w:footnoteRef/>
      </w:r>
      <w:r>
        <w:t xml:space="preserve"> E.g. when the voluntary agreements would not ensure a sufficient production of critical goods to tackle the crisis. </w:t>
      </w:r>
    </w:p>
  </w:footnote>
  <w:footnote w:id="25">
    <w:p w14:paraId="408EEE8B" w14:textId="77777777" w:rsidR="00921FA3" w:rsidRPr="00152DA4" w:rsidRDefault="00921FA3" w:rsidP="00763492">
      <w:pPr>
        <w:pStyle w:val="FootnoteText"/>
      </w:pPr>
      <w:r>
        <w:rPr>
          <w:rStyle w:val="FootnoteReference"/>
        </w:rPr>
        <w:footnoteRef/>
      </w:r>
      <w:r>
        <w:t xml:space="preserve"> </w:t>
      </w:r>
      <w:r w:rsidRPr="324B4257">
        <w:rPr>
          <w:color w:val="000000" w:themeColor="text1"/>
          <w:lang w:val="en-IE"/>
        </w:rPr>
        <w:t>Vaccines and therapeutics provide a good example of the importance of patented inventions as a solution to address a crisis, as illustrated by the COVID-19 crisis.</w:t>
      </w:r>
    </w:p>
  </w:footnote>
  <w:footnote w:id="26">
    <w:p w14:paraId="030999C0" w14:textId="4E34A65D" w:rsidR="00921FA3" w:rsidRPr="0002460C" w:rsidRDefault="00921FA3">
      <w:pPr>
        <w:pStyle w:val="FootnoteText"/>
        <w:rPr>
          <w:lang w:val="pl-PL"/>
        </w:rPr>
      </w:pPr>
      <w:r>
        <w:rPr>
          <w:rStyle w:val="FootnoteReference"/>
        </w:rPr>
        <w:footnoteRef/>
      </w:r>
      <w:r>
        <w:t xml:space="preserve"> </w:t>
      </w:r>
      <w:r w:rsidRPr="00C52C08">
        <w:rPr>
          <w:i/>
        </w:rPr>
        <w:t>Patent Index 2021 – Statistics at glance</w:t>
      </w:r>
      <w:r w:rsidRPr="001979AB">
        <w:t>, EPO</w:t>
      </w:r>
      <w:r>
        <w:t xml:space="preserve"> 2022</w:t>
      </w:r>
      <w:r w:rsidRPr="001979AB">
        <w:t>, status: 1.2.2022</w:t>
      </w:r>
      <w:r>
        <w:t>, page 8.</w:t>
      </w:r>
    </w:p>
  </w:footnote>
  <w:footnote w:id="27">
    <w:p w14:paraId="73EFE304" w14:textId="0642FB3E" w:rsidR="00921FA3" w:rsidRPr="000D5FFA" w:rsidRDefault="00921FA3" w:rsidP="00392DD5">
      <w:pPr>
        <w:pStyle w:val="FootnoteText"/>
      </w:pPr>
      <w:r>
        <w:rPr>
          <w:rStyle w:val="FootnoteReference"/>
        </w:rPr>
        <w:footnoteRef/>
      </w:r>
      <w:r>
        <w:t xml:space="preserve"> Or entering into a manufacturing and purchase agreement with the patent owner, or ensuring the conclusion of a licensing agreement, allowing a licensee to manufacture the critical goods or using the critical technology.</w:t>
      </w:r>
    </w:p>
  </w:footnote>
  <w:footnote w:id="28">
    <w:p w14:paraId="43D28BE9" w14:textId="2855CCE5" w:rsidR="00921FA3" w:rsidRPr="00152DA4" w:rsidRDefault="00921FA3">
      <w:pPr>
        <w:pStyle w:val="FootnoteText"/>
      </w:pPr>
      <w:r>
        <w:rPr>
          <w:rStyle w:val="FootnoteReference"/>
        </w:rPr>
        <w:footnoteRef/>
      </w:r>
      <w:r>
        <w:t xml:space="preserve"> </w:t>
      </w:r>
      <w:r w:rsidRPr="00226261">
        <w:t>Based on PatentSight® query of all patents active in EPO (“active in” understood as the authority in which at least one member of the patent family is active; this includes both pending applications that are still under prosecution and granted patents that are still in force) that resulted in 103 052 unique owners. The analysis was based on 525 329 patent families active at 12/08/2022</w:t>
      </w:r>
      <w:r>
        <w:t>.</w:t>
      </w:r>
    </w:p>
  </w:footnote>
  <w:footnote w:id="29">
    <w:p w14:paraId="78C638BE" w14:textId="7888600E" w:rsidR="00921FA3" w:rsidRPr="001D3612" w:rsidRDefault="00921FA3">
      <w:pPr>
        <w:pStyle w:val="FootnoteText"/>
      </w:pPr>
      <w:r>
        <w:rPr>
          <w:rStyle w:val="FootnoteReference"/>
        </w:rPr>
        <w:footnoteRef/>
      </w:r>
      <w:r>
        <w:t xml:space="preserve"> This is true for all groups of stakeholders. For instance, 72.5% (N=29) of the companies and business associations, all NGOs, all citizens and three out of four public authorities agree.</w:t>
      </w:r>
    </w:p>
  </w:footnote>
  <w:footnote w:id="30">
    <w:p w14:paraId="76D21AD3" w14:textId="486239D7" w:rsidR="00921FA3" w:rsidRPr="00152DA4" w:rsidRDefault="00921FA3" w:rsidP="001326D0">
      <w:pPr>
        <w:pStyle w:val="FootnoteText"/>
      </w:pPr>
      <w:r>
        <w:rPr>
          <w:rStyle w:val="FootnoteReference"/>
        </w:rPr>
        <w:footnoteRef/>
      </w:r>
      <w:r>
        <w:t xml:space="preserve"> </w:t>
      </w:r>
      <w:r w:rsidRPr="00FC1976">
        <w:rPr>
          <w:lang w:val="en-IE"/>
        </w:rPr>
        <w:t>The terms „</w:t>
      </w:r>
      <w:r>
        <w:rPr>
          <w:lang w:val="en-IE"/>
        </w:rPr>
        <w:t xml:space="preserve">a </w:t>
      </w:r>
      <w:r w:rsidRPr="00FC1976">
        <w:rPr>
          <w:lang w:val="en-IE"/>
        </w:rPr>
        <w:t>cross-border crisis” or „</w:t>
      </w:r>
      <w:r>
        <w:rPr>
          <w:lang w:val="en-IE"/>
        </w:rPr>
        <w:t xml:space="preserve">a </w:t>
      </w:r>
      <w:r w:rsidRPr="00FC1976">
        <w:rPr>
          <w:lang w:val="en-IE"/>
        </w:rPr>
        <w:t xml:space="preserve">crisis affecting the </w:t>
      </w:r>
      <w:r>
        <w:rPr>
          <w:lang w:val="en-IE"/>
        </w:rPr>
        <w:t>Single Market</w:t>
      </w:r>
      <w:r w:rsidRPr="00FC1976">
        <w:rPr>
          <w:lang w:val="en-IE"/>
        </w:rPr>
        <w:t>” will be used interchangeably</w:t>
      </w:r>
      <w:r w:rsidRPr="00152DA4">
        <w:t>.</w:t>
      </w:r>
    </w:p>
  </w:footnote>
  <w:footnote w:id="31">
    <w:p w14:paraId="63D4BC57" w14:textId="05813F15" w:rsidR="00921FA3" w:rsidRPr="00152DA4" w:rsidRDefault="00921FA3">
      <w:pPr>
        <w:pStyle w:val="FootnoteText"/>
      </w:pPr>
      <w:r>
        <w:rPr>
          <w:rStyle w:val="FootnoteReference"/>
        </w:rPr>
        <w:footnoteRef/>
      </w:r>
      <w:r>
        <w:t xml:space="preserve"> </w:t>
      </w:r>
      <w:r w:rsidRPr="007E21F6">
        <w:rPr>
          <w:lang w:val="en-IE"/>
        </w:rPr>
        <w:t>Additional explanat</w:t>
      </w:r>
      <w:r>
        <w:rPr>
          <w:lang w:val="en-IE"/>
        </w:rPr>
        <w:t>ion</w:t>
      </w:r>
      <w:r w:rsidRPr="007E21F6">
        <w:rPr>
          <w:lang w:val="en-IE"/>
        </w:rPr>
        <w:t xml:space="preserve"> and illustrative examples are provided in </w:t>
      </w:r>
      <w:r>
        <w:rPr>
          <w:lang w:val="en-IE"/>
        </w:rPr>
        <w:t xml:space="preserve">Figure 15 and Figure 16 in </w:t>
      </w:r>
      <w:r w:rsidRPr="007E21F6">
        <w:rPr>
          <w:lang w:val="en-IE"/>
        </w:rPr>
        <w:t>Annex 6</w:t>
      </w:r>
      <w:r w:rsidRPr="00152DA4">
        <w:t>.</w:t>
      </w:r>
    </w:p>
  </w:footnote>
  <w:footnote w:id="32">
    <w:p w14:paraId="1264B26E" w14:textId="0903CB89" w:rsidR="00921FA3" w:rsidRPr="00152DA4" w:rsidRDefault="00921FA3">
      <w:pPr>
        <w:pStyle w:val="FootnoteText"/>
      </w:pPr>
      <w:r>
        <w:rPr>
          <w:rStyle w:val="FootnoteReference"/>
        </w:rPr>
        <w:footnoteRef/>
      </w:r>
      <w:r>
        <w:t xml:space="preserve"> </w:t>
      </w:r>
      <w:r w:rsidRPr="00623CA6">
        <w:rPr>
          <w:lang w:val="en-IE"/>
        </w:rPr>
        <w:t>T</w:t>
      </w:r>
      <w:r>
        <w:rPr>
          <w:lang w:val="en-IE"/>
        </w:rPr>
        <w:t>he scenario assumes a</w:t>
      </w:r>
      <w:r w:rsidRPr="00623CA6">
        <w:rPr>
          <w:lang w:val="en-IE"/>
        </w:rPr>
        <w:t xml:space="preserve"> CL per countr</w:t>
      </w:r>
      <w:r>
        <w:rPr>
          <w:lang w:val="en-IE"/>
        </w:rPr>
        <w:t>y. In practice, the numbers may be lower if some of the importing countries were able to manufacture the necessary components, or higher if some additional CLs were necessary between the manufacturing countries, for example for other items necessary in production.</w:t>
      </w:r>
    </w:p>
  </w:footnote>
  <w:footnote w:id="33">
    <w:p w14:paraId="5E27D6A4" w14:textId="0F797EA3" w:rsidR="00921FA3" w:rsidRPr="00152DA4" w:rsidRDefault="00921FA3">
      <w:pPr>
        <w:pStyle w:val="FootnoteText"/>
      </w:pPr>
      <w:r>
        <w:rPr>
          <w:rStyle w:val="FootnoteReference"/>
        </w:rPr>
        <w:footnoteRef/>
      </w:r>
      <w:r>
        <w:t xml:space="preserve"> </w:t>
      </w:r>
      <w:r>
        <w:rPr>
          <w:lang w:val="en-IE"/>
        </w:rPr>
        <w:t>Based on WIPO PatentS</w:t>
      </w:r>
      <w:r w:rsidRPr="00654AE2">
        <w:rPr>
          <w:lang w:val="en-IE"/>
        </w:rPr>
        <w:t>cope COVID</w:t>
      </w:r>
      <w:r>
        <w:rPr>
          <w:lang w:val="en-IE"/>
        </w:rPr>
        <w:t>-19</w:t>
      </w:r>
      <w:r w:rsidRPr="00654AE2">
        <w:rPr>
          <w:lang w:val="en-IE"/>
        </w:rPr>
        <w:t xml:space="preserve"> Index</w:t>
      </w:r>
      <w:r>
        <w:rPr>
          <w:lang w:val="en-IE"/>
        </w:rPr>
        <w:t xml:space="preserve"> (</w:t>
      </w:r>
      <w:hyperlink r:id="rId8" w:history="1">
        <w:r w:rsidRPr="00152DA4">
          <w:rPr>
            <w:rStyle w:val="Hyperlink"/>
          </w:rPr>
          <w:t>https://patentscope.wipo.int/search/en/covid19.jsf</w:t>
        </w:r>
      </w:hyperlink>
      <w:r w:rsidRPr="00152DA4">
        <w:rPr>
          <w:rStyle w:val="Hyperlink"/>
        </w:rPr>
        <w:t>)</w:t>
      </w:r>
    </w:p>
  </w:footnote>
  <w:footnote w:id="34">
    <w:p w14:paraId="38F73087" w14:textId="23DE3E13" w:rsidR="00921FA3" w:rsidRPr="00E050B9" w:rsidRDefault="00921FA3" w:rsidP="00117AB0">
      <w:pPr>
        <w:pStyle w:val="FootnoteText"/>
        <w:rPr>
          <w:lang w:val="en-IE"/>
        </w:rPr>
      </w:pPr>
      <w:r>
        <w:rPr>
          <w:rStyle w:val="FootnoteReference"/>
        </w:rPr>
        <w:footnoteRef/>
      </w:r>
      <w:r>
        <w:t xml:space="preserve"> The results of the analysis by selected IPC groups and subgroups</w:t>
      </w:r>
      <w:r w:rsidRPr="00D56435">
        <w:t xml:space="preserve"> </w:t>
      </w:r>
      <w:r>
        <w:t>are presented in Table 18</w:t>
      </w:r>
      <w:r w:rsidRPr="00117AB0">
        <w:t xml:space="preserve"> </w:t>
      </w:r>
      <w:r>
        <w:t xml:space="preserve">(Annex 6). For further details on the methodology, please see Annex 4. </w:t>
      </w:r>
    </w:p>
  </w:footnote>
  <w:footnote w:id="35">
    <w:p w14:paraId="1328C41A" w14:textId="448CA7D9" w:rsidR="00921FA3" w:rsidRPr="00CA28F6" w:rsidRDefault="00921FA3" w:rsidP="00CA28F6">
      <w:pPr>
        <w:pStyle w:val="FootnoteText"/>
        <w:rPr>
          <w:lang w:val="en-IE"/>
        </w:rPr>
      </w:pPr>
      <w:r>
        <w:rPr>
          <w:rStyle w:val="FootnoteReference"/>
        </w:rPr>
        <w:footnoteRef/>
      </w:r>
      <w:r>
        <w:t xml:space="preserve"> </w:t>
      </w:r>
      <w:r w:rsidRPr="00CA28F6">
        <w:rPr>
          <w:lang w:val="en-IE"/>
        </w:rPr>
        <w:t xml:space="preserve">For pharmaceutical products, see: </w:t>
      </w:r>
      <w:r w:rsidRPr="00CA28F6">
        <w:rPr>
          <w:i/>
          <w:lang w:val="en-IE"/>
        </w:rPr>
        <w:t xml:space="preserve">Pharma supply chains of the future, </w:t>
      </w:r>
      <w:r w:rsidRPr="003E1F76">
        <w:rPr>
          <w:lang w:val="en-IE"/>
        </w:rPr>
        <w:t>EY 2022</w:t>
      </w:r>
      <w:r>
        <w:rPr>
          <w:i/>
          <w:lang w:val="en-IE"/>
        </w:rPr>
        <w:t xml:space="preserve">, </w:t>
      </w:r>
      <w:r w:rsidRPr="00CA28F6">
        <w:rPr>
          <w:lang w:val="en-IE"/>
        </w:rPr>
        <w:t xml:space="preserve">Figure 1, </w:t>
      </w:r>
      <w:r>
        <w:rPr>
          <w:lang w:val="en-IE"/>
        </w:rPr>
        <w:t>p.</w:t>
      </w:r>
      <w:r w:rsidRPr="00CA28F6">
        <w:rPr>
          <w:lang w:val="en-IE"/>
        </w:rPr>
        <w:t xml:space="preserve"> 2 that depicts </w:t>
      </w:r>
      <w:r>
        <w:rPr>
          <w:lang w:val="en-IE"/>
        </w:rPr>
        <w:t xml:space="preserve">complex multi-country value chain of a medicinal product based on the following stages: 1. </w:t>
      </w:r>
      <w:r w:rsidRPr="00CA28F6">
        <w:rPr>
          <w:lang w:val="en-IE"/>
        </w:rPr>
        <w:t>Active pharmaceutical</w:t>
      </w:r>
      <w:r>
        <w:rPr>
          <w:lang w:val="en-IE"/>
        </w:rPr>
        <w:t xml:space="preserve"> ingredient manufacturing,</w:t>
      </w:r>
      <w:r w:rsidRPr="00CA28F6">
        <w:rPr>
          <w:lang w:val="en-IE"/>
        </w:rPr>
        <w:t xml:space="preserve"> </w:t>
      </w:r>
      <w:r>
        <w:rPr>
          <w:lang w:val="en-IE"/>
        </w:rPr>
        <w:t>2. Formulation,</w:t>
      </w:r>
      <w:r w:rsidRPr="00CA28F6">
        <w:rPr>
          <w:lang w:val="en-IE"/>
        </w:rPr>
        <w:t xml:space="preserve"> </w:t>
      </w:r>
      <w:r>
        <w:rPr>
          <w:lang w:val="en-IE"/>
        </w:rPr>
        <w:t xml:space="preserve">3. Primary packaging, 4. Secondary packaging. </w:t>
      </w:r>
    </w:p>
  </w:footnote>
  <w:footnote w:id="36">
    <w:p w14:paraId="153FCDA1" w14:textId="66BCD751" w:rsidR="00921FA3" w:rsidRPr="00152DA4" w:rsidRDefault="00921FA3">
      <w:pPr>
        <w:pStyle w:val="FootnoteText"/>
      </w:pPr>
      <w:r>
        <w:rPr>
          <w:rStyle w:val="FootnoteReference"/>
        </w:rPr>
        <w:footnoteRef/>
      </w:r>
      <w:r>
        <w:t xml:space="preserve"> </w:t>
      </w:r>
      <w:r w:rsidRPr="00FA4563">
        <w:rPr>
          <w:color w:val="000000" w:themeColor="text1"/>
          <w:lang w:val="en-IE"/>
        </w:rPr>
        <w:t>Meaning</w:t>
      </w:r>
      <w:r>
        <w:rPr>
          <w:color w:val="000000" w:themeColor="text1"/>
          <w:lang w:val="en-IE"/>
        </w:rPr>
        <w:t xml:space="preserve"> that</w:t>
      </w:r>
      <w:r w:rsidRPr="00FA4563">
        <w:rPr>
          <w:color w:val="000000" w:themeColor="text1"/>
          <w:lang w:val="en-IE"/>
        </w:rPr>
        <w:t xml:space="preserve"> extra-EU exports were higher than intra-EU exports</w:t>
      </w:r>
      <w:r>
        <w:rPr>
          <w:color w:val="000000" w:themeColor="text1"/>
          <w:lang w:val="en-IE"/>
        </w:rPr>
        <w:t>.</w:t>
      </w:r>
    </w:p>
  </w:footnote>
  <w:footnote w:id="37">
    <w:p w14:paraId="7B51D846" w14:textId="1BF060E3" w:rsidR="00921FA3" w:rsidRPr="00152DA4" w:rsidRDefault="00921FA3" w:rsidP="002B690A">
      <w:pPr>
        <w:pStyle w:val="FootnoteText"/>
        <w:jc w:val="left"/>
      </w:pPr>
      <w:r>
        <w:rPr>
          <w:rStyle w:val="FootnoteReference"/>
        </w:rPr>
        <w:footnoteRef/>
      </w:r>
      <w:r w:rsidRPr="00152DA4">
        <w:t xml:space="preserve"> </w:t>
      </w:r>
      <w:hyperlink r:id="rId9" w:history="1">
        <w:r w:rsidRPr="00152DA4">
          <w:rPr>
            <w:rStyle w:val="Hyperlink"/>
          </w:rPr>
          <w:t>https://ec.europa.eu/eurostat/statistics-explained/index.php?title=Intra-EU_trade_in_goods_-_main_features</w:t>
        </w:r>
      </w:hyperlink>
      <w:r w:rsidRPr="00152DA4">
        <w:t xml:space="preserve"> </w:t>
      </w:r>
    </w:p>
  </w:footnote>
  <w:footnote w:id="38">
    <w:p w14:paraId="14A3F45A" w14:textId="44F1F188" w:rsidR="00921FA3" w:rsidRPr="00152DA4" w:rsidRDefault="00921FA3">
      <w:pPr>
        <w:pStyle w:val="FootnoteText"/>
      </w:pPr>
      <w:r>
        <w:rPr>
          <w:rStyle w:val="FootnoteReference"/>
        </w:rPr>
        <w:footnoteRef/>
      </w:r>
      <w:r>
        <w:t xml:space="preserve"> The electronics sector is </w:t>
      </w:r>
      <w:r w:rsidRPr="00561457">
        <w:t>one of the most internationally fragmented sectors</w:t>
      </w:r>
      <w:r>
        <w:t xml:space="preserve">, see Figure 18 in Annex 6, Source: </w:t>
      </w:r>
      <w:r w:rsidRPr="00561457">
        <w:t>Gaulier, G</w:t>
      </w:r>
      <w:r>
        <w:t>.</w:t>
      </w:r>
      <w:r w:rsidRPr="00561457">
        <w:t>, Sztulman</w:t>
      </w:r>
      <w:r>
        <w:t xml:space="preserve"> A.</w:t>
      </w:r>
      <w:r w:rsidRPr="00561457">
        <w:t>, Ünal</w:t>
      </w:r>
      <w:r>
        <w:t xml:space="preserve"> D., </w:t>
      </w:r>
      <w:r w:rsidRPr="004321C2">
        <w:rPr>
          <w:i/>
        </w:rPr>
        <w:t>Are Global Value Chains Receding? The Jury Is Still Out. Key Findings from the Analysis of Deflated Wor</w:t>
      </w:r>
      <w:r>
        <w:rPr>
          <w:i/>
        </w:rPr>
        <w:t>ld Trade in Parts and Components</w:t>
      </w:r>
      <w:r>
        <w:t>,</w:t>
      </w:r>
      <w:r w:rsidRPr="00561457">
        <w:t xml:space="preserve"> CEPII Working Paper 2019-01, Paris.</w:t>
      </w:r>
    </w:p>
  </w:footnote>
  <w:footnote w:id="39">
    <w:p w14:paraId="5A0BE4E9" w14:textId="49A030A9" w:rsidR="00921FA3" w:rsidRPr="00152DA4" w:rsidRDefault="00921FA3" w:rsidP="009833CF">
      <w:pPr>
        <w:pStyle w:val="FootnoteText"/>
      </w:pPr>
      <w:r>
        <w:rPr>
          <w:rStyle w:val="FootnoteReference"/>
        </w:rPr>
        <w:footnoteRef/>
      </w:r>
      <w:r>
        <w:t xml:space="preserve"> </w:t>
      </w:r>
      <w:r w:rsidRPr="006E02EF">
        <w:t xml:space="preserve">Two thirds of respondents to the </w:t>
      </w:r>
      <w:r>
        <w:t>OPC</w:t>
      </w:r>
      <w:r w:rsidRPr="006E02EF">
        <w:t xml:space="preserve"> consider that the Regulation 816/2206 allows for speedy and efficient procedures for granting compulsory licences to export pharmaceutical products to third countries. Views greatly diverge depending on the group of respondents (all NGOs disagree with this view). When asked about what elements of the regulation could be streamlined, around a third of respondents having expressed an opinion mention the accelerated and simplified procedure (37%) and the conditions to submit an application (30.5%). Slightly more respondents (40%) consider that the procedure set by Regulation</w:t>
      </w:r>
      <w:r>
        <w:t xml:space="preserve"> (EC) No</w:t>
      </w:r>
      <w:r w:rsidRPr="006E02EF">
        <w:t xml:space="preserve"> 816/2006 should be made more flexible to adapt to the needs of the importing countries.</w:t>
      </w:r>
    </w:p>
  </w:footnote>
  <w:footnote w:id="40">
    <w:p w14:paraId="5ABBFEF5" w14:textId="77777777" w:rsidR="00921FA3" w:rsidRPr="006877D4" w:rsidRDefault="00921FA3" w:rsidP="00466091">
      <w:pPr>
        <w:pStyle w:val="FootnoteText"/>
      </w:pPr>
      <w:r>
        <w:rPr>
          <w:rStyle w:val="FootnoteReference"/>
        </w:rPr>
        <w:footnoteRef/>
      </w:r>
      <w:r>
        <w:t xml:space="preserve"> Although an explicit reference is made to compulsory licensing to tackle crises. </w:t>
      </w:r>
      <w:r>
        <w:rPr>
          <w:lang w:val="en-IE"/>
        </w:rPr>
        <w:t>Article 31 of the TRIPS Agreement provides indeed that in the case of a national emergency or other circumstances of extreme urgency, the best-efforts requirement to obtain an authorisation from right holder can be waived.</w:t>
      </w:r>
    </w:p>
  </w:footnote>
  <w:footnote w:id="41">
    <w:p w14:paraId="7930DB43" w14:textId="77777777" w:rsidR="00921FA3" w:rsidRPr="000A2604" w:rsidRDefault="00921FA3" w:rsidP="00466091">
      <w:pPr>
        <w:pStyle w:val="FootnoteText"/>
      </w:pPr>
      <w:r>
        <w:rPr>
          <w:rStyle w:val="FootnoteReference"/>
        </w:rPr>
        <w:footnoteRef/>
      </w:r>
      <w:r>
        <w:t xml:space="preserve"> When a patented invention cannot be exploited without infringing an invention patented beforehand.</w:t>
      </w:r>
    </w:p>
  </w:footnote>
  <w:footnote w:id="42">
    <w:p w14:paraId="0B51F930" w14:textId="4891D1A9" w:rsidR="00921FA3" w:rsidRPr="003C205F" w:rsidRDefault="00921FA3">
      <w:pPr>
        <w:pStyle w:val="FootnoteText"/>
      </w:pPr>
      <w:r>
        <w:rPr>
          <w:rStyle w:val="FootnoteReference"/>
        </w:rPr>
        <w:footnoteRef/>
      </w:r>
      <w:r>
        <w:t xml:space="preserve"> This notion is generally not defined nor exemplified. Most of the time a case-by-case approach prevails, as this is for instance the case in DE, see EPO (2018), p 30. Compulsory licence for Community plant varieties can also be issued on a public interest ground.</w:t>
      </w:r>
    </w:p>
  </w:footnote>
  <w:footnote w:id="43">
    <w:p w14:paraId="62588682" w14:textId="3E092B37" w:rsidR="00921FA3" w:rsidRPr="0057116A" w:rsidRDefault="00921FA3" w:rsidP="00466091">
      <w:pPr>
        <w:pStyle w:val="FootnoteText"/>
      </w:pPr>
      <w:r>
        <w:rPr>
          <w:rStyle w:val="FootnoteReference"/>
        </w:rPr>
        <w:footnoteRef/>
      </w:r>
      <w:r>
        <w:t xml:space="preserve"> See</w:t>
      </w:r>
      <w:r w:rsidRPr="00DE689F">
        <w:t xml:space="preserve"> </w:t>
      </w:r>
      <w:r>
        <w:t>T</w:t>
      </w:r>
      <w:r w:rsidRPr="0066463E">
        <w:t>able 1</w:t>
      </w:r>
      <w:r>
        <w:t>9 (Annex 6)</w:t>
      </w:r>
      <w:r w:rsidRPr="0066463E">
        <w:t xml:space="preserve"> listing the</w:t>
      </w:r>
      <w:r>
        <w:t xml:space="preserve"> different provisions applicable in the EU countries and based on which a compulsory licence could be granted to tackle a crisis.</w:t>
      </w:r>
    </w:p>
  </w:footnote>
  <w:footnote w:id="44">
    <w:p w14:paraId="792D1C17" w14:textId="42A195C1" w:rsidR="00921FA3" w:rsidRPr="008A2024" w:rsidRDefault="00921FA3" w:rsidP="00466091">
      <w:pPr>
        <w:pStyle w:val="FootnoteText"/>
      </w:pPr>
      <w:r>
        <w:rPr>
          <w:rStyle w:val="FootnoteReference"/>
        </w:rPr>
        <w:footnoteRef/>
      </w:r>
      <w:r>
        <w:t xml:space="preserve"> To be noted that FR also restricts the grounds on which a compulsory licence can be granted to public health, national </w:t>
      </w:r>
      <w:r w:rsidDel="00CD22C8">
        <w:t>defence</w:t>
      </w:r>
      <w:r>
        <w:t>, and national economy.</w:t>
      </w:r>
    </w:p>
  </w:footnote>
  <w:footnote w:id="45">
    <w:p w14:paraId="1F40AE24" w14:textId="376D5FB8" w:rsidR="00921FA3" w:rsidRPr="00D12241" w:rsidRDefault="00921FA3" w:rsidP="00B7566A">
      <w:pPr>
        <w:pStyle w:val="FootnoteText"/>
      </w:pPr>
      <w:r w:rsidRPr="00D12241">
        <w:rPr>
          <w:rStyle w:val="FootnoteReference"/>
        </w:rPr>
        <w:footnoteRef/>
      </w:r>
      <w:r w:rsidRPr="00D12241">
        <w:t xml:space="preserve"> Such as FR, IE, and MT</w:t>
      </w:r>
      <w:r>
        <w:t>,</w:t>
      </w:r>
      <w:r w:rsidRPr="00D12241">
        <w:t xml:space="preserve"> </w:t>
      </w:r>
      <w:r>
        <w:t>see</w:t>
      </w:r>
      <w:r w:rsidRPr="00D12241">
        <w:t xml:space="preserve"> </w:t>
      </w:r>
      <w:r w:rsidRPr="00546159">
        <w:t>“Compulsory licensing of intellectual property rights”, Center for International Intellectual Property Studies (CEIPI), Université de Strasbourg (UNISTRA), Impact Licensing Initiative (ILI), Ecorys Nederland BV (Ecorys), Brussels 2023</w:t>
      </w:r>
      <w:r>
        <w:t>,</w:t>
      </w:r>
      <w:r w:rsidRPr="00546159">
        <w:t xml:space="preserve"> </w:t>
      </w:r>
      <w:r>
        <w:t xml:space="preserve">p. 41 and </w:t>
      </w:r>
      <w:r w:rsidRPr="00D12241">
        <w:t>Table 2</w:t>
      </w:r>
      <w:r>
        <w:t xml:space="preserve">1 in </w:t>
      </w:r>
      <w:r w:rsidRPr="00D12241">
        <w:t>Annex 6.</w:t>
      </w:r>
    </w:p>
  </w:footnote>
  <w:footnote w:id="46">
    <w:p w14:paraId="7CB85C6A" w14:textId="7A075670" w:rsidR="00921FA3" w:rsidRPr="00D12241" w:rsidRDefault="00921FA3" w:rsidP="00591D0F">
      <w:pPr>
        <w:pStyle w:val="FootnoteText"/>
      </w:pPr>
      <w:r w:rsidRPr="00D12241">
        <w:rPr>
          <w:rStyle w:val="FootnoteReference"/>
        </w:rPr>
        <w:footnoteRef/>
      </w:r>
      <w:r w:rsidRPr="00D12241">
        <w:t xml:space="preserve"> As reported by </w:t>
      </w:r>
      <w:r>
        <w:t>CEIPI(2023)</w:t>
      </w:r>
      <w:r w:rsidRPr="00D12241">
        <w:t xml:space="preserve">. </w:t>
      </w:r>
      <w:r w:rsidRPr="00D12241">
        <w:rPr>
          <w:lang w:val="en-IE"/>
        </w:rPr>
        <w:t>Based on that, the patent court of The Hague has refused to grant a com</w:t>
      </w:r>
      <w:r>
        <w:rPr>
          <w:lang w:val="en-IE"/>
        </w:rPr>
        <w:t>pulsory licence for a European P</w:t>
      </w:r>
      <w:r w:rsidRPr="00D12241">
        <w:rPr>
          <w:lang w:val="en-IE"/>
        </w:rPr>
        <w:t>atent application on the ground that the final scope of the application was uncertain and could only be determined after the grant of the patent.</w:t>
      </w:r>
    </w:p>
  </w:footnote>
  <w:footnote w:id="47">
    <w:p w14:paraId="579672C3" w14:textId="074085D0" w:rsidR="00921FA3" w:rsidRPr="00D12241" w:rsidRDefault="00921FA3" w:rsidP="00564EB1">
      <w:pPr>
        <w:pStyle w:val="NormalWeb"/>
        <w:spacing w:before="0" w:beforeAutospacing="0" w:after="0" w:afterAutospacing="0"/>
        <w:jc w:val="both"/>
      </w:pPr>
      <w:r w:rsidRPr="00D12241">
        <w:rPr>
          <w:rStyle w:val="FootnoteReference"/>
          <w:sz w:val="20"/>
          <w:szCs w:val="20"/>
        </w:rPr>
        <w:footnoteRef/>
      </w:r>
      <w:r w:rsidRPr="00D12241">
        <w:rPr>
          <w:sz w:val="20"/>
          <w:szCs w:val="20"/>
        </w:rPr>
        <w:t xml:space="preserve"> An SPC is an IP right that serve as an extension to a patent right, applicable, under specific conditions, to medicinal and plant protection products that have been authorised by regulatory authorities. </w:t>
      </w:r>
    </w:p>
  </w:footnote>
  <w:footnote w:id="48">
    <w:p w14:paraId="017EAC3F" w14:textId="3BDC0DCC" w:rsidR="00921FA3" w:rsidRPr="00D12241" w:rsidRDefault="00921FA3" w:rsidP="00E65568">
      <w:pPr>
        <w:pStyle w:val="FootnoteText"/>
      </w:pPr>
      <w:r w:rsidRPr="00D12241">
        <w:rPr>
          <w:rStyle w:val="FootnoteReference"/>
        </w:rPr>
        <w:footnoteRef/>
      </w:r>
      <w:r w:rsidRPr="00D12241">
        <w:t xml:space="preserve"> SPCs are covered by compulsory licensing laws in HR, CZ, EE, EL, HU, LT, RO and SK</w:t>
      </w:r>
      <w:r>
        <w:t xml:space="preserve">. </w:t>
      </w:r>
      <w:r w:rsidRPr="00D12241">
        <w:t>In other EU countries, in the absence of any explicit reference or authoritative official documents of interpretative va</w:t>
      </w:r>
      <w:r>
        <w:t>lue, legal uncertainty persists, see CEIPI(2023), page 38.</w:t>
      </w:r>
    </w:p>
  </w:footnote>
  <w:footnote w:id="49">
    <w:p w14:paraId="73A2A48E" w14:textId="0E8D4A92" w:rsidR="00921FA3" w:rsidRPr="00D12241" w:rsidRDefault="00921FA3" w:rsidP="00E65568">
      <w:pPr>
        <w:pStyle w:val="FootnoteText"/>
      </w:pPr>
      <w:r w:rsidRPr="00D12241">
        <w:rPr>
          <w:rStyle w:val="FootnoteReference"/>
        </w:rPr>
        <w:footnoteRef/>
      </w:r>
      <w:r>
        <w:t>A</w:t>
      </w:r>
      <w:r w:rsidRPr="00D12241">
        <w:t xml:space="preserve"> questionnaire was sent to national experts to identify the scope of national compulsory licensing schemes. Responses of the national experts show that the lack of explicit reference to SPC gives rise to legal uncertainty and different interpretation of similarly word</w:t>
      </w:r>
      <w:r>
        <w:t>ed provisions,</w:t>
      </w:r>
      <w:r w:rsidRPr="00D12241">
        <w:t xml:space="preserve"> </w:t>
      </w:r>
      <w:r>
        <w:t>see CEIPI(2023), page 40.</w:t>
      </w:r>
    </w:p>
  </w:footnote>
  <w:footnote w:id="50">
    <w:p w14:paraId="7D2A1699" w14:textId="294205C9" w:rsidR="00921FA3" w:rsidRPr="00D12241" w:rsidRDefault="00921FA3">
      <w:pPr>
        <w:pStyle w:val="FootnoteText"/>
      </w:pPr>
      <w:r w:rsidRPr="00D12241">
        <w:rPr>
          <w:rStyle w:val="FootnoteReference"/>
        </w:rPr>
        <w:footnoteRef/>
      </w:r>
      <w:r w:rsidRPr="00D12241">
        <w:t xml:space="preserve"> Article 1 of Regulation </w:t>
      </w:r>
      <w:r>
        <w:t xml:space="preserve">(EC) No </w:t>
      </w:r>
      <w:r w:rsidRPr="00D12241">
        <w:t>816/2006 provides that “This Regulation establishes a procedure for the grant of compulsory licences in relation to patents and supplementary protection certificates concerning the manufacture and sale of pharmaceutical products, when such products are intended for export to eligible importing countries in need of such products in order to address public health problems.”</w:t>
      </w:r>
    </w:p>
  </w:footnote>
  <w:footnote w:id="51">
    <w:p w14:paraId="418FDA37" w14:textId="1AF7F21C" w:rsidR="00921FA3" w:rsidRPr="00416B95" w:rsidRDefault="00921FA3" w:rsidP="00E65568">
      <w:pPr>
        <w:pStyle w:val="FootnoteText"/>
      </w:pPr>
      <w:r w:rsidRPr="00D12241">
        <w:rPr>
          <w:rStyle w:val="FootnoteReference"/>
        </w:rPr>
        <w:footnoteRef/>
      </w:r>
      <w:r w:rsidRPr="00D12241">
        <w:t xml:space="preserve"> See the protection periods set out in Article 14(11) of Regulation (EC) No 726/2004 and in Articles 10(1) and 10(5) of Directive 2001/83/EC.</w:t>
      </w:r>
    </w:p>
  </w:footnote>
  <w:footnote w:id="52">
    <w:p w14:paraId="46B3544F" w14:textId="02701B4D" w:rsidR="00921FA3" w:rsidRPr="00FD3CCF" w:rsidRDefault="00921FA3" w:rsidP="00106124">
      <w:pPr>
        <w:shd w:val="clear" w:color="auto" w:fill="FFFFFF" w:themeFill="background1"/>
        <w:spacing w:after="0"/>
        <w:rPr>
          <w:sz w:val="20"/>
          <w:szCs w:val="20"/>
          <w:lang w:val="en-IE"/>
        </w:rPr>
      </w:pPr>
      <w:r w:rsidRPr="00FD3CCF">
        <w:rPr>
          <w:rStyle w:val="FootnoteReference"/>
          <w:sz w:val="20"/>
          <w:szCs w:val="20"/>
        </w:rPr>
        <w:footnoteRef/>
      </w:r>
      <w:r w:rsidRPr="00FD3CCF">
        <w:rPr>
          <w:sz w:val="20"/>
          <w:szCs w:val="20"/>
        </w:rPr>
        <w:t xml:space="preserve"> </w:t>
      </w:r>
      <w:r w:rsidRPr="004B0CCF">
        <w:rPr>
          <w:sz w:val="20"/>
          <w:szCs w:val="20"/>
        </w:rPr>
        <w:t xml:space="preserve">In 2016, the Romanian government contemplated issuing a compulsory licence for the medicine sofosbuvir. However, data exclusivity was only to expire in 2022. In such circumstances, issuing a compulsory licence would have been useless as data exclusivity would still prevent the registration of a generic version of sofosbuvir. See E. ‘t Hoen, P. Boulet and B. Baker, Data exclusivity exceptions and compulsory licensing to promote generic medicines in the European Union: A proposal for greater coherence in European pharmaceutical legislation, </w:t>
      </w:r>
      <w:hyperlink r:id="rId10" w:history="1">
        <w:r w:rsidRPr="004B0CCF">
          <w:rPr>
            <w:rStyle w:val="Hyperlink"/>
            <w:sz w:val="20"/>
            <w:szCs w:val="20"/>
          </w:rPr>
          <w:t>Journal of Pharmaceutical Policy and Practice</w:t>
        </w:r>
      </w:hyperlink>
      <w:r w:rsidRPr="004B0CCF">
        <w:rPr>
          <w:sz w:val="20"/>
          <w:szCs w:val="20"/>
        </w:rPr>
        <w:t xml:space="preserve"> (2017). </w:t>
      </w:r>
    </w:p>
  </w:footnote>
  <w:footnote w:id="53">
    <w:p w14:paraId="0C865773" w14:textId="24185BD8" w:rsidR="00921FA3" w:rsidRPr="00C015CA" w:rsidRDefault="00921FA3">
      <w:pPr>
        <w:pStyle w:val="FootnoteText"/>
        <w:rPr>
          <w:lang w:val="pl-PL"/>
        </w:rPr>
      </w:pPr>
      <w:r>
        <w:rPr>
          <w:rStyle w:val="FootnoteReference"/>
        </w:rPr>
        <w:footnoteRef/>
      </w:r>
      <w:r>
        <w:t xml:space="preserve"> </w:t>
      </w:r>
      <w:r w:rsidRPr="00C015CA">
        <w:t xml:space="preserve">CEIPI(2023) </w:t>
      </w:r>
      <w:r>
        <w:t xml:space="preserve">p. 50 </w:t>
      </w:r>
      <w:r w:rsidRPr="00C015CA">
        <w:t>and Table 2</w:t>
      </w:r>
      <w:r>
        <w:t>1</w:t>
      </w:r>
      <w:r w:rsidRPr="0016576A">
        <w:t xml:space="preserve"> </w:t>
      </w:r>
      <w:r>
        <w:t>in Annex 6</w:t>
      </w:r>
      <w:r w:rsidRPr="00C015CA">
        <w:t>.</w:t>
      </w:r>
    </w:p>
  </w:footnote>
  <w:footnote w:id="54">
    <w:p w14:paraId="33FD33B3" w14:textId="68F7BF46" w:rsidR="00921FA3" w:rsidRPr="005F7615" w:rsidRDefault="00921FA3">
      <w:pPr>
        <w:pStyle w:val="FootnoteText"/>
      </w:pPr>
      <w:r w:rsidRPr="0030060B">
        <w:rPr>
          <w:rStyle w:val="FootnoteReference"/>
        </w:rPr>
        <w:footnoteRef/>
      </w:r>
      <w:r w:rsidRPr="0030060B">
        <w:t xml:space="preserve"> See Annex 6, Table </w:t>
      </w:r>
      <w:r>
        <w:t>20</w:t>
      </w:r>
      <w:r w:rsidRPr="0030060B">
        <w:t>.</w:t>
      </w:r>
    </w:p>
  </w:footnote>
  <w:footnote w:id="55">
    <w:p w14:paraId="573F10E3" w14:textId="6CC20C74" w:rsidR="00921FA3" w:rsidRPr="00D41D77" w:rsidRDefault="00921FA3">
      <w:pPr>
        <w:pStyle w:val="FootnoteText"/>
      </w:pPr>
      <w:r>
        <w:rPr>
          <w:rStyle w:val="FootnoteReference"/>
        </w:rPr>
        <w:footnoteRef/>
      </w:r>
      <w:r>
        <w:t xml:space="preserve"> For instance, in the context of a compulsory licence for public health purposes in BE the application is submitted to the Minister of Economy and forwarded to the Bioethics Advisory Committee.</w:t>
      </w:r>
    </w:p>
  </w:footnote>
  <w:footnote w:id="56">
    <w:p w14:paraId="0036F398" w14:textId="45F90805" w:rsidR="00921FA3" w:rsidRPr="00D34212" w:rsidRDefault="00921FA3" w:rsidP="00B857F4">
      <w:pPr>
        <w:pStyle w:val="FootnoteText"/>
      </w:pPr>
      <w:r>
        <w:rPr>
          <w:rStyle w:val="FootnoteReference"/>
        </w:rPr>
        <w:footnoteRef/>
      </w:r>
      <w:r>
        <w:t xml:space="preserve"> For instance, in BE the patent holder has one month to file her observations on the grant of a compulsory licence and the level of remuneration.</w:t>
      </w:r>
    </w:p>
  </w:footnote>
  <w:footnote w:id="57">
    <w:p w14:paraId="11DD43DE" w14:textId="6F7FBB94" w:rsidR="00921FA3" w:rsidRPr="009707D7" w:rsidRDefault="00921FA3" w:rsidP="00B857F4">
      <w:pPr>
        <w:pStyle w:val="FootnoteText"/>
      </w:pPr>
      <w:r>
        <w:rPr>
          <w:rStyle w:val="FootnoteReference"/>
        </w:rPr>
        <w:footnoteRef/>
      </w:r>
      <w:r>
        <w:t xml:space="preserve"> See article 7 of Regulation (EC) No 816/2006.</w:t>
      </w:r>
    </w:p>
  </w:footnote>
  <w:footnote w:id="58">
    <w:p w14:paraId="63FAF51C" w14:textId="78B8151A" w:rsidR="00921FA3" w:rsidRPr="00C015CA" w:rsidRDefault="00921FA3">
      <w:pPr>
        <w:pStyle w:val="FootnoteText"/>
        <w:rPr>
          <w:lang w:val="pl-PL"/>
        </w:rPr>
      </w:pPr>
      <w:r>
        <w:rPr>
          <w:rStyle w:val="FootnoteReference"/>
        </w:rPr>
        <w:footnoteRef/>
      </w:r>
      <w:r>
        <w:t xml:space="preserve"> </w:t>
      </w:r>
      <w:r w:rsidRPr="00C015CA">
        <w:t>Preliminary relief proceedings are short proceedings seeking an immediate provisional judgment in a civil dispute.</w:t>
      </w:r>
    </w:p>
  </w:footnote>
  <w:footnote w:id="59">
    <w:p w14:paraId="6742916B" w14:textId="3E720735" w:rsidR="00921FA3" w:rsidRPr="00DB1F96" w:rsidRDefault="00921FA3" w:rsidP="00967AE5">
      <w:pPr>
        <w:pStyle w:val="FootnoteText"/>
      </w:pPr>
      <w:r>
        <w:rPr>
          <w:rStyle w:val="FootnoteReference"/>
        </w:rPr>
        <w:footnoteRef/>
      </w:r>
      <w:r>
        <w:t xml:space="preserve"> “</w:t>
      </w:r>
      <w:r w:rsidRPr="44CCBF75">
        <w:rPr>
          <w:rFonts w:eastAsia="Times New Roman"/>
        </w:rPr>
        <w:t xml:space="preserve">European Patent Office, </w:t>
      </w:r>
      <w:r>
        <w:t>Compulsory licensing in Europe - A country-by-country overview”: Unavailable in: BE, EL, PL, Uncertain: IE, FR, FI, ES, DK, SE.</w:t>
      </w:r>
    </w:p>
  </w:footnote>
  <w:footnote w:id="60">
    <w:p w14:paraId="4A003571" w14:textId="1FFEC3EF" w:rsidR="00921FA3" w:rsidRPr="0028425A" w:rsidRDefault="00921FA3">
      <w:pPr>
        <w:pStyle w:val="FootnoteText"/>
      </w:pPr>
      <w:r>
        <w:rPr>
          <w:rStyle w:val="FootnoteReference"/>
        </w:rPr>
        <w:footnoteRef/>
      </w:r>
      <w:r>
        <w:t xml:space="preserve"> The </w:t>
      </w:r>
      <w:r>
        <w:rPr>
          <w:lang w:val="en-IE"/>
        </w:rPr>
        <w:t>competence to assess, grant or refuse an application remains with national competent authorities who retain a margin of manoeuvre in that respect.</w:t>
      </w:r>
    </w:p>
  </w:footnote>
  <w:footnote w:id="61">
    <w:p w14:paraId="2B6DDC12" w14:textId="0B8DD70A" w:rsidR="00921FA3" w:rsidRPr="002F1F36" w:rsidRDefault="00921FA3">
      <w:pPr>
        <w:pStyle w:val="FootnoteText"/>
      </w:pPr>
      <w:r>
        <w:rPr>
          <w:rStyle w:val="FootnoteReference"/>
        </w:rPr>
        <w:footnoteRef/>
      </w:r>
      <w:r>
        <w:t xml:space="preserve"> National experts were asked how provision only referring to ‘patent’ in singular form should be interpreted. Views greatly varied between national experts. Some (e.g. experts from AT, BG, DK, FR and LU) considered that a compulsory licence could only be granted per single patent. Others (e.g. EE, FI, EL, LT, LU, PL, RO and ES) considered that the law does not prohibit that a compulsory licence covers more than one patent, see CEIPI(2023) p. 37,</w:t>
      </w:r>
    </w:p>
  </w:footnote>
  <w:footnote w:id="62">
    <w:p w14:paraId="27BEBE82" w14:textId="273998F3" w:rsidR="00921FA3" w:rsidRPr="004E10F9" w:rsidRDefault="00921FA3">
      <w:pPr>
        <w:pStyle w:val="FootnoteText"/>
      </w:pPr>
      <w:r>
        <w:rPr>
          <w:rStyle w:val="FootnoteReference"/>
        </w:rPr>
        <w:footnoteRef/>
      </w:r>
      <w:r>
        <w:t xml:space="preserve"> Article 6(3) of Regulation (EC) No 816/2006 provides that “The application pursuant to paragraph 1 shall set out the following: (…) the non-proprietary name of the pharmaceutical product or products which the applicant intends to manufacture and sell for export under the compulsory licence”. However national divergences can remain as Member States may prescribe requirements on the identification of the patent(s) and/ or supplementary protection certificate(s).</w:t>
      </w:r>
    </w:p>
  </w:footnote>
  <w:footnote w:id="63">
    <w:p w14:paraId="7CAE1DDC" w14:textId="36990A19" w:rsidR="00921FA3" w:rsidRPr="00B80645" w:rsidRDefault="00921FA3">
      <w:pPr>
        <w:pStyle w:val="FootnoteText"/>
      </w:pPr>
      <w:r w:rsidRPr="00B80645">
        <w:rPr>
          <w:rStyle w:val="FootnoteReference"/>
        </w:rPr>
        <w:footnoteRef/>
      </w:r>
      <w:r w:rsidRPr="00B80645">
        <w:t xml:space="preserve"> </w:t>
      </w:r>
      <w:r w:rsidRPr="00B80645">
        <w:rPr>
          <w:rFonts w:cstheme="minorHAnsi"/>
        </w:rPr>
        <w:t>See for instance A</w:t>
      </w:r>
      <w:r>
        <w:rPr>
          <w:rFonts w:cstheme="minorHAnsi"/>
        </w:rPr>
        <w:t>T</w:t>
      </w:r>
      <w:r w:rsidRPr="00B80645">
        <w:rPr>
          <w:rFonts w:cstheme="minorHAnsi"/>
        </w:rPr>
        <w:t xml:space="preserve"> (</w:t>
      </w:r>
      <w:r>
        <w:rPr>
          <w:rFonts w:cstheme="minorHAnsi"/>
        </w:rPr>
        <w:t xml:space="preserve">a CL can only be requested </w:t>
      </w:r>
      <w:r w:rsidRPr="00B80645">
        <w:rPr>
          <w:rFonts w:cstheme="minorHAnsi"/>
        </w:rPr>
        <w:t xml:space="preserve">four years after the application date or three years after the grant date); </w:t>
      </w:r>
      <w:r>
        <w:rPr>
          <w:rFonts w:cstheme="minorHAnsi"/>
        </w:rPr>
        <w:t>NL</w:t>
      </w:r>
      <w:r w:rsidRPr="00B80645">
        <w:rPr>
          <w:rFonts w:cstheme="minorHAnsi"/>
        </w:rPr>
        <w:t xml:space="preserve"> (</w:t>
      </w:r>
      <w:r>
        <w:rPr>
          <w:rFonts w:cstheme="minorHAnsi"/>
        </w:rPr>
        <w:t xml:space="preserve">a CL can only be requested after </w:t>
      </w:r>
      <w:r w:rsidRPr="00B80645">
        <w:rPr>
          <w:rFonts w:cstheme="minorHAnsi"/>
        </w:rPr>
        <w:t>three years of lack of use</w:t>
      </w:r>
      <w:r>
        <w:rPr>
          <w:rFonts w:cstheme="minorHAnsi"/>
        </w:rPr>
        <w:t>)</w:t>
      </w:r>
      <w:r w:rsidRPr="00B80645">
        <w:rPr>
          <w:rFonts w:cstheme="minorHAnsi"/>
        </w:rPr>
        <w:t>; I</w:t>
      </w:r>
      <w:r>
        <w:rPr>
          <w:rFonts w:cstheme="minorHAnsi"/>
        </w:rPr>
        <w:t>T</w:t>
      </w:r>
      <w:r w:rsidRPr="00B80645">
        <w:rPr>
          <w:rFonts w:cstheme="minorHAnsi"/>
        </w:rPr>
        <w:t xml:space="preserve"> (</w:t>
      </w:r>
      <w:r>
        <w:rPr>
          <w:rFonts w:cstheme="minorHAnsi"/>
        </w:rPr>
        <w:t xml:space="preserve">a CL can only be requested </w:t>
      </w:r>
      <w:r w:rsidRPr="00B80645">
        <w:rPr>
          <w:rFonts w:cstheme="minorHAnsi"/>
        </w:rPr>
        <w:t>four years after</w:t>
      </w:r>
      <w:r>
        <w:rPr>
          <w:rFonts w:cstheme="minorHAnsi"/>
        </w:rPr>
        <w:t xml:space="preserve"> the</w:t>
      </w:r>
      <w:r w:rsidRPr="00B80645">
        <w:rPr>
          <w:rFonts w:cstheme="minorHAnsi"/>
        </w:rPr>
        <w:t xml:space="preserve"> application and three years after</w:t>
      </w:r>
      <w:r>
        <w:rPr>
          <w:rFonts w:cstheme="minorHAnsi"/>
        </w:rPr>
        <w:t xml:space="preserve"> the</w:t>
      </w:r>
      <w:r w:rsidRPr="00B80645">
        <w:rPr>
          <w:rFonts w:cstheme="minorHAnsi"/>
        </w:rPr>
        <w:t xml:space="preserve"> grant)</w:t>
      </w:r>
      <w:r>
        <w:rPr>
          <w:rFonts w:cstheme="minorHAnsi"/>
        </w:rPr>
        <w:t>.</w:t>
      </w:r>
    </w:p>
  </w:footnote>
  <w:footnote w:id="64">
    <w:p w14:paraId="6AD135C9" w14:textId="1287E0D8" w:rsidR="00921FA3" w:rsidRPr="00022584" w:rsidRDefault="00921FA3">
      <w:pPr>
        <w:pStyle w:val="FootnoteText"/>
      </w:pPr>
      <w:r>
        <w:rPr>
          <w:rStyle w:val="FootnoteReference"/>
        </w:rPr>
        <w:footnoteRef/>
      </w:r>
      <w:r>
        <w:t xml:space="preserve"> For instance, in AT the appropriate remuneration is determined by the Austrian Patent office taking into account the economic value of the licence. In DK, the remuneration is decided in accordance with the general principles of damages.</w:t>
      </w:r>
    </w:p>
  </w:footnote>
  <w:footnote w:id="65">
    <w:p w14:paraId="39D46E98" w14:textId="19275C21" w:rsidR="00921FA3" w:rsidRPr="00995E8B" w:rsidRDefault="00921FA3">
      <w:pPr>
        <w:pStyle w:val="FootnoteText"/>
      </w:pPr>
      <w:r>
        <w:rPr>
          <w:rStyle w:val="FootnoteReference"/>
        </w:rPr>
        <w:footnoteRef/>
      </w:r>
      <w:r>
        <w:t xml:space="preserve"> For instance, in AT the appropriate remuneration is determined by the Austrian Patent office taking into account the economic value of the licence. Likewise in ES the Spanish Patent and Trade mark office is competent to decide on the remuneration, based on the economic importance of the invention. In DK, the remuneration is decided the granting court in accordance with the general principles of damages. Court also has the discretion to determine the amount of remuneration in DE. </w:t>
      </w:r>
    </w:p>
  </w:footnote>
  <w:footnote w:id="66">
    <w:p w14:paraId="474936A6" w14:textId="43E45A3B" w:rsidR="00921FA3" w:rsidRPr="00995E8B" w:rsidRDefault="00921FA3">
      <w:pPr>
        <w:pStyle w:val="FootnoteText"/>
      </w:pPr>
      <w:r>
        <w:rPr>
          <w:rStyle w:val="FootnoteReference"/>
        </w:rPr>
        <w:footnoteRef/>
      </w:r>
      <w:r>
        <w:t xml:space="preserve"> This is for instance the case in BE.</w:t>
      </w:r>
    </w:p>
  </w:footnote>
  <w:footnote w:id="67">
    <w:p w14:paraId="2D82F00C" w14:textId="62A8077D" w:rsidR="00921FA3" w:rsidRPr="00BB1CBC" w:rsidRDefault="00921FA3">
      <w:pPr>
        <w:pStyle w:val="FootnoteText"/>
      </w:pPr>
      <w:r>
        <w:rPr>
          <w:rStyle w:val="FootnoteReference"/>
        </w:rPr>
        <w:footnoteRef/>
      </w:r>
      <w:r>
        <w:t xml:space="preserve"> </w:t>
      </w:r>
      <w:r w:rsidRPr="68E5AC70">
        <w:rPr>
          <w:color w:val="000000" w:themeColor="text1"/>
          <w:lang w:val="en-IE"/>
        </w:rPr>
        <w:t>They are based on the understanding that: (</w:t>
      </w:r>
      <w:r>
        <w:rPr>
          <w:color w:val="000000" w:themeColor="text1"/>
          <w:lang w:val="en-IE"/>
        </w:rPr>
        <w:t>i</w:t>
      </w:r>
      <w:r w:rsidRPr="68E5AC70">
        <w:rPr>
          <w:color w:val="000000" w:themeColor="text1"/>
          <w:lang w:val="en-IE"/>
        </w:rPr>
        <w:t>) a compulsory licence as a governmental act is necessarily limited to the governed territory and (</w:t>
      </w:r>
      <w:r>
        <w:rPr>
          <w:color w:val="000000" w:themeColor="text1"/>
          <w:lang w:val="en-IE"/>
        </w:rPr>
        <w:t>ii</w:t>
      </w:r>
      <w:r w:rsidRPr="68E5AC70">
        <w:rPr>
          <w:color w:val="000000" w:themeColor="text1"/>
          <w:lang w:val="en-IE"/>
        </w:rPr>
        <w:t>) the compulsory licence (as the limiting factor of the patent) shares the territorial scope of the limited right (national patent).</w:t>
      </w:r>
    </w:p>
  </w:footnote>
  <w:footnote w:id="68">
    <w:p w14:paraId="1735D035" w14:textId="504BCA5F" w:rsidR="00921FA3" w:rsidRPr="00F86FBA" w:rsidRDefault="00921FA3" w:rsidP="00784209">
      <w:pPr>
        <w:pStyle w:val="FootnoteText"/>
      </w:pPr>
      <w:r>
        <w:rPr>
          <w:rStyle w:val="FootnoteReference"/>
        </w:rPr>
        <w:footnoteRef/>
      </w:r>
      <w:r>
        <w:t xml:space="preserve"> For instance HR: “situations of extreme urgency on a national level”; EE: “national defence, environmental protection, public health or other significant national interests of the Republic of Estonia”; DE: “epidemic situation of national importance”; HU: “in the interest of meeting domestic demand”; IT: “national health emergency”; PL: “to prevent or eliminate the state of national emergency” and “to prevent or remove a threat to important state interests”; RO: “in national emergency”. </w:t>
      </w:r>
    </w:p>
  </w:footnote>
  <w:footnote w:id="69">
    <w:p w14:paraId="0E8712A4" w14:textId="3FD38660" w:rsidR="00921FA3" w:rsidRPr="00152DA4" w:rsidRDefault="00921FA3">
      <w:pPr>
        <w:pStyle w:val="FootnoteText"/>
      </w:pPr>
      <w:r>
        <w:rPr>
          <w:rStyle w:val="FootnoteReference"/>
        </w:rPr>
        <w:footnoteRef/>
      </w:r>
      <w:r>
        <w:t xml:space="preserve"> </w:t>
      </w:r>
      <w:r>
        <w:rPr>
          <w:rFonts w:eastAsia="Calibri"/>
          <w:lang w:val="en-IE"/>
        </w:rPr>
        <w:t xml:space="preserve">In other words, once a product is put on the EU market by the IP owner or with </w:t>
      </w:r>
      <w:r w:rsidRPr="632EED07">
        <w:rPr>
          <w:rFonts w:eastAsia="Calibri"/>
          <w:lang w:val="en-IE"/>
        </w:rPr>
        <w:t>the consent of the IP owner</w:t>
      </w:r>
      <w:r w:rsidDel="00A21217">
        <w:rPr>
          <w:rFonts w:eastAsia="Calibri"/>
          <w:lang w:val="en-IE"/>
        </w:rPr>
        <w:t xml:space="preserve">, </w:t>
      </w:r>
      <w:r>
        <w:rPr>
          <w:rFonts w:eastAsia="Calibri"/>
          <w:lang w:val="en-IE"/>
        </w:rPr>
        <w:t>this good can be freely resold, rented, lent</w:t>
      </w:r>
      <w:r w:rsidRPr="632EED07">
        <w:rPr>
          <w:rFonts w:eastAsia="Calibri"/>
          <w:lang w:val="en-IE"/>
        </w:rPr>
        <w:t xml:space="preserve"> throughout the Union.</w:t>
      </w:r>
      <w:r w:rsidRPr="00987632">
        <w:rPr>
          <w:rFonts w:eastAsia="Calibri"/>
          <w:lang w:val="en-IE"/>
        </w:rPr>
        <w:t xml:space="preserve"> </w:t>
      </w:r>
      <w:r>
        <w:rPr>
          <w:rFonts w:eastAsia="Calibri"/>
          <w:lang w:val="en-IE"/>
        </w:rPr>
        <w:t xml:space="preserve">The rights of the IP owner are exhausted; </w:t>
      </w:r>
      <w:r w:rsidRPr="00987632">
        <w:rPr>
          <w:rFonts w:eastAsia="Calibri"/>
          <w:lang w:val="en-IE"/>
        </w:rPr>
        <w:t>the</w:t>
      </w:r>
      <w:r w:rsidRPr="00717197">
        <w:rPr>
          <w:rFonts w:eastAsia="Calibri"/>
          <w:lang w:val="en-IE"/>
        </w:rPr>
        <w:t xml:space="preserve"> patent owner </w:t>
      </w:r>
      <w:r>
        <w:rPr>
          <w:rFonts w:eastAsia="Calibri"/>
          <w:lang w:val="en-IE"/>
        </w:rPr>
        <w:t>cannot</w:t>
      </w:r>
      <w:r w:rsidRPr="00987632">
        <w:rPr>
          <w:rFonts w:eastAsia="Calibri"/>
          <w:lang w:val="en-IE"/>
        </w:rPr>
        <w:t xml:space="preserve"> further</w:t>
      </w:r>
      <w:r w:rsidRPr="00987632" w:rsidDel="00106ED8">
        <w:rPr>
          <w:rFonts w:eastAsia="Calibri"/>
          <w:lang w:val="en-IE"/>
        </w:rPr>
        <w:t xml:space="preserve"> </w:t>
      </w:r>
      <w:r w:rsidRPr="00987632">
        <w:rPr>
          <w:rFonts w:eastAsia="Calibri"/>
          <w:lang w:val="en-IE"/>
        </w:rPr>
        <w:t>invok</w:t>
      </w:r>
      <w:r>
        <w:rPr>
          <w:rFonts w:eastAsia="Calibri"/>
          <w:lang w:val="en-IE"/>
        </w:rPr>
        <w:t>e</w:t>
      </w:r>
      <w:r w:rsidRPr="00987632">
        <w:rPr>
          <w:rFonts w:eastAsia="Calibri"/>
          <w:lang w:val="en-IE"/>
        </w:rPr>
        <w:t xml:space="preserve"> patent rights to oppose the</w:t>
      </w:r>
      <w:r w:rsidRPr="00717197">
        <w:rPr>
          <w:rFonts w:eastAsia="Calibri"/>
          <w:lang w:val="en-IE"/>
        </w:rPr>
        <w:t xml:space="preserve"> resale, rental, lending or other forms of commercial exploitation of the good by third parties</w:t>
      </w:r>
      <w:r>
        <w:rPr>
          <w:rFonts w:eastAsia="Calibri"/>
          <w:lang w:val="en-IE"/>
        </w:rPr>
        <w:t xml:space="preserve"> when done in another Member State</w:t>
      </w:r>
      <w:r w:rsidRPr="00717197">
        <w:rPr>
          <w:rFonts w:eastAsia="Calibri"/>
          <w:lang w:val="en-IE"/>
        </w:rPr>
        <w:t>.</w:t>
      </w:r>
    </w:p>
  </w:footnote>
  <w:footnote w:id="70">
    <w:p w14:paraId="44DBDC7C" w14:textId="500829E2" w:rsidR="00921FA3" w:rsidRPr="00152DA4" w:rsidRDefault="00921FA3">
      <w:pPr>
        <w:pStyle w:val="FootnoteText"/>
      </w:pPr>
      <w:r>
        <w:rPr>
          <w:rStyle w:val="FootnoteReference"/>
        </w:rPr>
        <w:footnoteRef/>
      </w:r>
      <w:r>
        <w:t xml:space="preserve"> </w:t>
      </w:r>
      <w:r>
        <w:rPr>
          <w:rFonts w:eastAsia="Calibri"/>
          <w:lang w:val="en-IE"/>
        </w:rPr>
        <w:t>If the reply is in the negative, the patent rights are not exhausted. In other words, the patent owner can oppose any further distribution of the goods.</w:t>
      </w:r>
    </w:p>
  </w:footnote>
  <w:footnote w:id="71">
    <w:p w14:paraId="1F2FB8E8" w14:textId="6761C0D2" w:rsidR="00921FA3" w:rsidRPr="00331085" w:rsidRDefault="00921FA3">
      <w:pPr>
        <w:pStyle w:val="FootnoteText"/>
      </w:pPr>
      <w:r>
        <w:rPr>
          <w:rStyle w:val="FootnoteReference"/>
        </w:rPr>
        <w:footnoteRef/>
      </w:r>
      <w:r>
        <w:t xml:space="preserve"> CJEU, Judgement of 9 July 1985, C-19/84 (Pharmon), ECLI:EU:C:1985:304.</w:t>
      </w:r>
    </w:p>
  </w:footnote>
  <w:footnote w:id="72">
    <w:p w14:paraId="58546AC9" w14:textId="77777777" w:rsidR="00921FA3" w:rsidRDefault="00921FA3" w:rsidP="05D24202">
      <w:pPr>
        <w:pStyle w:val="FootnoteText"/>
      </w:pPr>
      <w:r w:rsidRPr="05D24202">
        <w:rPr>
          <w:rStyle w:val="FootnoteReference"/>
        </w:rPr>
        <w:footnoteRef/>
      </w:r>
      <w:r>
        <w:t xml:space="preserve"> </w:t>
      </w:r>
      <w:r w:rsidRPr="05D24202">
        <w:rPr>
          <w:color w:val="000000" w:themeColor="text1"/>
          <w:lang w:val="en-IE"/>
        </w:rPr>
        <w:t>It should however be reminded that since EU countries have opted out from the possibility to be importers under Article 31bis of the TRIPS Agreement, they cannot benefit from the system</w:t>
      </w:r>
    </w:p>
  </w:footnote>
  <w:footnote w:id="73">
    <w:p w14:paraId="56C01DEA" w14:textId="4F0D25C5" w:rsidR="00921FA3" w:rsidRDefault="00921FA3" w:rsidP="05D24202">
      <w:pPr>
        <w:pStyle w:val="FootnoteText"/>
      </w:pPr>
      <w:r w:rsidRPr="05D24202">
        <w:rPr>
          <w:rStyle w:val="FootnoteReference"/>
        </w:rPr>
        <w:footnoteRef/>
      </w:r>
      <w:r>
        <w:t xml:space="preserve"> See article 10(4) of Regulation (EC) No 816/2006.</w:t>
      </w:r>
    </w:p>
  </w:footnote>
  <w:footnote w:id="74">
    <w:p w14:paraId="5A713FC7" w14:textId="7EE3C9D5" w:rsidR="00921FA3" w:rsidRPr="00821EE4" w:rsidRDefault="00921FA3" w:rsidP="00F9676F">
      <w:pPr>
        <w:pStyle w:val="FootnoteText"/>
        <w:rPr>
          <w:lang w:val="en-IE"/>
        </w:rPr>
      </w:pPr>
      <w:r>
        <w:rPr>
          <w:rStyle w:val="FootnoteReference"/>
        </w:rPr>
        <w:footnoteRef/>
      </w:r>
      <w:r>
        <w:t xml:space="preserve"> As explicitly required by the TRIPS Agreement. </w:t>
      </w:r>
      <w:r>
        <w:rPr>
          <w:color w:val="000000" w:themeColor="text1"/>
          <w:lang w:val="en-IE"/>
        </w:rPr>
        <w:t xml:space="preserve">Importation in other countries or into the Single Market is prohibited (see </w:t>
      </w:r>
      <w:r>
        <w:t>Article 13 of Regulation (EC) No 816/2006).</w:t>
      </w:r>
    </w:p>
  </w:footnote>
  <w:footnote w:id="75">
    <w:p w14:paraId="20C78824" w14:textId="02DF63A0" w:rsidR="00921FA3" w:rsidRPr="00D216DC" w:rsidRDefault="00921FA3" w:rsidP="00313032">
      <w:pPr>
        <w:spacing w:after="0"/>
        <w:rPr>
          <w:sz w:val="20"/>
          <w:szCs w:val="20"/>
        </w:rPr>
      </w:pPr>
      <w:r w:rsidRPr="00D216DC">
        <w:rPr>
          <w:rStyle w:val="FootnoteReference"/>
          <w:sz w:val="20"/>
          <w:szCs w:val="20"/>
        </w:rPr>
        <w:footnoteRef/>
      </w:r>
      <w:r w:rsidRPr="00D216DC">
        <w:rPr>
          <w:sz w:val="20"/>
          <w:szCs w:val="20"/>
        </w:rPr>
        <w:t xml:space="preserve"> </w:t>
      </w:r>
      <w:r w:rsidRPr="00D216DC">
        <w:rPr>
          <w:sz w:val="20"/>
          <w:szCs w:val="20"/>
          <w:lang w:val="en-IE"/>
        </w:rPr>
        <w:t>Currently 17 Member States</w:t>
      </w:r>
      <w:r>
        <w:rPr>
          <w:sz w:val="20"/>
          <w:szCs w:val="20"/>
          <w:lang w:val="en-IE"/>
        </w:rPr>
        <w:t>,</w:t>
      </w:r>
      <w:r w:rsidRPr="00D216DC">
        <w:rPr>
          <w:sz w:val="20"/>
          <w:szCs w:val="20"/>
          <w:lang w:val="en-IE"/>
        </w:rPr>
        <w:t xml:space="preserve"> and up to 25 EU Member States</w:t>
      </w:r>
      <w:r>
        <w:rPr>
          <w:sz w:val="20"/>
          <w:szCs w:val="20"/>
          <w:lang w:val="en-IE"/>
        </w:rPr>
        <w:t xml:space="preserve"> (participating in the enhanced cooperation on unitary patent protection). The unitary p</w:t>
      </w:r>
      <w:r w:rsidRPr="00D216DC">
        <w:rPr>
          <w:sz w:val="20"/>
          <w:szCs w:val="20"/>
          <w:lang w:val="en-IE"/>
        </w:rPr>
        <w:t xml:space="preserve">atent system </w:t>
      </w:r>
      <w:r>
        <w:rPr>
          <w:sz w:val="20"/>
          <w:szCs w:val="20"/>
          <w:lang w:val="en-IE"/>
        </w:rPr>
        <w:t xml:space="preserve">will </w:t>
      </w:r>
      <w:r w:rsidRPr="00D216DC">
        <w:rPr>
          <w:sz w:val="20"/>
          <w:szCs w:val="20"/>
          <w:lang w:val="en-IE"/>
        </w:rPr>
        <w:t>stimulate research, development and investment in innovation, and contribute in that respect t</w:t>
      </w:r>
      <w:r>
        <w:rPr>
          <w:sz w:val="20"/>
          <w:szCs w:val="20"/>
          <w:lang w:val="en-IE"/>
        </w:rPr>
        <w:t>o the Union’s resilience. The unitary p</w:t>
      </w:r>
      <w:r w:rsidRPr="00D216DC">
        <w:rPr>
          <w:sz w:val="20"/>
          <w:szCs w:val="20"/>
          <w:lang w:val="en-IE"/>
        </w:rPr>
        <w:t xml:space="preserve">atent system does not provide for specific rules for compulsory </w:t>
      </w:r>
      <w:r>
        <w:rPr>
          <w:sz w:val="20"/>
          <w:szCs w:val="20"/>
          <w:lang w:val="en-IE"/>
        </w:rPr>
        <w:t>licensing</w:t>
      </w:r>
      <w:r w:rsidRPr="00D216DC">
        <w:rPr>
          <w:sz w:val="20"/>
          <w:szCs w:val="20"/>
          <w:lang w:val="en-IE"/>
        </w:rPr>
        <w:t xml:space="preserve">. It only foresees that compulsory licences for </w:t>
      </w:r>
      <w:r>
        <w:rPr>
          <w:sz w:val="20"/>
          <w:szCs w:val="20"/>
          <w:lang w:val="en-IE"/>
        </w:rPr>
        <w:t>unitary patents (‘</w:t>
      </w:r>
      <w:r w:rsidRPr="00D216DC">
        <w:rPr>
          <w:sz w:val="20"/>
          <w:szCs w:val="20"/>
          <w:lang w:val="en-IE"/>
        </w:rPr>
        <w:t>European patents with unitary effect</w:t>
      </w:r>
      <w:r>
        <w:rPr>
          <w:sz w:val="20"/>
          <w:szCs w:val="20"/>
          <w:lang w:val="en-IE"/>
        </w:rPr>
        <w:t>’)</w:t>
      </w:r>
      <w:r w:rsidRPr="00D216DC">
        <w:rPr>
          <w:sz w:val="20"/>
          <w:szCs w:val="20"/>
          <w:lang w:val="en-IE"/>
        </w:rPr>
        <w:t xml:space="preserve"> should be governed by the laws of the participating Member States as regards their respective territories (Recital 10 of Regulation (EU) No 1257/2012). For the partici</w:t>
      </w:r>
      <w:r>
        <w:rPr>
          <w:sz w:val="20"/>
          <w:szCs w:val="20"/>
          <w:lang w:val="en-IE"/>
        </w:rPr>
        <w:t xml:space="preserve">pating </w:t>
      </w:r>
      <w:r w:rsidRPr="00D216DC">
        <w:rPr>
          <w:sz w:val="20"/>
          <w:szCs w:val="20"/>
          <w:lang w:val="en-IE"/>
        </w:rPr>
        <w:t>Member States, this means maintaining the status quo, as their existing national compulsory licensing systems</w:t>
      </w:r>
      <w:r>
        <w:rPr>
          <w:sz w:val="20"/>
          <w:szCs w:val="20"/>
          <w:lang w:val="en-IE"/>
        </w:rPr>
        <w:t>,</w:t>
      </w:r>
      <w:r w:rsidRPr="00D216DC">
        <w:rPr>
          <w:sz w:val="20"/>
          <w:szCs w:val="20"/>
          <w:lang w:val="en-IE"/>
        </w:rPr>
        <w:t xml:space="preserve"> limited to their respective territories</w:t>
      </w:r>
      <w:r>
        <w:rPr>
          <w:sz w:val="20"/>
          <w:szCs w:val="20"/>
          <w:lang w:val="en-IE"/>
        </w:rPr>
        <w:t>,</w:t>
      </w:r>
      <w:r w:rsidRPr="00D216DC">
        <w:rPr>
          <w:sz w:val="20"/>
          <w:szCs w:val="20"/>
          <w:lang w:val="en-IE"/>
        </w:rPr>
        <w:t xml:space="preserve"> will apply. A </w:t>
      </w:r>
      <w:r>
        <w:rPr>
          <w:sz w:val="20"/>
          <w:szCs w:val="20"/>
          <w:lang w:val="en-IE"/>
        </w:rPr>
        <w:t>CL</w:t>
      </w:r>
      <w:r w:rsidRPr="00D216DC">
        <w:rPr>
          <w:sz w:val="20"/>
          <w:szCs w:val="20"/>
          <w:lang w:val="en-IE"/>
        </w:rPr>
        <w:t xml:space="preserve"> </w:t>
      </w:r>
      <w:r>
        <w:rPr>
          <w:sz w:val="20"/>
          <w:szCs w:val="20"/>
          <w:lang w:val="en-IE"/>
        </w:rPr>
        <w:t xml:space="preserve">granted in respect of a unitary patent </w:t>
      </w:r>
      <w:r w:rsidRPr="00D216DC">
        <w:rPr>
          <w:sz w:val="20"/>
          <w:szCs w:val="20"/>
          <w:lang w:val="en-IE"/>
        </w:rPr>
        <w:t xml:space="preserve">will not share </w:t>
      </w:r>
      <w:r>
        <w:rPr>
          <w:sz w:val="20"/>
          <w:szCs w:val="20"/>
          <w:lang w:val="en-IE"/>
        </w:rPr>
        <w:t>its</w:t>
      </w:r>
      <w:r w:rsidRPr="00D216DC">
        <w:rPr>
          <w:sz w:val="20"/>
          <w:szCs w:val="20"/>
          <w:lang w:val="en-IE"/>
        </w:rPr>
        <w:t xml:space="preserve"> unitary </w:t>
      </w:r>
      <w:r>
        <w:rPr>
          <w:sz w:val="20"/>
          <w:szCs w:val="20"/>
          <w:lang w:val="en-IE"/>
        </w:rPr>
        <w:t>nature, and may for instance affect a single Member State, or a few of them – not necessarily all 17 Member States covered by unitary patents (initially)</w:t>
      </w:r>
      <w:r w:rsidRPr="00D216DC">
        <w:rPr>
          <w:sz w:val="20"/>
          <w:szCs w:val="20"/>
          <w:lang w:val="en-IE"/>
        </w:rPr>
        <w:t>.</w:t>
      </w:r>
    </w:p>
  </w:footnote>
  <w:footnote w:id="76">
    <w:p w14:paraId="712E26E7" w14:textId="1D7317CE" w:rsidR="00921FA3" w:rsidRPr="00A248FD" w:rsidRDefault="00921FA3" w:rsidP="00313032">
      <w:pPr>
        <w:pStyle w:val="FootnoteText"/>
        <w:rPr>
          <w:lang w:val="en-IE"/>
        </w:rPr>
      </w:pPr>
      <w:r>
        <w:rPr>
          <w:rStyle w:val="FootnoteReference"/>
        </w:rPr>
        <w:footnoteRef/>
      </w:r>
      <w:r w:rsidRPr="00E81906">
        <w:rPr>
          <w:lang w:val="en-IE"/>
        </w:rPr>
        <w:t xml:space="preserve"> The 17 Member States </w:t>
      </w:r>
      <w:r>
        <w:rPr>
          <w:lang w:val="en-IE"/>
        </w:rPr>
        <w:t>in</w:t>
      </w:r>
      <w:r w:rsidRPr="00E81906">
        <w:rPr>
          <w:lang w:val="en-IE"/>
        </w:rPr>
        <w:t xml:space="preserve"> which the unitary pat</w:t>
      </w:r>
      <w:r>
        <w:rPr>
          <w:lang w:val="en-IE"/>
        </w:rPr>
        <w:t>ent system will initially apply represent about 75 % of the Union’s GDP.</w:t>
      </w:r>
    </w:p>
  </w:footnote>
  <w:footnote w:id="77">
    <w:p w14:paraId="7635B4EF" w14:textId="2601E091" w:rsidR="00921FA3" w:rsidRPr="000E7430" w:rsidRDefault="00921FA3">
      <w:pPr>
        <w:pStyle w:val="FootnoteText"/>
      </w:pPr>
      <w:r>
        <w:rPr>
          <w:rStyle w:val="FootnoteReference"/>
        </w:rPr>
        <w:footnoteRef/>
      </w:r>
      <w:r>
        <w:t xml:space="preserve"> </w:t>
      </w:r>
      <w:r w:rsidRPr="000E7430">
        <w:t xml:space="preserve">For example where the US successfully relied on CL to conclude a voluntary agreement on reasonable terms stems from 2001: when facing anthrax attacks, the US government threatened to grant a CL for the relevant antibiotic drug should Bayer not lower the price thereof. Eventually Bayer lowered the price of its antibiotic drug. Likewise, the US government appeared in a better position than the EU to conclude voluntary agreements during the COVID-19 crisis, which can at least partly be attributed to its possibility to rely on </w:t>
      </w:r>
      <w:r>
        <w:t>compulsory licensing</w:t>
      </w:r>
      <w:r w:rsidRPr="000E7430">
        <w:t>. By contrast, the EU was not able to rely on an EU</w:t>
      </w:r>
      <w:r>
        <w:t>-</w:t>
      </w:r>
      <w:r w:rsidRPr="000E7430">
        <w:t xml:space="preserve">level </w:t>
      </w:r>
      <w:r w:rsidRPr="008A42AF">
        <w:rPr>
          <w:lang w:val="en-IE"/>
        </w:rPr>
        <w:t>compulsory licensing</w:t>
      </w:r>
      <w:r w:rsidRPr="000E7430">
        <w:t xml:space="preserve"> as a bargaining chip in the context of negotiations on vaccines</w:t>
      </w:r>
      <w:r>
        <w:t>.</w:t>
      </w:r>
    </w:p>
  </w:footnote>
  <w:footnote w:id="78">
    <w:p w14:paraId="00DC522D" w14:textId="6F68F9D4" w:rsidR="00921FA3" w:rsidRPr="00A248FD" w:rsidRDefault="00921FA3">
      <w:pPr>
        <w:pStyle w:val="FootnoteText"/>
        <w:rPr>
          <w:lang w:val="en-IE"/>
        </w:rPr>
      </w:pPr>
      <w:r>
        <w:rPr>
          <w:rStyle w:val="FootnoteReference"/>
        </w:rPr>
        <w:footnoteRef/>
      </w:r>
      <w:r>
        <w:t xml:space="preserve"> </w:t>
      </w:r>
      <w:r>
        <w:rPr>
          <w:lang w:val="en-IE"/>
        </w:rPr>
        <w:t>Regulation (EU) No 1257/2012 of the European Parliament and of the Council of 17 December 2012 implementing enhanced cooperation in the area of the creation of unitary patent protection.</w:t>
      </w:r>
    </w:p>
  </w:footnote>
  <w:footnote w:id="79">
    <w:p w14:paraId="1F513C70" w14:textId="61C915AD" w:rsidR="00921FA3" w:rsidRPr="0098636D" w:rsidRDefault="00921FA3">
      <w:pPr>
        <w:pStyle w:val="FootnoteText"/>
        <w:rPr>
          <w:lang w:val="pl-PL"/>
        </w:rPr>
      </w:pPr>
      <w:r>
        <w:rPr>
          <w:rStyle w:val="FootnoteReference"/>
        </w:rPr>
        <w:footnoteRef/>
      </w:r>
      <w:r>
        <w:t xml:space="preserve"> Understood as c</w:t>
      </w:r>
      <w:r w:rsidRPr="0098636D">
        <w:t>ountries covered by Regulation (EC) No 816/2006</w:t>
      </w:r>
      <w:r>
        <w:t>.</w:t>
      </w:r>
    </w:p>
  </w:footnote>
  <w:footnote w:id="80">
    <w:p w14:paraId="4B4B5E77" w14:textId="2A974CF2" w:rsidR="00921FA3" w:rsidRPr="00152DA4" w:rsidRDefault="00921FA3">
      <w:pPr>
        <w:pStyle w:val="FootnoteText"/>
      </w:pPr>
      <w:r>
        <w:rPr>
          <w:rStyle w:val="FootnoteReference"/>
        </w:rPr>
        <w:footnoteRef/>
      </w:r>
      <w:r>
        <w:t xml:space="preserve"> E.g.</w:t>
      </w:r>
      <w:r w:rsidRPr="00B16573">
        <w:t xml:space="preserve"> in the context of the COVID-19 crisis, only one compulsory licence was granted </w:t>
      </w:r>
      <w:r>
        <w:t>in the EU</w:t>
      </w:r>
      <w:r w:rsidRPr="00B16573">
        <w:t xml:space="preserve"> </w:t>
      </w:r>
      <w:r>
        <w:t>(HU).</w:t>
      </w:r>
    </w:p>
  </w:footnote>
  <w:footnote w:id="81">
    <w:p w14:paraId="65F060E1" w14:textId="12CFC72D" w:rsidR="00921FA3" w:rsidRPr="00152DA4" w:rsidRDefault="00921FA3">
      <w:pPr>
        <w:pStyle w:val="FootnoteText"/>
      </w:pPr>
      <w:r>
        <w:rPr>
          <w:rStyle w:val="FootnoteReference"/>
        </w:rPr>
        <w:footnoteRef/>
      </w:r>
      <w:r>
        <w:t xml:space="preserve"> Italy, 2005 – SPC on medicine imipenem-cilastatin (for further details </w:t>
      </w:r>
      <w:r w:rsidRPr="00CB1B8A">
        <w:t xml:space="preserve">see </w:t>
      </w:r>
      <w:r>
        <w:t>Table 25 in Annex 6).</w:t>
      </w:r>
    </w:p>
  </w:footnote>
  <w:footnote w:id="82">
    <w:p w14:paraId="41EC3577" w14:textId="24AECD1A" w:rsidR="00921FA3" w:rsidRPr="00152DA4" w:rsidRDefault="00921FA3">
      <w:pPr>
        <w:pStyle w:val="FootnoteText"/>
      </w:pPr>
      <w:r>
        <w:rPr>
          <w:rStyle w:val="FootnoteReference"/>
        </w:rPr>
        <w:footnoteRef/>
      </w:r>
      <w:r>
        <w:t xml:space="preserve"> Germany, 2016 - Medicine r</w:t>
      </w:r>
      <w:r w:rsidRPr="00C16C4C">
        <w:t>altegravir (</w:t>
      </w:r>
      <w:r>
        <w:t xml:space="preserve">for further details see </w:t>
      </w:r>
      <w:r>
        <w:fldChar w:fldCharType="begin"/>
      </w:r>
      <w:r>
        <w:instrText xml:space="preserve"> REF _Ref121730766 \h </w:instrText>
      </w:r>
      <w:r>
        <w:fldChar w:fldCharType="separate"/>
      </w:r>
      <w:r w:rsidR="00C6592A" w:rsidRPr="003B11BD">
        <w:rPr>
          <w:noProof/>
          <w:lang w:val="en-IE"/>
        </w:rPr>
        <w:t xml:space="preserve">Table </w:t>
      </w:r>
      <w:r w:rsidR="00C6592A">
        <w:rPr>
          <w:noProof/>
          <w:lang w:val="en-IE"/>
        </w:rPr>
        <w:t>25</w:t>
      </w:r>
      <w:r>
        <w:fldChar w:fldCharType="end"/>
      </w:r>
      <w:r>
        <w:t xml:space="preserve"> in Annex 6</w:t>
      </w:r>
      <w:r w:rsidRPr="00C16C4C">
        <w:t>)</w:t>
      </w:r>
      <w:r>
        <w:t>.</w:t>
      </w:r>
    </w:p>
  </w:footnote>
  <w:footnote w:id="83">
    <w:p w14:paraId="4649DC1A" w14:textId="516D84D9" w:rsidR="00921FA3" w:rsidRPr="00152DA4" w:rsidRDefault="00921FA3">
      <w:pPr>
        <w:pStyle w:val="FootnoteText"/>
      </w:pPr>
      <w:r>
        <w:rPr>
          <w:rStyle w:val="FootnoteReference"/>
        </w:rPr>
        <w:footnoteRef/>
      </w:r>
      <w:r>
        <w:t xml:space="preserve"> Austria, 1972 - Medicine inderal</w:t>
      </w:r>
      <w:r w:rsidRPr="000D67A0">
        <w:t xml:space="preserve"> propranolol hydrochloride</w:t>
      </w:r>
      <w:r>
        <w:t xml:space="preserve"> </w:t>
      </w:r>
      <w:r w:rsidRPr="00C16C4C">
        <w:t>(</w:t>
      </w:r>
      <w:r>
        <w:t xml:space="preserve">for further details see </w:t>
      </w:r>
      <w:r>
        <w:fldChar w:fldCharType="begin"/>
      </w:r>
      <w:r>
        <w:instrText xml:space="preserve"> REF _Ref121730766 \h </w:instrText>
      </w:r>
      <w:r>
        <w:fldChar w:fldCharType="separate"/>
      </w:r>
      <w:r w:rsidR="00C6592A" w:rsidRPr="003B11BD">
        <w:rPr>
          <w:noProof/>
          <w:lang w:val="en-IE"/>
        </w:rPr>
        <w:t xml:space="preserve">Table </w:t>
      </w:r>
      <w:r w:rsidR="00C6592A">
        <w:rPr>
          <w:noProof/>
          <w:lang w:val="en-IE"/>
        </w:rPr>
        <w:t>25</w:t>
      </w:r>
      <w:r>
        <w:fldChar w:fldCharType="end"/>
      </w:r>
      <w:r>
        <w:t xml:space="preserve"> in Annex 6</w:t>
      </w:r>
      <w:r w:rsidRPr="00C16C4C">
        <w:t>)</w:t>
      </w:r>
      <w:r>
        <w:t>.</w:t>
      </w:r>
    </w:p>
  </w:footnote>
  <w:footnote w:id="84">
    <w:p w14:paraId="04257AF7" w14:textId="7C885281" w:rsidR="00921FA3" w:rsidRPr="00152DA4" w:rsidRDefault="00921FA3" w:rsidP="00800E69">
      <w:pPr>
        <w:pStyle w:val="FootnoteText"/>
      </w:pPr>
      <w:r>
        <w:rPr>
          <w:rStyle w:val="FootnoteReference"/>
        </w:rPr>
        <w:footnoteRef/>
      </w:r>
      <w:r>
        <w:t xml:space="preserve"> A submission from Canadian pharmaceutical company Apotex Inc. to manufacture Apo-TriAvir (an HIV antiretroviral drug) was received by Health Canada in December 2005. The medicine was sent to Rwanda in two shipments in September 2008 and 2009. </w:t>
      </w:r>
    </w:p>
  </w:footnote>
  <w:footnote w:id="85">
    <w:p w14:paraId="2C81B367" w14:textId="7ED4104F" w:rsidR="00921FA3" w:rsidRPr="001067DB" w:rsidRDefault="00921FA3">
      <w:pPr>
        <w:pStyle w:val="FootnoteText"/>
      </w:pPr>
      <w:r>
        <w:rPr>
          <w:rStyle w:val="FootnoteReference"/>
        </w:rPr>
        <w:footnoteRef/>
      </w:r>
      <w:r>
        <w:t xml:space="preserve"> </w:t>
      </w:r>
      <w:r>
        <w:rPr>
          <w:lang w:val="en-IE"/>
        </w:rPr>
        <w:t xml:space="preserve">Only 5% (N= 4) respondents to the public consultation consider that compulsory licensing should never be used in crises. Among the respondents having given their opinion on the types of specific crises that should be covered by a compulsory licence, a majority favours a large approach (i.e. crises related to health, war and large-scale attack, energy, and natural disasters). Furthermore, </w:t>
      </w:r>
      <w:r>
        <w:t>27 respondents replied to the sub-question on which types of specific crises should be covered. Out of these 27 replies, 25 mentioned health-related crises, 21 war and large-scale attack, 19 energy and 19 natural disasters.</w:t>
      </w:r>
    </w:p>
  </w:footnote>
  <w:footnote w:id="86">
    <w:p w14:paraId="353EFA52" w14:textId="1B5E1050" w:rsidR="00921FA3" w:rsidRPr="008C30CF" w:rsidRDefault="00921FA3">
      <w:pPr>
        <w:pStyle w:val="FootnoteText"/>
        <w:rPr>
          <w:lang w:val="en-IE"/>
        </w:rPr>
      </w:pPr>
      <w:r>
        <w:rPr>
          <w:rStyle w:val="FootnoteReference"/>
        </w:rPr>
        <w:footnoteRef/>
      </w:r>
      <w:r>
        <w:t xml:space="preserve"> </w:t>
      </w:r>
      <w:r w:rsidRPr="008C30CF">
        <w:t>Half of the respondents (N= 37) to the public consultation are in favour of a scope covering patent applications, with few disparities between the main categories of stakeholders, except for companies and business associations who remain mainly against (for more details see Annex 2 and Table 25 in Annex 6).</w:t>
      </w:r>
    </w:p>
  </w:footnote>
  <w:footnote w:id="87">
    <w:p w14:paraId="7286B168" w14:textId="714DBDF9" w:rsidR="00921FA3" w:rsidRPr="00152DA4" w:rsidRDefault="00921FA3">
      <w:pPr>
        <w:pStyle w:val="FootnoteText"/>
      </w:pPr>
      <w:r>
        <w:rPr>
          <w:rStyle w:val="FootnoteReference"/>
        </w:rPr>
        <w:footnoteRef/>
      </w:r>
      <w:r>
        <w:t xml:space="preserve"> 65% of the respondents (N= 48) to the public consultation are in favour of a scope covering SPCs, with few disparities between stakeholders</w:t>
      </w:r>
      <w:r w:rsidRPr="00150798">
        <w:t xml:space="preserve"> </w:t>
      </w:r>
      <w:r>
        <w:t xml:space="preserve">(for more details see </w:t>
      </w:r>
      <w:r>
        <w:rPr>
          <w:lang w:val="en-IE"/>
        </w:rPr>
        <w:t xml:space="preserve">Annex 2 and Table 27 </w:t>
      </w:r>
      <w:r w:rsidRPr="00150798">
        <w:t xml:space="preserve">in </w:t>
      </w:r>
      <w:r>
        <w:t>Annex 6</w:t>
      </w:r>
      <w:r w:rsidRPr="00150798">
        <w:t>).</w:t>
      </w:r>
    </w:p>
  </w:footnote>
  <w:footnote w:id="88">
    <w:p w14:paraId="47BF89AC" w14:textId="7D9404B5" w:rsidR="00921FA3" w:rsidRPr="00152DA4" w:rsidRDefault="00921FA3" w:rsidP="00F9234B">
      <w:pPr>
        <w:pStyle w:val="FootnoteText"/>
      </w:pPr>
      <w:r>
        <w:rPr>
          <w:rStyle w:val="FootnoteReference"/>
        </w:rPr>
        <w:footnoteRef/>
      </w:r>
      <w:r>
        <w:t xml:space="preserve"> S</w:t>
      </w:r>
      <w:r w:rsidRPr="00D50AF7">
        <w:t xml:space="preserve">takeholders generally agree that </w:t>
      </w:r>
      <w:r>
        <w:t>RDP</w:t>
      </w:r>
      <w:r w:rsidRPr="00D50AF7">
        <w:t xml:space="preserve"> should not be an obstacle to the effective implementation of a compulsory licence</w:t>
      </w:r>
      <w:r>
        <w:t>, see CEIPI(2023) p. 46. As for the OPC, although in absolute terms o</w:t>
      </w:r>
      <w:r w:rsidRPr="00D50AF7">
        <w:t>nly 32% of the respondents (N= 37) to the public consultation are in</w:t>
      </w:r>
      <w:r>
        <w:t xml:space="preserve"> favour of a scope </w:t>
      </w:r>
      <w:r w:rsidRPr="00B1603E">
        <w:t>covering RDP, this low score is explained by the many companies and business associations being against it, which is understandable due to their legitimate commercial interests.</w:t>
      </w:r>
      <w:r>
        <w:t xml:space="preserve"> NGOs, public authorities, and academic/ research institution were predominantly in favour (for</w:t>
      </w:r>
      <w:r w:rsidRPr="00F9234B">
        <w:t xml:space="preserve"> more details see</w:t>
      </w:r>
      <w:r>
        <w:t xml:space="preserve"> </w:t>
      </w:r>
      <w:r>
        <w:rPr>
          <w:lang w:val="en-IE"/>
        </w:rPr>
        <w:t>Annex 2 and</w:t>
      </w:r>
      <w:r w:rsidRPr="00F9234B">
        <w:t xml:space="preserve"> </w:t>
      </w:r>
      <w:r>
        <w:t xml:space="preserve">Table 28 </w:t>
      </w:r>
      <w:r w:rsidRPr="005872B0">
        <w:t xml:space="preserve">in </w:t>
      </w:r>
      <w:r>
        <w:t>Annex 6</w:t>
      </w:r>
      <w:r w:rsidRPr="005872B0">
        <w:t xml:space="preserve">). </w:t>
      </w:r>
    </w:p>
  </w:footnote>
  <w:footnote w:id="89">
    <w:p w14:paraId="0B4CA244" w14:textId="5FEB3090" w:rsidR="00921FA3" w:rsidRPr="005872B0" w:rsidRDefault="00921FA3" w:rsidP="003630D2">
      <w:pPr>
        <w:spacing w:after="0"/>
        <w:rPr>
          <w:sz w:val="20"/>
          <w:szCs w:val="20"/>
          <w:lang w:val="en-IE"/>
        </w:rPr>
      </w:pPr>
      <w:r w:rsidRPr="005872B0">
        <w:rPr>
          <w:rStyle w:val="FootnoteReference"/>
          <w:sz w:val="20"/>
          <w:szCs w:val="20"/>
        </w:rPr>
        <w:footnoteRef/>
      </w:r>
      <w:r w:rsidRPr="005872B0">
        <w:rPr>
          <w:sz w:val="20"/>
          <w:szCs w:val="20"/>
        </w:rPr>
        <w:t xml:space="preserve"> </w:t>
      </w:r>
      <w:r w:rsidRPr="005872B0">
        <w:rPr>
          <w:sz w:val="20"/>
          <w:szCs w:val="20"/>
          <w:lang w:val="en-IE"/>
        </w:rPr>
        <w:t xml:space="preserve">36% of respondents (N=27) welcome if compulsory licences also included the </w:t>
      </w:r>
      <w:r w:rsidRPr="00173B3D">
        <w:rPr>
          <w:iCs/>
          <w:sz w:val="20"/>
          <w:szCs w:val="20"/>
          <w:lang w:val="en-IE"/>
        </w:rPr>
        <w:t>know-how</w:t>
      </w:r>
      <w:r w:rsidRPr="005872B0">
        <w:rPr>
          <w:sz w:val="20"/>
          <w:szCs w:val="20"/>
          <w:lang w:val="en-IE"/>
        </w:rPr>
        <w:t xml:space="preserve">. </w:t>
      </w:r>
      <w:r>
        <w:rPr>
          <w:sz w:val="20"/>
          <w:szCs w:val="20"/>
          <w:lang w:val="en-IE"/>
        </w:rPr>
        <w:t>However, v</w:t>
      </w:r>
      <w:r w:rsidRPr="005872B0">
        <w:rPr>
          <w:sz w:val="20"/>
          <w:szCs w:val="20"/>
          <w:lang w:val="en-IE"/>
        </w:rPr>
        <w:t>iews are extremely contrasted on this point with only 5% of companies and business associations being in favour</w:t>
      </w:r>
      <w:r>
        <w:rPr>
          <w:sz w:val="20"/>
          <w:szCs w:val="20"/>
          <w:lang w:val="en-IE"/>
        </w:rPr>
        <w:t>. I</w:t>
      </w:r>
      <w:r w:rsidRPr="005872B0">
        <w:rPr>
          <w:sz w:val="20"/>
          <w:szCs w:val="20"/>
          <w:lang w:val="en-IE"/>
        </w:rPr>
        <w:t>n contrast, academi</w:t>
      </w:r>
      <w:r>
        <w:rPr>
          <w:sz w:val="20"/>
          <w:szCs w:val="20"/>
          <w:lang w:val="en-IE"/>
        </w:rPr>
        <w:t>a,</w:t>
      </w:r>
      <w:r w:rsidRPr="005872B0">
        <w:rPr>
          <w:sz w:val="20"/>
          <w:szCs w:val="20"/>
          <w:lang w:val="en-IE"/>
        </w:rPr>
        <w:t xml:space="preserve"> NGOs and public authorities, all but one are in favour of including know-how in the scope of a compulsory licence </w:t>
      </w:r>
      <w:r>
        <w:rPr>
          <w:sz w:val="20"/>
          <w:szCs w:val="20"/>
          <w:lang w:val="en-IE"/>
        </w:rPr>
        <w:t>(</w:t>
      </w:r>
      <w:r w:rsidRPr="00B079FF">
        <w:rPr>
          <w:sz w:val="20"/>
          <w:szCs w:val="20"/>
          <w:lang w:val="en-IE"/>
        </w:rPr>
        <w:t xml:space="preserve">for more details see Annex 2 and </w:t>
      </w:r>
      <w:r>
        <w:rPr>
          <w:sz w:val="20"/>
          <w:szCs w:val="20"/>
          <w:lang w:val="en-IE"/>
        </w:rPr>
        <w:t xml:space="preserve">Table 29 </w:t>
      </w:r>
      <w:r w:rsidRPr="00B079FF">
        <w:rPr>
          <w:sz w:val="20"/>
          <w:szCs w:val="20"/>
          <w:lang w:val="en-IE"/>
        </w:rPr>
        <w:t xml:space="preserve">in </w:t>
      </w:r>
      <w:r>
        <w:rPr>
          <w:sz w:val="20"/>
          <w:szCs w:val="20"/>
          <w:lang w:val="en-IE"/>
        </w:rPr>
        <w:t>Annex 6</w:t>
      </w:r>
      <w:r w:rsidRPr="00B079FF">
        <w:rPr>
          <w:sz w:val="20"/>
          <w:szCs w:val="20"/>
          <w:lang w:val="en-IE"/>
        </w:rPr>
        <w:t>)</w:t>
      </w:r>
      <w:r>
        <w:rPr>
          <w:sz w:val="20"/>
          <w:szCs w:val="20"/>
          <w:lang w:val="en-IE"/>
        </w:rPr>
        <w:t>.</w:t>
      </w:r>
    </w:p>
  </w:footnote>
  <w:footnote w:id="90">
    <w:p w14:paraId="777E0CFE" w14:textId="231F5A19" w:rsidR="00921FA3" w:rsidRPr="00B37B8B" w:rsidRDefault="00921FA3">
      <w:pPr>
        <w:pStyle w:val="FootnoteText"/>
      </w:pPr>
      <w:r>
        <w:rPr>
          <w:rStyle w:val="FootnoteReference"/>
        </w:rPr>
        <w:footnoteRef/>
      </w:r>
      <w:r>
        <w:t xml:space="preserve"> </w:t>
      </w:r>
      <w:r w:rsidRPr="006E7BED">
        <w:t xml:space="preserve">There may be situations in which allowing the use of a patent the invention through a compulsory license is not sufficient to enable the licensee to effectively produce the crisis-relevant goods. This can particularly be the case for complex products that require, in addition to </w:t>
      </w:r>
      <w:r>
        <w:t xml:space="preserve">the permission to use the </w:t>
      </w:r>
      <w:r w:rsidRPr="006E7BED">
        <w:t xml:space="preserve">invention, the transfer of know-how including skills, abilities and knowledge. To this end, both parties involved, rights-holder and licensee, should act together in good faith to enable the transfer of the knowledge (know-how) associated with the patented invention, considering the interests of both parties. </w:t>
      </w:r>
    </w:p>
  </w:footnote>
  <w:footnote w:id="91">
    <w:p w14:paraId="7DD26456" w14:textId="7D1DD233" w:rsidR="00921FA3" w:rsidRPr="00854257" w:rsidRDefault="00921FA3">
      <w:pPr>
        <w:pStyle w:val="FootnoteText"/>
      </w:pPr>
      <w:r>
        <w:rPr>
          <w:rStyle w:val="FootnoteReference"/>
        </w:rPr>
        <w:footnoteRef/>
      </w:r>
      <w:r>
        <w:t xml:space="preserve"> </w:t>
      </w:r>
      <w:r w:rsidRPr="008D541C">
        <w:t>As regards RDP, the pharmaceutical review would include the lifting of RDP in case of compulsory licen</w:t>
      </w:r>
      <w:r>
        <w:t>sing granted to tackle a crisis.</w:t>
      </w:r>
    </w:p>
  </w:footnote>
  <w:footnote w:id="92">
    <w:p w14:paraId="476605AC" w14:textId="5BFFD72A" w:rsidR="00921FA3" w:rsidRPr="00152DA4" w:rsidRDefault="00921FA3">
      <w:pPr>
        <w:pStyle w:val="FootnoteText"/>
      </w:pPr>
      <w:r>
        <w:rPr>
          <w:rStyle w:val="FootnoteReference"/>
        </w:rPr>
        <w:footnoteRef/>
      </w:r>
      <w:r>
        <w:t xml:space="preserve"> Additionally,</w:t>
      </w:r>
      <w:r w:rsidRPr="00873E7E">
        <w:t xml:space="preserve"> 43% of the respondents to the public consultation would welcome an alignment of the type of procedure (administrative or judicial procedure). When it comes to NGOs and </w:t>
      </w:r>
      <w:r>
        <w:t>academia</w:t>
      </w:r>
      <w:r w:rsidRPr="00873E7E">
        <w:t>, 8 out of the 11 respondents are in favour of such alignment. On recourse procedure, a bit more than a third of respondents to the public consultation agree with an alignment of the time limit within which the application o</w:t>
      </w:r>
      <w:r>
        <w:t>f an appeal is admissible (42%,</w:t>
      </w:r>
      <w:r w:rsidRPr="00873E7E">
        <w:t xml:space="preserve"> N= 31) and an acc</w:t>
      </w:r>
      <w:r>
        <w:t>elerated appeal procedure (38%,</w:t>
      </w:r>
      <w:r w:rsidRPr="00873E7E">
        <w:t xml:space="preserve"> N= 28). 35% (N= 26) of respondents are in favour of the suspensive effect of an appeal.</w:t>
      </w:r>
    </w:p>
  </w:footnote>
  <w:footnote w:id="93">
    <w:p w14:paraId="36637974" w14:textId="3001C4DC" w:rsidR="00921FA3" w:rsidRPr="00152DA4" w:rsidRDefault="00921FA3">
      <w:pPr>
        <w:pStyle w:val="FootnoteText"/>
      </w:pPr>
      <w:r>
        <w:rPr>
          <w:rStyle w:val="FootnoteReference"/>
        </w:rPr>
        <w:footnoteRef/>
      </w:r>
      <w:r>
        <w:t xml:space="preserve"> Pre-defined rules on remuneration are deemed useful to speed-up the granting of a compulsory licence by 42% of the respondents to the public consultation.</w:t>
      </w:r>
    </w:p>
  </w:footnote>
  <w:footnote w:id="94">
    <w:p w14:paraId="3A72EA38" w14:textId="59CA4206" w:rsidR="00921FA3" w:rsidRPr="00152DA4" w:rsidRDefault="00921FA3">
      <w:pPr>
        <w:pStyle w:val="FootnoteText"/>
      </w:pPr>
      <w:r>
        <w:rPr>
          <w:rStyle w:val="FootnoteReference"/>
        </w:rPr>
        <w:footnoteRef/>
      </w:r>
      <w:r>
        <w:t xml:space="preserve"> </w:t>
      </w:r>
      <w:r w:rsidRPr="00F170FE">
        <w:t>Interestingly, respondents identifying themselves as likely to be the subject of a compulsory licence generally</w:t>
      </w:r>
      <w:r>
        <w:t xml:space="preserve"> (75%)</w:t>
      </w:r>
      <w:r w:rsidRPr="00F170FE">
        <w:t xml:space="preserve"> agree with the cross-border use of </w:t>
      </w:r>
      <w:r w:rsidRPr="00B135F5">
        <w:t xml:space="preserve">a compulsory licence. Stark contrast exists among the different categories of stakeholders, as illustrated in </w:t>
      </w:r>
      <w:r>
        <w:t>Annex 6</w:t>
      </w:r>
      <w:r w:rsidRPr="00B135F5">
        <w:t>.</w:t>
      </w:r>
    </w:p>
  </w:footnote>
  <w:footnote w:id="95">
    <w:p w14:paraId="75A5A47A" w14:textId="7043B1F5" w:rsidR="00921FA3" w:rsidRPr="00152DA4" w:rsidRDefault="00921FA3">
      <w:pPr>
        <w:pStyle w:val="FootnoteText"/>
      </w:pPr>
      <w:r>
        <w:rPr>
          <w:rStyle w:val="FootnoteReference"/>
        </w:rPr>
        <w:footnoteRef/>
      </w:r>
      <w:r>
        <w:t xml:space="preserve"> Or recommendation to do so in Option 1.</w:t>
      </w:r>
    </w:p>
  </w:footnote>
  <w:footnote w:id="96">
    <w:p w14:paraId="64C05D96" w14:textId="11AD79A1" w:rsidR="00921FA3" w:rsidRPr="006171BC" w:rsidRDefault="00921FA3" w:rsidP="006171BC">
      <w:pPr>
        <w:pStyle w:val="FootnoteText"/>
        <w:rPr>
          <w:lang w:val="pl-PL"/>
        </w:rPr>
      </w:pPr>
      <w:r>
        <w:rPr>
          <w:rStyle w:val="FootnoteReference"/>
        </w:rPr>
        <w:footnoteRef/>
      </w:r>
      <w:r>
        <w:t xml:space="preserve"> Business associations and company/business organisation accounted for 54% of respondents to the OPC (see </w:t>
      </w:r>
      <w:r>
        <w:fldChar w:fldCharType="begin"/>
      </w:r>
      <w:r>
        <w:instrText xml:space="preserve"> REF _Ref123815390 \h </w:instrText>
      </w:r>
      <w:r>
        <w:fldChar w:fldCharType="separate"/>
      </w:r>
      <w:r w:rsidR="00C6592A" w:rsidRPr="003B11BD">
        <w:rPr>
          <w:noProof/>
          <w:lang w:val="en-IE"/>
        </w:rPr>
        <w:t xml:space="preserve">Table </w:t>
      </w:r>
      <w:r w:rsidR="00C6592A">
        <w:rPr>
          <w:noProof/>
          <w:lang w:val="en-IE"/>
        </w:rPr>
        <w:t>12</w:t>
      </w:r>
      <w:r>
        <w:fldChar w:fldCharType="end"/>
      </w:r>
      <w:r>
        <w:t xml:space="preserve"> in Annex 2)</w:t>
      </w:r>
    </w:p>
  </w:footnote>
  <w:footnote w:id="97">
    <w:p w14:paraId="52245009" w14:textId="42E29F40" w:rsidR="00921FA3" w:rsidRPr="00604525" w:rsidRDefault="00921FA3">
      <w:pPr>
        <w:pStyle w:val="FootnoteText"/>
      </w:pPr>
      <w:r w:rsidRPr="00604525">
        <w:rPr>
          <w:rStyle w:val="FootnoteReference"/>
        </w:rPr>
        <w:footnoteRef/>
      </w:r>
      <w:r w:rsidRPr="00604525">
        <w:t xml:space="preserve"> </w:t>
      </w:r>
      <w:r w:rsidRPr="00B135F5">
        <w:t>In such case, the EU-level decision activating a crisis mode should fulfil the conditions under that specific crisis instrument (e.g. crisis activation decision under S</w:t>
      </w:r>
      <w:r>
        <w:t>MEI or SCBTH– see Table 22 in Annex 6</w:t>
      </w:r>
      <w:r w:rsidRPr="00B135F5">
        <w:t xml:space="preserve">). </w:t>
      </w:r>
    </w:p>
  </w:footnote>
  <w:footnote w:id="98">
    <w:p w14:paraId="50C844D1" w14:textId="7A6A836D" w:rsidR="00921FA3" w:rsidRPr="00627163" w:rsidRDefault="00921FA3">
      <w:pPr>
        <w:pStyle w:val="FootnoteText"/>
      </w:pPr>
      <w:r w:rsidRPr="00604525">
        <w:rPr>
          <w:rStyle w:val="FootnoteReference"/>
        </w:rPr>
        <w:footnoteRef/>
      </w:r>
      <w:r w:rsidRPr="00604525">
        <w:t xml:space="preserve"> The request would have to be made by the Member States willing to </w:t>
      </w:r>
      <w:r w:rsidRPr="00BF3335">
        <w:t>be c</w:t>
      </w:r>
      <w:r w:rsidRPr="00756C26">
        <w:t>overed by t</w:t>
      </w:r>
      <w:r w:rsidRPr="008E5FC2">
        <w:t>he EU-level compulsory licence (as a manufacturing or receiving country).</w:t>
      </w:r>
    </w:p>
  </w:footnote>
  <w:footnote w:id="99">
    <w:p w14:paraId="6877D5F5" w14:textId="07A7ABEC" w:rsidR="00921FA3" w:rsidRPr="00AB3787" w:rsidRDefault="00921FA3">
      <w:pPr>
        <w:pStyle w:val="FootnoteText"/>
      </w:pPr>
      <w:r>
        <w:rPr>
          <w:rStyle w:val="FootnoteReference"/>
        </w:rPr>
        <w:footnoteRef/>
      </w:r>
      <w:r>
        <w:t xml:space="preserve"> </w:t>
      </w:r>
      <w:r w:rsidRPr="00AB3787">
        <w:t xml:space="preserve">In order to ensure as much coherence as possible with existing crisis instruments and other acts at Union level, the </w:t>
      </w:r>
      <w:r>
        <w:t>proposed initiative should</w:t>
      </w:r>
      <w:r w:rsidRPr="00AB3787">
        <w:t xml:space="preserve"> draw on existing definitions. </w:t>
      </w:r>
      <w:r>
        <w:t>For example</w:t>
      </w:r>
      <w:r w:rsidRPr="00AB3787">
        <w:t>, the definition o</w:t>
      </w:r>
      <w:r>
        <w:t>f a ‘crisis-relevant product’ could be</w:t>
      </w:r>
      <w:r w:rsidRPr="00AB3787">
        <w:t xml:space="preserve"> based on the definitions of SMEI</w:t>
      </w:r>
      <w:r>
        <w:t>. In similar vein</w:t>
      </w:r>
      <w:r w:rsidRPr="00AB3787">
        <w:t xml:space="preserve">, the determination of the existence of a crisis or emergency </w:t>
      </w:r>
      <w:r>
        <w:t>would rely</w:t>
      </w:r>
      <w:r w:rsidRPr="00AB3787">
        <w:t xml:space="preserve"> on the Union legal act underlying the crisis mechanism and the crisis definition included therein.</w:t>
      </w:r>
    </w:p>
  </w:footnote>
  <w:footnote w:id="100">
    <w:p w14:paraId="14501A6A" w14:textId="78BF0742" w:rsidR="00921FA3" w:rsidRPr="003053D5" w:rsidRDefault="00921FA3">
      <w:pPr>
        <w:pStyle w:val="FootnoteText"/>
      </w:pPr>
      <w:r>
        <w:rPr>
          <w:rStyle w:val="FootnoteReference"/>
        </w:rPr>
        <w:footnoteRef/>
      </w:r>
      <w:r>
        <w:t xml:space="preserve"> I.e. a crisis covering multiple EU countries or with manufacturing capacities in a different country than the one experiencing the crisis or with manufacturing capacities spread across several EU countries. </w:t>
      </w:r>
    </w:p>
  </w:footnote>
  <w:footnote w:id="101">
    <w:p w14:paraId="1E308962" w14:textId="3536A4A6" w:rsidR="00921FA3" w:rsidRPr="00F0000D" w:rsidRDefault="00921FA3">
      <w:pPr>
        <w:pStyle w:val="FootnoteText"/>
      </w:pPr>
      <w:r>
        <w:rPr>
          <w:rStyle w:val="FootnoteReference"/>
        </w:rPr>
        <w:footnoteRef/>
      </w:r>
      <w:r>
        <w:t xml:space="preserve"> E.g. an implementing act. </w:t>
      </w:r>
    </w:p>
  </w:footnote>
  <w:footnote w:id="102">
    <w:p w14:paraId="703C359D" w14:textId="2CF4E1CA" w:rsidR="00921FA3" w:rsidRPr="002527A8" w:rsidRDefault="00921FA3" w:rsidP="00C011A8">
      <w:pPr>
        <w:pStyle w:val="FootnoteText"/>
        <w:rPr>
          <w:lang w:val="pl-PL"/>
        </w:rPr>
      </w:pPr>
      <w:r>
        <w:rPr>
          <w:rStyle w:val="FootnoteReference"/>
        </w:rPr>
        <w:footnoteRef/>
      </w:r>
      <w:r>
        <w:t xml:space="preserve"> </w:t>
      </w:r>
      <w:r w:rsidRPr="00C011A8">
        <w:t>When the advisory body is an existing one, its existing rules of procedure should apply</w:t>
      </w:r>
      <w:r w:rsidRPr="00B079FF">
        <w:t>.</w:t>
      </w:r>
      <w:r>
        <w:t xml:space="preserve"> </w:t>
      </w:r>
      <w:r w:rsidRPr="00C011A8">
        <w:t xml:space="preserve">As regards </w:t>
      </w:r>
      <w:r w:rsidRPr="00C6574F">
        <w:rPr>
          <w:i/>
        </w:rPr>
        <w:t>ad hoc</w:t>
      </w:r>
      <w:r w:rsidRPr="00C011A8">
        <w:t xml:space="preserve"> advisory bodies, they should be composed of one representative of each Member State in order to provide the Commission with information and input stemming from the national level including information on manufacturing capacities, potential licensees and, if applicable, proposals for voluntary solutions. In addition, the advisory body should have the function of collecting and analysing relevant data as well as ensuring coherence and cooperation with other crisis relevant bodies at Union and national level.</w:t>
      </w:r>
      <w:r w:rsidRPr="00CB458A">
        <w:t xml:space="preserve"> </w:t>
      </w:r>
    </w:p>
  </w:footnote>
  <w:footnote w:id="103">
    <w:p w14:paraId="02E62540" w14:textId="6588CA71" w:rsidR="00921FA3" w:rsidRPr="00B079FF" w:rsidRDefault="00921FA3" w:rsidP="006A246D">
      <w:pPr>
        <w:pStyle w:val="FootnoteText"/>
      </w:pPr>
      <w:r w:rsidRPr="00B079FF">
        <w:rPr>
          <w:rStyle w:val="FootnoteReference"/>
        </w:rPr>
        <w:footnoteRef/>
      </w:r>
      <w:r w:rsidRPr="00B079FF">
        <w:t xml:space="preserve"> </w:t>
      </w:r>
      <w:r w:rsidRPr="00CB458A">
        <w:t xml:space="preserve">The non-binding opinion of the advisory body should be considered in the decision-making process. </w:t>
      </w:r>
      <w:r w:rsidRPr="00CB1B8A">
        <w:t>The advisory body would have to consider the comments made by the patent owner(s)</w:t>
      </w:r>
      <w:r w:rsidRPr="00CB458A">
        <w:t>.</w:t>
      </w:r>
      <w:r>
        <w:t xml:space="preserve"> P</w:t>
      </w:r>
      <w:r w:rsidRPr="00CB458A">
        <w:t xml:space="preserve">ersons, in particular the licensee and the rights-holder, whose interests may be affected by the compulsory licence should be given the opportunity to submit their observations beforehand. </w:t>
      </w:r>
    </w:p>
  </w:footnote>
  <w:footnote w:id="104">
    <w:p w14:paraId="441FE984" w14:textId="251322F8" w:rsidR="00921FA3" w:rsidRPr="00CB1B8A" w:rsidRDefault="00921FA3">
      <w:pPr>
        <w:pStyle w:val="FootnoteText"/>
      </w:pPr>
      <w:r>
        <w:rPr>
          <w:rStyle w:val="FootnoteReference"/>
        </w:rPr>
        <w:footnoteRef/>
      </w:r>
      <w:r>
        <w:t xml:space="preserve"> </w:t>
      </w:r>
      <w:r w:rsidRPr="00CB1B8A">
        <w:rPr>
          <w:lang w:val="en-IE"/>
        </w:rPr>
        <w:t>Further details on the possible remuneration criteria are provided in Annex 6.</w:t>
      </w:r>
    </w:p>
  </w:footnote>
  <w:footnote w:id="105">
    <w:p w14:paraId="4DF0996B" w14:textId="276F8130" w:rsidR="00921FA3" w:rsidRPr="00F0000D" w:rsidRDefault="00921FA3">
      <w:pPr>
        <w:pStyle w:val="FootnoteText"/>
      </w:pPr>
      <w:r w:rsidRPr="00B079FF">
        <w:rPr>
          <w:rStyle w:val="FootnoteReference"/>
        </w:rPr>
        <w:footnoteRef/>
      </w:r>
      <w:r w:rsidRPr="00B079FF">
        <w:t xml:space="preserve"> The procedure would however depend on the type of act through which the binding opinion would be granted. It would however always include a judicial procedure</w:t>
      </w:r>
      <w:r>
        <w:t>, as per requested by the TRIPS Agreement. As regards national decision (and under PO3 aspects such as the remuneration), appeal would be done at national level.</w:t>
      </w:r>
    </w:p>
  </w:footnote>
  <w:footnote w:id="106">
    <w:p w14:paraId="6D5D4DAA" w14:textId="0AD9C72E" w:rsidR="00921FA3" w:rsidRPr="001735A7" w:rsidRDefault="00921FA3">
      <w:pPr>
        <w:pStyle w:val="FootnoteText"/>
      </w:pPr>
      <w:r>
        <w:rPr>
          <w:rStyle w:val="FootnoteReference"/>
        </w:rPr>
        <w:footnoteRef/>
      </w:r>
      <w:r>
        <w:t xml:space="preserve"> E.g. the harmonisation would include some criteria to determine the remuneration at national level.</w:t>
      </w:r>
    </w:p>
  </w:footnote>
  <w:footnote w:id="107">
    <w:p w14:paraId="034DD07A" w14:textId="016D8D3A" w:rsidR="00921FA3" w:rsidRPr="005850DF" w:rsidRDefault="00921FA3" w:rsidP="00EC0286">
      <w:pPr>
        <w:pStyle w:val="FootnoteText"/>
      </w:pPr>
      <w:r w:rsidRPr="00604525">
        <w:rPr>
          <w:rStyle w:val="FootnoteReference"/>
        </w:rPr>
        <w:footnoteRef/>
      </w:r>
      <w:r w:rsidRPr="00604525">
        <w:t xml:space="preserve"> </w:t>
      </w:r>
      <w:r>
        <w:t>The margin of manoeuvre would concern aspects that are not strictly linked to the crisis.</w:t>
      </w:r>
      <w:r w:rsidRPr="00604525">
        <w:t xml:space="preserve"> For instance, as regards remuneration, Member States would be able to decide on the amount of remuneration to be paid to the patent owners but should take into account some criteria, such as the economic value of the use authorised under the licence or the non-commercial circumstances relating to the issue of the licence. This option would also provide for coordination on the adequate remuneration with other concerned Member States. On remedies, this option would require Member State</w:t>
      </w:r>
      <w:r w:rsidRPr="008E5FC2">
        <w:t xml:space="preserve">s to set up a judicial procedure to appeal the national granting decision, in particular as </w:t>
      </w:r>
      <w:r>
        <w:t>regards remuneration aspects and respect of the conditions set up by the Commission activation measure.</w:t>
      </w:r>
    </w:p>
  </w:footnote>
  <w:footnote w:id="108">
    <w:p w14:paraId="3CE90C9F" w14:textId="5378CC36" w:rsidR="00921FA3" w:rsidRPr="00883B8D" w:rsidRDefault="00921FA3" w:rsidP="00235BAD">
      <w:pPr>
        <w:pStyle w:val="FootnoteText"/>
      </w:pPr>
      <w:r>
        <w:rPr>
          <w:rStyle w:val="FootnoteReference"/>
        </w:rPr>
        <w:footnoteRef/>
      </w:r>
      <w:r>
        <w:t xml:space="preserve"> Either the advisory body attached to the crisis instrument in the context of which the compulsory licence is granted or, in the absence of such body, the ad hoc advisory body – see </w:t>
      </w:r>
      <w:r w:rsidRPr="0038489D">
        <w:t xml:space="preserve">footnote </w:t>
      </w:r>
      <w:r>
        <w:t>101</w:t>
      </w:r>
      <w:r w:rsidRPr="0038489D">
        <w:t>.</w:t>
      </w:r>
      <w:r>
        <w:t xml:space="preserve"> </w:t>
      </w:r>
    </w:p>
  </w:footnote>
  <w:footnote w:id="109">
    <w:p w14:paraId="30B6BB5C" w14:textId="43E0792D" w:rsidR="00921FA3" w:rsidRPr="00152DA4" w:rsidRDefault="00921FA3">
      <w:pPr>
        <w:pStyle w:val="FootnoteText"/>
      </w:pPr>
      <w:r>
        <w:rPr>
          <w:rStyle w:val="FootnoteReference"/>
        </w:rPr>
        <w:footnoteRef/>
      </w:r>
      <w:r>
        <w:t xml:space="preserve"> </w:t>
      </w:r>
      <w:r w:rsidRPr="00AF2F2A">
        <w:rPr>
          <w:lang w:val="en-IE"/>
        </w:rPr>
        <w:t xml:space="preserve">Member States would have to provide the </w:t>
      </w:r>
      <w:r>
        <w:rPr>
          <w:lang w:val="en-IE"/>
        </w:rPr>
        <w:t>EC</w:t>
      </w:r>
      <w:r w:rsidRPr="00AF2F2A">
        <w:rPr>
          <w:lang w:val="en-IE"/>
        </w:rPr>
        <w:t xml:space="preserve"> with key information on the compulsory licence (the subject matter of a CL, companies involved such as patent holders and/or manufacturers, the conditions agreed, etc.).</w:t>
      </w:r>
    </w:p>
  </w:footnote>
  <w:footnote w:id="110">
    <w:p w14:paraId="51599308" w14:textId="2E5256FD" w:rsidR="00921FA3" w:rsidRPr="0094767F" w:rsidRDefault="00921FA3">
      <w:pPr>
        <w:pStyle w:val="FootnoteText"/>
        <w:rPr>
          <w:lang w:val="pl-PL"/>
        </w:rPr>
      </w:pPr>
      <w:r>
        <w:rPr>
          <w:rStyle w:val="FootnoteReference"/>
        </w:rPr>
        <w:footnoteRef/>
      </w:r>
      <w:r>
        <w:rPr>
          <w:lang w:val="pl-PL"/>
        </w:rPr>
        <w:t xml:space="preserve"> </w:t>
      </w:r>
      <w:r w:rsidRPr="00BA3908">
        <w:rPr>
          <w:lang w:val="en-IE"/>
        </w:rPr>
        <w:t xml:space="preserve">The single contact point should be established at the Commission and act as a focal and coordination point in case third countries face a situation when planning its activities under Regulation (EC) </w:t>
      </w:r>
      <w:r>
        <w:rPr>
          <w:lang w:val="en-IE"/>
        </w:rPr>
        <w:t xml:space="preserve">No </w:t>
      </w:r>
      <w:r w:rsidRPr="00BA3908">
        <w:rPr>
          <w:lang w:val="en-IE"/>
        </w:rPr>
        <w:t>816/2006 that requires compulsory licences in more than one Member State.</w:t>
      </w:r>
    </w:p>
  </w:footnote>
  <w:footnote w:id="111">
    <w:p w14:paraId="6C838E38" w14:textId="1B75480A" w:rsidR="00921FA3" w:rsidRPr="00923B14" w:rsidRDefault="00921FA3">
      <w:pPr>
        <w:pStyle w:val="FootnoteText"/>
      </w:pPr>
      <w:r>
        <w:rPr>
          <w:rStyle w:val="FootnoteReference"/>
        </w:rPr>
        <w:footnoteRef/>
      </w:r>
      <w:r>
        <w:t xml:space="preserve"> Or applicants as identified by Article 6 of Regulation (EC) No 816/2006.</w:t>
      </w:r>
    </w:p>
  </w:footnote>
  <w:footnote w:id="112">
    <w:p w14:paraId="7F2EE257" w14:textId="6502D395" w:rsidR="00921FA3" w:rsidRPr="00957857" w:rsidRDefault="00921FA3">
      <w:pPr>
        <w:pStyle w:val="FootnoteText"/>
      </w:pPr>
      <w:r>
        <w:rPr>
          <w:rStyle w:val="FootnoteReference"/>
        </w:rPr>
        <w:footnoteRef/>
      </w:r>
      <w:r>
        <w:t xml:space="preserve"> Along the lines of what is provided under PO3.</w:t>
      </w:r>
    </w:p>
  </w:footnote>
  <w:footnote w:id="113">
    <w:p w14:paraId="02F93082" w14:textId="1CBBB082" w:rsidR="00921FA3" w:rsidRPr="00381F8B" w:rsidRDefault="00921FA3">
      <w:pPr>
        <w:pStyle w:val="FootnoteText"/>
      </w:pPr>
      <w:r>
        <w:rPr>
          <w:rStyle w:val="FootnoteReference"/>
        </w:rPr>
        <w:footnoteRef/>
      </w:r>
      <w:r>
        <w:t xml:space="preserve"> In case of a crisis with a cross-border aspect, along the lines of what is provided under PO3. </w:t>
      </w:r>
    </w:p>
  </w:footnote>
  <w:footnote w:id="114">
    <w:p w14:paraId="757063D1" w14:textId="0498C1F9" w:rsidR="00921FA3" w:rsidRPr="00ED21D3" w:rsidRDefault="00921FA3">
      <w:pPr>
        <w:pStyle w:val="FootnoteText"/>
      </w:pPr>
      <w:r>
        <w:rPr>
          <w:rStyle w:val="FootnoteReference"/>
        </w:rPr>
        <w:footnoteRef/>
      </w:r>
      <w:r>
        <w:t xml:space="preserve"> See footnote 101.</w:t>
      </w:r>
    </w:p>
  </w:footnote>
  <w:footnote w:id="115">
    <w:p w14:paraId="45D6E757" w14:textId="6C550D7E" w:rsidR="00921FA3" w:rsidRPr="00447BFA" w:rsidRDefault="00921FA3">
      <w:pPr>
        <w:pStyle w:val="FootnoteText"/>
      </w:pPr>
      <w:r>
        <w:rPr>
          <w:rStyle w:val="FootnoteReference"/>
        </w:rPr>
        <w:footnoteRef/>
      </w:r>
      <w:r>
        <w:t xml:space="preserve"> Including the appeal procedure, which will depend on the nature of the act (e.g. implementing act or Commission decision) granting the compulsory licence. In contrast to PO3, there will be no national granting decision and therefore no national appeal procedure.</w:t>
      </w:r>
    </w:p>
  </w:footnote>
  <w:footnote w:id="116">
    <w:p w14:paraId="7CA2644A" w14:textId="015CFE4D" w:rsidR="00921FA3" w:rsidRPr="00FF7F3E" w:rsidRDefault="00921FA3">
      <w:pPr>
        <w:pStyle w:val="FootnoteText"/>
      </w:pPr>
      <w:r>
        <w:rPr>
          <w:rStyle w:val="FootnoteReference"/>
        </w:rPr>
        <w:footnoteRef/>
      </w:r>
      <w:r>
        <w:t xml:space="preserve"> </w:t>
      </w:r>
      <w:r w:rsidRPr="00654AE2">
        <w:rPr>
          <w:rStyle w:val="normaltextrun"/>
        </w:rPr>
        <w:t>Member States would retain full competence to grant national compulsory licences</w:t>
      </w:r>
      <w:r>
        <w:rPr>
          <w:rStyle w:val="normaltextrun"/>
        </w:rPr>
        <w:t>.</w:t>
      </w:r>
      <w:r>
        <w:t xml:space="preserve"> This option would just add an additional layer to the existing national schemes on compulsory licensing.</w:t>
      </w:r>
    </w:p>
  </w:footnote>
  <w:footnote w:id="117">
    <w:p w14:paraId="5737E0A8" w14:textId="3D45081D" w:rsidR="00921FA3" w:rsidRPr="00686207" w:rsidRDefault="00921FA3">
      <w:pPr>
        <w:pStyle w:val="FootnoteText"/>
      </w:pPr>
      <w:r>
        <w:rPr>
          <w:rStyle w:val="FootnoteReference"/>
        </w:rPr>
        <w:footnoteRef/>
      </w:r>
      <w:r>
        <w:t xml:space="preserve"> Just like under PO3, the e advisory body should consider the comments made by the patent owner(s).</w:t>
      </w:r>
    </w:p>
  </w:footnote>
  <w:footnote w:id="118">
    <w:p w14:paraId="4C14FC3D" w14:textId="24D3B0A1" w:rsidR="00921FA3" w:rsidRPr="002B2299" w:rsidRDefault="00921FA3">
      <w:pPr>
        <w:pStyle w:val="FootnoteText"/>
      </w:pPr>
      <w:r>
        <w:rPr>
          <w:rStyle w:val="FootnoteReference"/>
        </w:rPr>
        <w:footnoteRef/>
      </w:r>
      <w:r>
        <w:t xml:space="preserve"> This would certainly be the case when the trigger is outside an EU crisis instrument and where the procedure leading to the granting of an EU-level compulsory licence would be a request made by more than one Member State to the Commission. In the context of EU crisis instrument, the trigger would usually be a Council decision, such as under SMEI, which would also involve Member States.</w:t>
      </w:r>
    </w:p>
  </w:footnote>
  <w:footnote w:id="119">
    <w:p w14:paraId="4995EAEC" w14:textId="555837F3" w:rsidR="00921FA3" w:rsidRPr="003D5B13" w:rsidRDefault="00921FA3">
      <w:pPr>
        <w:pStyle w:val="FootnoteText"/>
        <w:rPr>
          <w:lang w:val="en-IE"/>
        </w:rPr>
      </w:pPr>
      <w:r>
        <w:rPr>
          <w:rStyle w:val="FootnoteReference"/>
        </w:rPr>
        <w:footnoteRef/>
      </w:r>
      <w:r>
        <w:t xml:space="preserve"> </w:t>
      </w:r>
      <w:r w:rsidRPr="003D5B13">
        <w:rPr>
          <w:lang w:val="en-IE"/>
        </w:rPr>
        <w:t>Including when the procedure is being initi</w:t>
      </w:r>
      <w:r>
        <w:rPr>
          <w:lang w:val="en-IE"/>
        </w:rPr>
        <w:t>ated by some but not all Member States. In such case, all Member States would be represented in the advisory body, so to allow exchange of information and views on the need to issue a compulsory licence and the conditions (including the territorial scope) surrounding such compulsory licence.</w:t>
      </w:r>
    </w:p>
  </w:footnote>
  <w:footnote w:id="120">
    <w:p w14:paraId="5054901C" w14:textId="5621BA26" w:rsidR="00921FA3" w:rsidRPr="0044153F" w:rsidRDefault="00921FA3">
      <w:pPr>
        <w:pStyle w:val="FootnoteText"/>
        <w:rPr>
          <w:lang w:val="en-IE"/>
        </w:rPr>
      </w:pPr>
      <w:r>
        <w:rPr>
          <w:rStyle w:val="FootnoteReference"/>
        </w:rPr>
        <w:footnoteRef/>
      </w:r>
      <w:r>
        <w:t xml:space="preserve"> </w:t>
      </w:r>
      <w:r w:rsidRPr="003D5B13">
        <w:rPr>
          <w:lang w:val="en-IE"/>
        </w:rPr>
        <w:t>The appeal procedure would d</w:t>
      </w:r>
      <w:r>
        <w:rPr>
          <w:lang w:val="en-IE"/>
        </w:rPr>
        <w:t>epend on the nature of the act granting the licence but would always involve a judicial review, as requested under the TRIPS Agreement.</w:t>
      </w:r>
    </w:p>
  </w:footnote>
  <w:footnote w:id="121">
    <w:p w14:paraId="6726F628" w14:textId="1D34A826" w:rsidR="00921FA3" w:rsidRPr="00C30CC3" w:rsidRDefault="00921FA3">
      <w:pPr>
        <w:pStyle w:val="FootnoteText"/>
      </w:pPr>
      <w:r>
        <w:rPr>
          <w:rStyle w:val="FootnoteReference"/>
        </w:rPr>
        <w:footnoteRef/>
      </w:r>
      <w:r>
        <w:t xml:space="preserve"> The Commission would also have the possibility to terminate the licence, subject to adequate protection of legitimate interests, if the conditions of the licence are not respected. </w:t>
      </w:r>
    </w:p>
  </w:footnote>
  <w:footnote w:id="122">
    <w:p w14:paraId="081DD730" w14:textId="67268449" w:rsidR="00921FA3" w:rsidRPr="00F71681" w:rsidRDefault="00921FA3">
      <w:pPr>
        <w:pStyle w:val="FootnoteText"/>
        <w:rPr>
          <w:lang w:val="en-IE"/>
        </w:rPr>
      </w:pPr>
      <w:r>
        <w:rPr>
          <w:rStyle w:val="FootnoteReference"/>
        </w:rPr>
        <w:footnoteRef/>
      </w:r>
      <w:r>
        <w:t xml:space="preserve"> </w:t>
      </w:r>
      <w:r w:rsidRPr="00F71681">
        <w:rPr>
          <w:lang w:val="en-IE"/>
        </w:rPr>
        <w:t xml:space="preserve">If the compulsory licence is </w:t>
      </w:r>
      <w:r>
        <w:rPr>
          <w:lang w:val="en-IE"/>
        </w:rPr>
        <w:t>granted in the context of an EU crisis instrument, the duration of the compulsory licence should be aligned to the duration of the emergency mode decided in the context of that EU crisis instrument. If the compulsory licence is granted upon request of the Member States, the duration will be specified in the EU-level compulsory licence, after having heard the advisory body (including the patent owner(s) should it make comment on this aspect).</w:t>
      </w:r>
      <w:r w:rsidRPr="00733D42">
        <w:rPr>
          <w:lang w:val="en-IE"/>
        </w:rPr>
        <w:t xml:space="preserve"> </w:t>
      </w:r>
    </w:p>
  </w:footnote>
  <w:footnote w:id="123">
    <w:p w14:paraId="68A77687" w14:textId="7D73D61F" w:rsidR="00921FA3" w:rsidRPr="00F71681" w:rsidRDefault="00921FA3">
      <w:pPr>
        <w:pStyle w:val="FootnoteText"/>
        <w:rPr>
          <w:lang w:val="en-IE"/>
        </w:rPr>
      </w:pPr>
      <w:r>
        <w:rPr>
          <w:rStyle w:val="FootnoteReference"/>
        </w:rPr>
        <w:footnoteRef/>
      </w:r>
      <w:r>
        <w:t xml:space="preserve"> </w:t>
      </w:r>
      <w:r w:rsidRPr="00F71681">
        <w:rPr>
          <w:lang w:val="en-IE"/>
        </w:rPr>
        <w:t>Criteria to determine the r</w:t>
      </w:r>
      <w:r>
        <w:rPr>
          <w:lang w:val="en-IE"/>
        </w:rPr>
        <w:t xml:space="preserve">emuneration would be set-up. The remuneration would be specified in the act granting the EU-level compulsory licence, after having heard the advisory body. </w:t>
      </w:r>
    </w:p>
  </w:footnote>
  <w:footnote w:id="124">
    <w:p w14:paraId="1A48D51F" w14:textId="37EBEAEC" w:rsidR="00921FA3" w:rsidRPr="00F71681" w:rsidRDefault="00921FA3">
      <w:pPr>
        <w:pStyle w:val="FootnoteText"/>
        <w:rPr>
          <w:lang w:val="en-IE"/>
        </w:rPr>
      </w:pPr>
      <w:r>
        <w:rPr>
          <w:rStyle w:val="FootnoteReference"/>
        </w:rPr>
        <w:footnoteRef/>
      </w:r>
      <w:r>
        <w:t xml:space="preserve"> </w:t>
      </w:r>
      <w:r w:rsidRPr="00F71681">
        <w:rPr>
          <w:lang w:val="en-IE"/>
        </w:rPr>
        <w:t>The patent owner(s) wo</w:t>
      </w:r>
      <w:r>
        <w:rPr>
          <w:lang w:val="en-IE"/>
        </w:rPr>
        <w:t>uld have to collaborate in good faith. An obligation to disclose trade secrets would not be provided.</w:t>
      </w:r>
    </w:p>
  </w:footnote>
  <w:footnote w:id="125">
    <w:p w14:paraId="5B748BAD" w14:textId="57FB5A55" w:rsidR="00921FA3" w:rsidRPr="00B247C4" w:rsidRDefault="00921FA3" w:rsidP="00B247C4">
      <w:pPr>
        <w:pStyle w:val="FootnoteText"/>
      </w:pPr>
      <w:r>
        <w:rPr>
          <w:rStyle w:val="FootnoteReference"/>
        </w:rPr>
        <w:footnoteRef/>
      </w:r>
      <w:r>
        <w:t xml:space="preserve"> Notably: a) the establishment of a single procedure and decision-making at EU level instead of multiple procedures and decisions at national level; b) access to an accelerated procedure (e.g. no best effort obligation to conduct negotiations); c) appeals against decisions should have no suspensive effect, so that the licensee can already start producing under the </w:t>
      </w:r>
      <w:r w:rsidRPr="00F766C7">
        <w:t>compulsory licence</w:t>
      </w:r>
      <w:r>
        <w:t>, regardless of the outcome of the proceedings.</w:t>
      </w:r>
    </w:p>
  </w:footnote>
  <w:footnote w:id="126">
    <w:p w14:paraId="2FF1BD82" w14:textId="24326233" w:rsidR="00921FA3" w:rsidRPr="002F0F1B" w:rsidRDefault="00921FA3" w:rsidP="00A461FB">
      <w:pPr>
        <w:pStyle w:val="FootnoteText"/>
      </w:pPr>
      <w:r>
        <w:rPr>
          <w:rStyle w:val="FootnoteReference"/>
        </w:rPr>
        <w:footnoteRef/>
      </w:r>
      <w:r>
        <w:t xml:space="preserve"> See </w:t>
      </w:r>
      <w:r>
        <w:rPr>
          <w:i/>
          <w:iCs/>
        </w:rPr>
        <w:t>supra</w:t>
      </w:r>
      <w:r>
        <w:t>, point 1.2.</w:t>
      </w:r>
    </w:p>
  </w:footnote>
  <w:footnote w:id="127">
    <w:p w14:paraId="67FFF752" w14:textId="77777777" w:rsidR="00921FA3" w:rsidRPr="009E52F8" w:rsidRDefault="00921FA3" w:rsidP="00A461FB">
      <w:pPr>
        <w:pStyle w:val="FootnoteText"/>
      </w:pPr>
      <w:r>
        <w:rPr>
          <w:rStyle w:val="FootnoteReference"/>
        </w:rPr>
        <w:footnoteRef/>
      </w:r>
      <w:r>
        <w:t xml:space="preserve"> A design means ‘the appearance of the whole or a part of a product resulting from the features of, in particular, the lines, </w:t>
      </w:r>
      <w:r w:rsidRPr="009E52F8">
        <w:t xml:space="preserve">contours, colours, shape, texture and/or materials of the product itself and/or its ornamentation’ (Article 3 of regulation (EC) No 6/2002 of 12 December 2001 on Community design, see also Article 1 of </w:t>
      </w:r>
      <w:r w:rsidRPr="009E52F8">
        <w:rPr>
          <w:color w:val="333333"/>
          <w:shd w:val="clear" w:color="auto" w:fill="FFFFFF"/>
        </w:rPr>
        <w:t>Directive 98/71/EC of the European Parliament and of the Council of 13 October 1998 on the legal protection of designs</w:t>
      </w:r>
      <w:r>
        <w:rPr>
          <w:color w:val="333333"/>
          <w:shd w:val="clear" w:color="auto" w:fill="FFFFFF"/>
        </w:rPr>
        <w:t>).</w:t>
      </w:r>
    </w:p>
  </w:footnote>
  <w:footnote w:id="128">
    <w:p w14:paraId="61BFEF7C" w14:textId="77777777" w:rsidR="00921FA3" w:rsidRPr="00946505" w:rsidRDefault="00921FA3" w:rsidP="00703AA3">
      <w:pPr>
        <w:spacing w:after="0"/>
        <w:rPr>
          <w:sz w:val="20"/>
          <w:szCs w:val="20"/>
        </w:rPr>
      </w:pPr>
      <w:r w:rsidRPr="00946505">
        <w:rPr>
          <w:rStyle w:val="FootnoteReference"/>
          <w:sz w:val="20"/>
          <w:szCs w:val="20"/>
        </w:rPr>
        <w:footnoteRef/>
      </w:r>
      <w:r w:rsidRPr="00946505">
        <w:rPr>
          <w:sz w:val="20"/>
          <w:szCs w:val="20"/>
        </w:rPr>
        <w:t xml:space="preserve"> Article 1(2) of Directive 2009/24 of 23 April 2009 on the legal protection of computer program provides indeed for that “protection in accordance with this Directive shall apply to the expression in any form of a computer program. Ideas and principles which underlie any element of a computer program, including those which underlie its interfaces, are not protected by copyright under this Directive.”</w:t>
      </w:r>
    </w:p>
  </w:footnote>
  <w:footnote w:id="129">
    <w:p w14:paraId="1271C80F" w14:textId="77777777" w:rsidR="00921FA3" w:rsidRPr="00CD5196" w:rsidRDefault="00921FA3" w:rsidP="00A40B14">
      <w:pPr>
        <w:pStyle w:val="FootnoteText"/>
        <w:rPr>
          <w:lang w:val="en-IE"/>
        </w:rPr>
      </w:pPr>
      <w:r>
        <w:rPr>
          <w:rStyle w:val="FootnoteReference"/>
        </w:rPr>
        <w:footnoteRef/>
      </w:r>
      <w:r>
        <w:t xml:space="preserve"> </w:t>
      </w:r>
      <w:r>
        <w:rPr>
          <w:rStyle w:val="eop"/>
        </w:rPr>
        <w:t>O</w:t>
      </w:r>
      <w:r w:rsidRPr="26B36363">
        <w:rPr>
          <w:rStyle w:val="eop"/>
        </w:rPr>
        <w:t>ne in each of the manufacturing Member States and one in each of the importing Member States</w:t>
      </w:r>
      <w:r>
        <w:rPr>
          <w:rStyle w:val="eop"/>
        </w:rPr>
        <w:t>.</w:t>
      </w:r>
    </w:p>
  </w:footnote>
  <w:footnote w:id="130">
    <w:p w14:paraId="41159732" w14:textId="425543A2" w:rsidR="00921FA3" w:rsidRPr="00152DA4" w:rsidRDefault="00921FA3">
      <w:pPr>
        <w:pStyle w:val="FootnoteText"/>
      </w:pPr>
      <w:r>
        <w:rPr>
          <w:rStyle w:val="FootnoteReference"/>
        </w:rPr>
        <w:footnoteRef/>
      </w:r>
      <w:r>
        <w:t xml:space="preserve"> </w:t>
      </w:r>
      <w:r w:rsidRPr="00654AE2">
        <w:rPr>
          <w:lang w:val="en-IE"/>
        </w:rPr>
        <w:t>The UN noted that “</w:t>
      </w:r>
      <w:r w:rsidRPr="00560640">
        <w:rPr>
          <w:lang w:val="en-IE"/>
        </w:rPr>
        <w:t>without urgent socio-economic responses [to the COVID-19 pandemic], global suffering will escalate, jeopardizing lives and livelihoods for years to come. Immediate development responses in this crisis must be undertaken with an eye to the future. Development trajectories in the long-term will be affected by the choices countries make now and the support they receive</w:t>
      </w:r>
      <w:r w:rsidRPr="00654AE2">
        <w:rPr>
          <w:lang w:val="en-IE"/>
        </w:rPr>
        <w:t>”</w:t>
      </w:r>
      <w:r>
        <w:rPr>
          <w:lang w:val="en-IE"/>
        </w:rPr>
        <w:t xml:space="preserve">, </w:t>
      </w:r>
      <w:hyperlink r:id="rId11" w:history="1">
        <w:r w:rsidRPr="00152DA4">
          <w:rPr>
            <w:rStyle w:val="Hyperlink"/>
          </w:rPr>
          <w:t>https://www.undp.org/coronavirus/socio-economic-impact-covid-19</w:t>
        </w:r>
      </w:hyperlink>
    </w:p>
  </w:footnote>
  <w:footnote w:id="131">
    <w:p w14:paraId="4A45A799" w14:textId="16567C6E" w:rsidR="00921FA3" w:rsidRPr="00152DA4" w:rsidRDefault="00921FA3">
      <w:pPr>
        <w:pStyle w:val="FootnoteText"/>
      </w:pPr>
      <w:r>
        <w:rPr>
          <w:rStyle w:val="FootnoteReference"/>
        </w:rPr>
        <w:footnoteRef/>
      </w:r>
      <w:r>
        <w:t xml:space="preserve"> According to CEPI “</w:t>
      </w:r>
      <w:r w:rsidRPr="00C85A73">
        <w:rPr>
          <w:i/>
        </w:rPr>
        <w:t>The COVID-19 pandemic resulted in an unprecedented economic contraction in 2020, with EU real GDP falling by 6.1%, more than during the global financial crisis</w:t>
      </w:r>
      <w:r w:rsidRPr="00C85A73">
        <w:t>.</w:t>
      </w:r>
      <w:r>
        <w:t xml:space="preserve">”, source: </w:t>
      </w:r>
      <w:hyperlink r:id="rId12" w:history="1">
        <w:r w:rsidRPr="00EA7664">
          <w:rPr>
            <w:rStyle w:val="Hyperlink"/>
          </w:rPr>
          <w:t>https://cepr.org/voxeu/columns/eu-economy-after-covid-19-implications-economic-governance</w:t>
        </w:r>
      </w:hyperlink>
      <w:r>
        <w:t xml:space="preserve"> </w:t>
      </w:r>
    </w:p>
  </w:footnote>
  <w:footnote w:id="132">
    <w:p w14:paraId="0A61EE45" w14:textId="77777777" w:rsidR="00921FA3" w:rsidRPr="006D3293" w:rsidRDefault="00921FA3" w:rsidP="00F95666">
      <w:pPr>
        <w:pStyle w:val="FootnoteText"/>
      </w:pPr>
      <w:r>
        <w:rPr>
          <w:rStyle w:val="FootnoteReference"/>
        </w:rPr>
        <w:footnoteRef/>
      </w:r>
      <w:r>
        <w:t xml:space="preserve"> “</w:t>
      </w:r>
      <w:r w:rsidRPr="00B14256">
        <w:rPr>
          <w:i/>
          <w:lang w:val="en-IE"/>
        </w:rPr>
        <w:t>Intellectual property rights are designed to promote the creation of innovations and thus to promote economic advance and consumer welfare. This occurs by giving the innovator an exclusive legal right to the economic exploitation of his innovation for a period of time; the reaping of profits serves both to reward the innovator for his investment and to induce others to strive to innovate in the future.</w:t>
      </w:r>
      <w:r>
        <w:rPr>
          <w:lang w:val="en-IE"/>
        </w:rPr>
        <w:t>”, source:  “C</w:t>
      </w:r>
      <w:r w:rsidRPr="006D3293">
        <w:rPr>
          <w:lang w:val="en-IE"/>
        </w:rPr>
        <w:t>ompetition policy and intellectual property rights</w:t>
      </w:r>
      <w:r>
        <w:rPr>
          <w:lang w:val="en-IE"/>
        </w:rPr>
        <w:t>”, OECD 1989, p.10.</w:t>
      </w:r>
      <w:r>
        <w:rPr>
          <w:lang w:val="pl-PL"/>
        </w:rPr>
        <w:t xml:space="preserve"> </w:t>
      </w:r>
    </w:p>
  </w:footnote>
  <w:footnote w:id="133">
    <w:p w14:paraId="69FE87BC" w14:textId="77777777" w:rsidR="00921FA3" w:rsidRPr="00463E6D" w:rsidRDefault="00921FA3" w:rsidP="00F95666">
      <w:pPr>
        <w:pStyle w:val="FootnoteText"/>
        <w:rPr>
          <w:lang w:val="pl-PL"/>
        </w:rPr>
      </w:pPr>
      <w:r>
        <w:rPr>
          <w:rStyle w:val="FootnoteReference"/>
        </w:rPr>
        <w:footnoteRef/>
      </w:r>
      <w:r>
        <w:rPr>
          <w:lang w:val="en-IE"/>
        </w:rPr>
        <w:t xml:space="preserve"> “</w:t>
      </w:r>
      <w:r w:rsidRPr="00C6574F">
        <w:rPr>
          <w:i/>
          <w:lang w:val="en-IE"/>
        </w:rPr>
        <w:t>The excessive use of compulsory licensing, for example, could lead to increased secrecy and lower investment in R &amp; D.</w:t>
      </w:r>
      <w:r>
        <w:rPr>
          <w:lang w:val="en-IE"/>
        </w:rPr>
        <w:t xml:space="preserve">”, source: </w:t>
      </w:r>
      <w:r w:rsidRPr="006D3293">
        <w:rPr>
          <w:i/>
          <w:lang w:val="en-IE"/>
        </w:rPr>
        <w:t>Idem,</w:t>
      </w:r>
      <w:r>
        <w:rPr>
          <w:lang w:val="en-IE"/>
        </w:rPr>
        <w:t xml:space="preserve"> p.12</w:t>
      </w:r>
      <w:r>
        <w:rPr>
          <w:lang w:val="pl-PL"/>
        </w:rPr>
        <w:t xml:space="preserve">  </w:t>
      </w:r>
    </w:p>
  </w:footnote>
  <w:footnote w:id="134">
    <w:p w14:paraId="03F440D0" w14:textId="06D2800E" w:rsidR="00921FA3" w:rsidRPr="00152DA4" w:rsidRDefault="00921FA3">
      <w:pPr>
        <w:pStyle w:val="FootnoteText"/>
      </w:pPr>
      <w:r>
        <w:rPr>
          <w:rStyle w:val="FootnoteReference"/>
        </w:rPr>
        <w:footnoteRef/>
      </w:r>
      <w:r>
        <w:t xml:space="preserve"> </w:t>
      </w:r>
      <w:r w:rsidRPr="00BD48D2">
        <w:rPr>
          <w:lang w:val="en-IE"/>
        </w:rPr>
        <w:t>As explained</w:t>
      </w:r>
      <w:r>
        <w:rPr>
          <w:lang w:val="en-IE"/>
        </w:rPr>
        <w:t xml:space="preserve"> </w:t>
      </w:r>
      <w:r w:rsidRPr="00BD48D2">
        <w:rPr>
          <w:lang w:val="en-IE"/>
        </w:rPr>
        <w:t xml:space="preserve">in </w:t>
      </w:r>
      <w:r>
        <w:rPr>
          <w:lang w:val="en-IE"/>
        </w:rPr>
        <w:t>section 5</w:t>
      </w:r>
      <w:r w:rsidRPr="00BD48D2">
        <w:rPr>
          <w:lang w:val="en-IE"/>
        </w:rPr>
        <w:t>, the reporting obligation would cover: the subject matter of a CL, MS concerned, companies involved (patent holders and/or manufacturers), and the conditions agreed</w:t>
      </w:r>
      <w:r>
        <w:t>.</w:t>
      </w:r>
    </w:p>
  </w:footnote>
  <w:footnote w:id="135">
    <w:p w14:paraId="5A551164" w14:textId="2218CBEC" w:rsidR="00921FA3" w:rsidRPr="00152DA4" w:rsidRDefault="00921FA3">
      <w:pPr>
        <w:pStyle w:val="FootnoteText"/>
      </w:pPr>
      <w:r>
        <w:rPr>
          <w:rStyle w:val="FootnoteReference"/>
        </w:rPr>
        <w:footnoteRef/>
      </w:r>
      <w:r>
        <w:t xml:space="preserve"> No particular data</w:t>
      </w:r>
      <w:r w:rsidRPr="00D05396">
        <w:t xml:space="preserve"> exchange systems are envisaged, the CL negotiations would take place as either physical meetings or </w:t>
      </w:r>
      <w:r>
        <w:t xml:space="preserve">remotely </w:t>
      </w:r>
      <w:r w:rsidRPr="00D05396">
        <w:t xml:space="preserve">using existing </w:t>
      </w:r>
      <w:r>
        <w:t xml:space="preserve">secured </w:t>
      </w:r>
      <w:r w:rsidRPr="00D05396">
        <w:t>ICT technologies</w:t>
      </w:r>
      <w:r>
        <w:t>.</w:t>
      </w:r>
    </w:p>
  </w:footnote>
  <w:footnote w:id="136">
    <w:p w14:paraId="5B9335D1" w14:textId="6BA68292" w:rsidR="00921FA3" w:rsidRPr="00152DA4" w:rsidRDefault="00921FA3" w:rsidP="00F0740A">
      <w:pPr>
        <w:pStyle w:val="FootnoteText"/>
      </w:pPr>
      <w:r>
        <w:rPr>
          <w:rStyle w:val="FootnoteReference"/>
        </w:rPr>
        <w:footnoteRef/>
      </w:r>
      <w:r>
        <w:t xml:space="preserve"> </w:t>
      </w:r>
      <w:r w:rsidRPr="00A62A6E">
        <w:rPr>
          <w:lang w:val="en-IE"/>
        </w:rPr>
        <w:t xml:space="preserve">Based on the estimate of the average </w:t>
      </w:r>
      <w:r w:rsidRPr="00082543">
        <w:rPr>
          <w:lang w:val="en-IE"/>
        </w:rPr>
        <w:t>number</w:t>
      </w:r>
      <w:r w:rsidRPr="00A62A6E">
        <w:rPr>
          <w:lang w:val="en-IE"/>
        </w:rPr>
        <w:t xml:space="preserve"> of Member States where Covid-related </w:t>
      </w:r>
      <w:r w:rsidRPr="00082543">
        <w:rPr>
          <w:lang w:val="en-IE"/>
        </w:rPr>
        <w:t>patents</w:t>
      </w:r>
      <w:r w:rsidRPr="00A62A6E">
        <w:rPr>
          <w:lang w:val="en-IE"/>
        </w:rPr>
        <w:t xml:space="preserve"> are active, as explained in </w:t>
      </w:r>
      <w:r>
        <w:rPr>
          <w:lang w:val="en-IE"/>
        </w:rPr>
        <w:t>s</w:t>
      </w:r>
      <w:r w:rsidRPr="00A62A6E">
        <w:rPr>
          <w:lang w:val="en-IE"/>
        </w:rPr>
        <w:t>ection 2.2 (for further details see Annex 4 and 6).</w:t>
      </w:r>
      <w:r w:rsidRPr="00152DA4">
        <w:t xml:space="preserve"> </w:t>
      </w:r>
    </w:p>
  </w:footnote>
  <w:footnote w:id="137">
    <w:p w14:paraId="305F9F82" w14:textId="46FFC37B" w:rsidR="00921FA3" w:rsidRPr="00B2413F" w:rsidRDefault="00921FA3">
      <w:pPr>
        <w:pStyle w:val="FootnoteText"/>
        <w:rPr>
          <w:lang w:val="pl-PL"/>
        </w:rPr>
      </w:pPr>
      <w:r>
        <w:rPr>
          <w:rStyle w:val="FootnoteReference"/>
        </w:rPr>
        <w:footnoteRef/>
      </w:r>
      <w:r>
        <w:t xml:space="preserve"> Yet, this role could be undertaken by the</w:t>
      </w:r>
      <w:r w:rsidRPr="00B2413F">
        <w:t xml:space="preserve"> authorities competent for compulsory licensing for export purposes to be designated under Regulation </w:t>
      </w:r>
      <w:r>
        <w:t xml:space="preserve">(EC) No </w:t>
      </w:r>
      <w:r w:rsidRPr="00B2413F">
        <w:t>8</w:t>
      </w:r>
      <w:r>
        <w:t>16/2006, s</w:t>
      </w:r>
      <w:r w:rsidRPr="0038489D">
        <w:t xml:space="preserve">ee </w:t>
      </w:r>
      <w:r>
        <w:t>footnote 101.</w:t>
      </w:r>
    </w:p>
  </w:footnote>
  <w:footnote w:id="138">
    <w:p w14:paraId="4EFE32C8" w14:textId="17FF34AF" w:rsidR="00921FA3" w:rsidRPr="00152DA4" w:rsidRDefault="00921FA3">
      <w:pPr>
        <w:pStyle w:val="FootnoteText"/>
      </w:pPr>
      <w:r>
        <w:rPr>
          <w:rStyle w:val="FootnoteReference"/>
        </w:rPr>
        <w:footnoteRef/>
      </w:r>
      <w:r>
        <w:t xml:space="preserve"> </w:t>
      </w:r>
      <w:r>
        <w:rPr>
          <w:lang w:val="en-IE"/>
        </w:rPr>
        <w:t>While it is very difficult to estimate the costs of such process as there is no similar precedent, it is assumed that CL negotiations should not take longer than 5 full-day meetings (40 hours) involving a Head of unit, 2 desk officers and secretariat support, while the monitoring of CL implementation might involve 1 FTE over the period of 6 months per a CL case (so 1/6 of FTE per month on average).</w:t>
      </w:r>
    </w:p>
  </w:footnote>
  <w:footnote w:id="139">
    <w:p w14:paraId="0C08D90D" w14:textId="3D2798DA" w:rsidR="00921FA3" w:rsidRPr="00152DA4" w:rsidRDefault="00921FA3" w:rsidP="00C01D92">
      <w:pPr>
        <w:pStyle w:val="FootnoteText"/>
      </w:pPr>
      <w:r>
        <w:rPr>
          <w:rStyle w:val="FootnoteReference"/>
        </w:rPr>
        <w:footnoteRef/>
      </w:r>
      <w:r>
        <w:t xml:space="preserve"> Based on PatentSight® query of all patents active in EPO (“active in” understood as the authority in which at least one member of the patent family is active; this includes both pending applications that are still under prosecution and granted patents that are still in force) that resulted in 103 </w:t>
      </w:r>
      <w:r w:rsidRPr="00DD7DD4">
        <w:t>052</w:t>
      </w:r>
      <w:r>
        <w:t xml:space="preserve"> unique owners. The analysis was based on 525 329 patent families active at 12/08/2022. The number could be higher as the proposed initiative could concern any patent and not only the EP.</w:t>
      </w:r>
    </w:p>
  </w:footnote>
  <w:footnote w:id="140">
    <w:p w14:paraId="33506EEC" w14:textId="585A8758" w:rsidR="00921FA3" w:rsidRPr="00595B0A" w:rsidRDefault="00921FA3">
      <w:pPr>
        <w:pStyle w:val="FootnoteText"/>
        <w:rPr>
          <w:lang w:val="pl-PL"/>
        </w:rPr>
      </w:pPr>
      <w:r>
        <w:rPr>
          <w:rStyle w:val="FootnoteReference"/>
        </w:rPr>
        <w:footnoteRef/>
      </w:r>
      <w:r>
        <w:t xml:space="preserve"> </w:t>
      </w:r>
      <w:r w:rsidRPr="00595B0A">
        <w:t xml:space="preserve">More than 2 million enterprises were classified as </w:t>
      </w:r>
      <w:r>
        <w:t>manufacturing in the EU in 2019 (i.e. NACE section C), s</w:t>
      </w:r>
      <w:r w:rsidRPr="00595B0A">
        <w:t>ource: Eurostat dataset sbs_sc_sca_r2</w:t>
      </w:r>
      <w:r>
        <w:t xml:space="preserve">, last updated on 27/10/2022. </w:t>
      </w:r>
    </w:p>
  </w:footnote>
  <w:footnote w:id="141">
    <w:p w14:paraId="426A645B" w14:textId="5CB1A521" w:rsidR="00921FA3" w:rsidRPr="0085232F" w:rsidRDefault="00921FA3" w:rsidP="00161123">
      <w:pPr>
        <w:pStyle w:val="FootnoteText"/>
      </w:pPr>
      <w:r>
        <w:rPr>
          <w:rStyle w:val="FootnoteReference"/>
        </w:rPr>
        <w:footnoteRef/>
      </w:r>
      <w:r>
        <w:t xml:space="preserve"> As explained earlier in this impact assessment, safeguards will be established along the whole CL “lifecycle”, notably: i) pre-granting: an EU level CL could only be triggered in specific conditions, with a high threshold (i.e. activation of an EU emergency/ crisis mode, request by more than one Member State in the case of a crisis in the EU with a cross-border dimension); ii) granting: when considering the need to issue a CL and the conditions thereof, the Commission will be assisted by an advisory body, involving Member States and relevant stakeholders; iii) post-granting: the CL granting decision (including the conditions) will be subject to appeal before a judicial court.</w:t>
      </w:r>
    </w:p>
  </w:footnote>
  <w:footnote w:id="142">
    <w:p w14:paraId="4C08C936" w14:textId="5C0EC556" w:rsidR="00921FA3" w:rsidRPr="00D1334B" w:rsidRDefault="00921FA3">
      <w:pPr>
        <w:pStyle w:val="FootnoteText"/>
        <w:rPr>
          <w:lang w:val="en-IE"/>
        </w:rPr>
      </w:pPr>
      <w:r>
        <w:rPr>
          <w:rStyle w:val="FootnoteReference"/>
        </w:rPr>
        <w:footnoteRef/>
      </w:r>
      <w:r>
        <w:t xml:space="preserve"> </w:t>
      </w:r>
      <w:r w:rsidRPr="0013635B">
        <w:rPr>
          <w:lang w:val="en-IE"/>
        </w:rPr>
        <w:t xml:space="preserve">As </w:t>
      </w:r>
      <w:r>
        <w:rPr>
          <w:lang w:val="en-IE"/>
        </w:rPr>
        <w:t xml:space="preserve">illustrated in </w:t>
      </w:r>
      <w:r w:rsidRPr="00685590">
        <w:rPr>
          <w:lang w:val="en-IE"/>
        </w:rPr>
        <w:t>Table 2</w:t>
      </w:r>
      <w:r>
        <w:rPr>
          <w:lang w:val="en-IE"/>
        </w:rPr>
        <w:t>5</w:t>
      </w:r>
      <w:r w:rsidRPr="00685590">
        <w:rPr>
          <w:lang w:val="en-IE"/>
        </w:rPr>
        <w:t xml:space="preserve"> (Annex 6</w:t>
      </w:r>
      <w:r>
        <w:rPr>
          <w:lang w:val="en-IE"/>
        </w:rPr>
        <w:t>) less than a dozen compulsory licences</w:t>
      </w:r>
      <w:r w:rsidRPr="0013635B">
        <w:rPr>
          <w:lang w:val="en-IE"/>
        </w:rPr>
        <w:t xml:space="preserve"> </w:t>
      </w:r>
      <w:r>
        <w:rPr>
          <w:lang w:val="en-IE"/>
        </w:rPr>
        <w:t xml:space="preserve">has been </w:t>
      </w:r>
      <w:r w:rsidRPr="0013635B">
        <w:rPr>
          <w:lang w:val="en-IE"/>
        </w:rPr>
        <w:t>gra</w:t>
      </w:r>
      <w:r>
        <w:rPr>
          <w:lang w:val="en-IE"/>
        </w:rPr>
        <w:t>nted in the EU over the last decade</w:t>
      </w:r>
      <w:r w:rsidRPr="0013635B">
        <w:rPr>
          <w:lang w:val="en-IE"/>
        </w:rPr>
        <w:t xml:space="preserve">, including non-crisis and plant variety </w:t>
      </w:r>
      <w:r>
        <w:rPr>
          <w:lang w:val="en-IE"/>
        </w:rPr>
        <w:t>compulsory licences.</w:t>
      </w:r>
    </w:p>
  </w:footnote>
  <w:footnote w:id="143">
    <w:p w14:paraId="3C0DA577" w14:textId="1169937F" w:rsidR="00921FA3" w:rsidRPr="00152DA4" w:rsidRDefault="00921FA3">
      <w:pPr>
        <w:pStyle w:val="FootnoteText"/>
        <w:rPr>
          <w:lang w:val="en-IE"/>
        </w:rPr>
      </w:pPr>
      <w:r>
        <w:rPr>
          <w:rStyle w:val="FootnoteReference"/>
        </w:rPr>
        <w:footnoteRef/>
      </w:r>
      <w:r w:rsidRPr="00152DA4">
        <w:rPr>
          <w:lang w:val="en-IE"/>
        </w:rPr>
        <w:t xml:space="preserve"> https://ec.europa.eu/info/law/better-regulation/have-your-say/initiatives/13357-Intellectual-property-revised-framework-for-compulsory-licensing-of-patents_en</w:t>
      </w:r>
    </w:p>
  </w:footnote>
  <w:footnote w:id="144">
    <w:p w14:paraId="1EDD60A7" w14:textId="77777777" w:rsidR="00921FA3" w:rsidRPr="00DA1D1B" w:rsidRDefault="00921FA3" w:rsidP="00011AD3">
      <w:pPr>
        <w:pStyle w:val="FootnoteText"/>
        <w:rPr>
          <w:lang w:val="en-IE"/>
        </w:rPr>
      </w:pPr>
      <w:r w:rsidRPr="00DA1D1B">
        <w:rPr>
          <w:rStyle w:val="FootnoteReference"/>
        </w:rPr>
        <w:footnoteRef/>
      </w:r>
      <w:r w:rsidRPr="00DA1D1B">
        <w:rPr>
          <w:lang w:val="en-IE"/>
        </w:rPr>
        <w:t xml:space="preserve"> By respondents we refer here to the respondents to the public consultation.</w:t>
      </w:r>
    </w:p>
  </w:footnote>
  <w:footnote w:id="145">
    <w:p w14:paraId="4A240B54" w14:textId="77777777" w:rsidR="00921FA3" w:rsidRPr="00777958" w:rsidRDefault="00921FA3" w:rsidP="00011AD3">
      <w:pPr>
        <w:pStyle w:val="FootnoteText"/>
        <w:rPr>
          <w:lang w:val="en-IE"/>
        </w:rPr>
      </w:pPr>
      <w:r w:rsidRPr="00DA1D1B">
        <w:rPr>
          <w:rStyle w:val="FootnoteReference"/>
        </w:rPr>
        <w:footnoteRef/>
      </w:r>
      <w:r w:rsidRPr="00DA1D1B">
        <w:rPr>
          <w:lang w:val="en-IE"/>
        </w:rPr>
        <w:t xml:space="preserve"> This is also true for companies and business associations that consider that rules on compulsory licensing are able to tackle national crises (94%), EU-wide crises (89%) and global crises (92%).</w:t>
      </w:r>
    </w:p>
  </w:footnote>
  <w:footnote w:id="146">
    <w:p w14:paraId="73BE844A" w14:textId="0EBC1C54" w:rsidR="00921FA3" w:rsidRPr="0029706C" w:rsidRDefault="00921FA3" w:rsidP="00011AD3">
      <w:pPr>
        <w:pStyle w:val="FootnoteText"/>
        <w:rPr>
          <w:lang w:val="en-US"/>
        </w:rPr>
      </w:pPr>
      <w:r w:rsidRPr="0029706C">
        <w:rPr>
          <w:rStyle w:val="FootnoteReference"/>
        </w:rPr>
        <w:footnoteRef/>
      </w:r>
      <w:r w:rsidRPr="00901AAC">
        <w:rPr>
          <w:lang w:val="en-IE"/>
        </w:rPr>
        <w:t>Including in particular the interviews and workshops organised within the framework of the CEIPI(2023) study and the OPC</w:t>
      </w:r>
      <w:r w:rsidRPr="0029706C">
        <w:rPr>
          <w:lang w:val="en-US"/>
        </w:rPr>
        <w:t>.</w:t>
      </w:r>
    </w:p>
  </w:footnote>
  <w:footnote w:id="147">
    <w:p w14:paraId="6EE6004B" w14:textId="7CDEAD39" w:rsidR="00921FA3" w:rsidRPr="0029706C" w:rsidRDefault="00921FA3" w:rsidP="00011AD3">
      <w:pPr>
        <w:pStyle w:val="FootnoteText"/>
        <w:rPr>
          <w:lang w:val="en-US"/>
        </w:rPr>
      </w:pPr>
      <w:r w:rsidRPr="0029706C">
        <w:rPr>
          <w:rStyle w:val="FootnoteReference"/>
        </w:rPr>
        <w:footnoteRef/>
      </w:r>
      <w:r w:rsidRPr="0029706C">
        <w:rPr>
          <w:lang w:val="en-US"/>
        </w:rPr>
        <w:t xml:space="preserve"> </w:t>
      </w:r>
      <w:r>
        <w:t>CEIPI(2023)</w:t>
      </w:r>
      <w:r>
        <w:rPr>
          <w:lang w:val="en-US"/>
        </w:rPr>
        <w:t>, p. 38</w:t>
      </w:r>
      <w:r w:rsidRPr="0029706C">
        <w:rPr>
          <w:lang w:val="en-US"/>
        </w:rPr>
        <w:t>.</w:t>
      </w:r>
    </w:p>
  </w:footnote>
  <w:footnote w:id="148">
    <w:p w14:paraId="08A62F5E" w14:textId="0E8EAB44" w:rsidR="00921FA3" w:rsidRPr="0029706C" w:rsidRDefault="00921FA3" w:rsidP="00011AD3">
      <w:pPr>
        <w:pStyle w:val="FootnoteText"/>
        <w:rPr>
          <w:lang w:val="en-US"/>
        </w:rPr>
      </w:pPr>
      <w:r w:rsidRPr="0029706C">
        <w:rPr>
          <w:rStyle w:val="FootnoteReference"/>
        </w:rPr>
        <w:footnoteRef/>
      </w:r>
      <w:r w:rsidRPr="0029706C">
        <w:rPr>
          <w:lang w:val="en-US"/>
        </w:rPr>
        <w:t xml:space="preserve"> </w:t>
      </w:r>
      <w:r>
        <w:t>CEIPI(2023)</w:t>
      </w:r>
      <w:r>
        <w:rPr>
          <w:lang w:val="en-US"/>
        </w:rPr>
        <w:t>, p. 47</w:t>
      </w:r>
      <w:r w:rsidRPr="0029706C">
        <w:rPr>
          <w:lang w:val="en-US"/>
        </w:rPr>
        <w:t>.</w:t>
      </w:r>
    </w:p>
  </w:footnote>
  <w:footnote w:id="149">
    <w:p w14:paraId="6A73CED6" w14:textId="65EFA956" w:rsidR="00921FA3" w:rsidRPr="0029706C" w:rsidRDefault="00921FA3" w:rsidP="00011AD3">
      <w:pPr>
        <w:pStyle w:val="FootnoteText"/>
        <w:rPr>
          <w:lang w:val="en-US"/>
        </w:rPr>
      </w:pPr>
      <w:r w:rsidRPr="0029706C">
        <w:rPr>
          <w:rStyle w:val="FootnoteReference"/>
        </w:rPr>
        <w:footnoteRef/>
      </w:r>
      <w:r w:rsidRPr="0029706C">
        <w:rPr>
          <w:lang w:val="en-US"/>
        </w:rPr>
        <w:t xml:space="preserve"> </w:t>
      </w:r>
      <w:r>
        <w:t>CEIPI(2023)</w:t>
      </w:r>
      <w:r>
        <w:rPr>
          <w:lang w:val="en-US"/>
        </w:rPr>
        <w:t>, p. 85</w:t>
      </w:r>
      <w:r w:rsidRPr="0029706C">
        <w:rPr>
          <w:lang w:val="en-US"/>
        </w:rPr>
        <w:t>.</w:t>
      </w:r>
    </w:p>
  </w:footnote>
  <w:footnote w:id="150">
    <w:p w14:paraId="77D2CF97" w14:textId="14AE9766" w:rsidR="00921FA3" w:rsidRPr="0029706C" w:rsidRDefault="00921FA3" w:rsidP="00011AD3">
      <w:pPr>
        <w:pStyle w:val="FootnoteText"/>
        <w:rPr>
          <w:lang w:val="en-US"/>
        </w:rPr>
      </w:pPr>
      <w:r w:rsidRPr="0029706C">
        <w:rPr>
          <w:rStyle w:val="FootnoteReference"/>
        </w:rPr>
        <w:footnoteRef/>
      </w:r>
      <w:r w:rsidRPr="0029706C">
        <w:rPr>
          <w:lang w:val="en-US"/>
        </w:rPr>
        <w:t xml:space="preserve"> </w:t>
      </w:r>
      <w:r>
        <w:t>CEIPI(2023)</w:t>
      </w:r>
      <w:r>
        <w:rPr>
          <w:lang w:val="en-US"/>
        </w:rPr>
        <w:t>, p. 29</w:t>
      </w:r>
      <w:r w:rsidRPr="0029706C">
        <w:rPr>
          <w:lang w:val="en-US"/>
        </w:rPr>
        <w:t>.</w:t>
      </w:r>
    </w:p>
  </w:footnote>
  <w:footnote w:id="151">
    <w:p w14:paraId="6D72CA9D" w14:textId="6E1D189B" w:rsidR="00921FA3" w:rsidRPr="0029706C" w:rsidRDefault="00921FA3" w:rsidP="00011AD3">
      <w:pPr>
        <w:pStyle w:val="FootnoteText"/>
        <w:rPr>
          <w:lang w:val="en-US"/>
        </w:rPr>
      </w:pPr>
      <w:r w:rsidRPr="0029706C">
        <w:rPr>
          <w:rStyle w:val="FootnoteReference"/>
        </w:rPr>
        <w:footnoteRef/>
      </w:r>
      <w:r w:rsidRPr="0029706C">
        <w:rPr>
          <w:lang w:val="en-US"/>
        </w:rPr>
        <w:t xml:space="preserve"> </w:t>
      </w:r>
      <w:r>
        <w:t>CEIPI(2023)</w:t>
      </w:r>
      <w:r>
        <w:rPr>
          <w:lang w:val="en-US"/>
        </w:rPr>
        <w:t>, p. 73</w:t>
      </w:r>
      <w:r w:rsidRPr="0029706C">
        <w:rPr>
          <w:lang w:val="en-US"/>
        </w:rPr>
        <w:t>.</w:t>
      </w:r>
    </w:p>
  </w:footnote>
  <w:footnote w:id="152">
    <w:p w14:paraId="5E2E659C" w14:textId="15211D7F" w:rsidR="00921FA3" w:rsidRPr="00DC275E" w:rsidRDefault="00921FA3" w:rsidP="00BB1FD6">
      <w:pPr>
        <w:pStyle w:val="FootnoteText"/>
        <w:rPr>
          <w:lang w:val="pl-PL"/>
        </w:rPr>
      </w:pPr>
      <w:r>
        <w:rPr>
          <w:rStyle w:val="FootnoteReference"/>
        </w:rPr>
        <w:footnoteRef/>
      </w:r>
      <w:r>
        <w:t xml:space="preserve"> S</w:t>
      </w:r>
      <w:r w:rsidRPr="006245A0">
        <w:t>ome minor administrative costs of reporting may be incurred by Member States</w:t>
      </w:r>
      <w:r>
        <w:t xml:space="preserve">, which </w:t>
      </w:r>
      <w:r w:rsidRPr="006245A0">
        <w:t>do not fall under the ‘one-in one-out’ approach</w:t>
      </w:r>
      <w:r>
        <w:t>.</w:t>
      </w:r>
    </w:p>
  </w:footnote>
  <w:footnote w:id="153">
    <w:p w14:paraId="6999368D" w14:textId="77777777" w:rsidR="00921FA3" w:rsidRPr="0010202B" w:rsidRDefault="00921FA3" w:rsidP="00314B12">
      <w:pPr>
        <w:pStyle w:val="FootnoteText"/>
        <w:rPr>
          <w:lang w:val="pl-PL"/>
        </w:rPr>
      </w:pPr>
      <w:r>
        <w:rPr>
          <w:rStyle w:val="FootnoteReference"/>
        </w:rPr>
        <w:footnoteRef/>
      </w:r>
      <w:r>
        <w:t xml:space="preserve"> </w:t>
      </w:r>
      <w:r>
        <w:rPr>
          <w:lang w:val="en-IE"/>
        </w:rPr>
        <w:t>T</w:t>
      </w:r>
      <w:r w:rsidRPr="005656C8">
        <w:rPr>
          <w:lang w:val="en-IE"/>
        </w:rPr>
        <w:t xml:space="preserve">he frequency of </w:t>
      </w:r>
      <w:r>
        <w:rPr>
          <w:lang w:val="en-IE"/>
        </w:rPr>
        <w:t xml:space="preserve">recurrent </w:t>
      </w:r>
      <w:r w:rsidRPr="005656C8">
        <w:rPr>
          <w:lang w:val="en-IE"/>
        </w:rPr>
        <w:t>cost</w:t>
      </w:r>
      <w:r>
        <w:rPr>
          <w:lang w:val="en-IE"/>
        </w:rPr>
        <w:t>s</w:t>
      </w:r>
      <w:r w:rsidRPr="005656C8">
        <w:rPr>
          <w:lang w:val="en-IE"/>
        </w:rPr>
        <w:t xml:space="preserve"> i</w:t>
      </w:r>
      <w:r>
        <w:rPr>
          <w:lang w:val="en-IE"/>
        </w:rPr>
        <w:t>s expected to be extremely low, as they would be incurred only in the event of a</w:t>
      </w:r>
      <w:r w:rsidRPr="005656C8">
        <w:rPr>
          <w:lang w:val="en-IE"/>
        </w:rPr>
        <w:t xml:space="preserve"> cross-border crisis a</w:t>
      </w:r>
      <w:r>
        <w:rPr>
          <w:lang w:val="en-IE"/>
        </w:rPr>
        <w:t>nd if there is a need to use compulsory licensing for crisis management.</w:t>
      </w:r>
    </w:p>
  </w:footnote>
  <w:footnote w:id="154">
    <w:p w14:paraId="42CAACCC" w14:textId="77777777" w:rsidR="00921FA3" w:rsidRPr="00152DA4" w:rsidRDefault="00921FA3" w:rsidP="009E5071">
      <w:pPr>
        <w:pStyle w:val="FootnoteText"/>
      </w:pPr>
      <w:r>
        <w:rPr>
          <w:rStyle w:val="FootnoteReference"/>
        </w:rPr>
        <w:footnoteRef/>
      </w:r>
      <w:r>
        <w:t xml:space="preserve"> </w:t>
      </w:r>
      <w:r w:rsidRPr="005656C8">
        <w:rPr>
          <w:lang w:val="en-IE"/>
        </w:rPr>
        <w:t xml:space="preserve">If </w:t>
      </w:r>
      <w:r>
        <w:rPr>
          <w:lang w:val="en-IE"/>
        </w:rPr>
        <w:t xml:space="preserve">establishing </w:t>
      </w:r>
      <w:r w:rsidRPr="005656C8">
        <w:rPr>
          <w:lang w:val="en-IE"/>
        </w:rPr>
        <w:t>a separate committee</w:t>
      </w:r>
      <w:r>
        <w:rPr>
          <w:lang w:val="en-IE"/>
        </w:rPr>
        <w:t xml:space="preserve"> necessary (otherwise the existing bodies would be used)</w:t>
      </w:r>
      <w:r w:rsidRPr="005656C8">
        <w:rPr>
          <w:lang w:val="en-IE"/>
        </w:rPr>
        <w:t>.</w:t>
      </w:r>
    </w:p>
  </w:footnote>
  <w:footnote w:id="155">
    <w:p w14:paraId="5F447ACC" w14:textId="28024EAD" w:rsidR="00921FA3" w:rsidRDefault="00921FA3" w:rsidP="00BA2FE4">
      <w:pPr>
        <w:pStyle w:val="FootnoteText"/>
        <w:rPr>
          <w:lang w:val="en-IE"/>
        </w:rPr>
      </w:pPr>
      <w:r>
        <w:rPr>
          <w:rStyle w:val="FootnoteReference"/>
        </w:rPr>
        <w:footnoteRef/>
      </w:r>
      <w:r>
        <w:t xml:space="preserve"> </w:t>
      </w:r>
      <w:hyperlink r:id="rId13" w:history="1">
        <w:r>
          <w:rPr>
            <w:rStyle w:val="Hyperlink"/>
          </w:rPr>
          <w:t>https://patentscope.wipo.int/search/en/covid19.jsf</w:t>
        </w:r>
      </w:hyperlink>
      <w:r>
        <w:t xml:space="preserve"> (the new </w:t>
      </w:r>
      <w:r w:rsidRPr="004655C6">
        <w:rPr>
          <w:lang w:val="en-IE"/>
        </w:rPr>
        <w:t>PatentScope</w:t>
      </w:r>
      <w:r>
        <w:t xml:space="preserve"> search facility provides search queries specially curated by patent information experts who have identified technological areas relevant to the detection, prevention and treatment of COVID-19)</w:t>
      </w:r>
    </w:p>
  </w:footnote>
  <w:footnote w:id="156">
    <w:p w14:paraId="6127CEA8" w14:textId="77777777" w:rsidR="00921FA3" w:rsidRPr="00152DA4" w:rsidRDefault="00921FA3" w:rsidP="00BA2FE4">
      <w:pPr>
        <w:pStyle w:val="FootnoteText"/>
      </w:pPr>
      <w:r>
        <w:rPr>
          <w:rStyle w:val="FootnoteReference"/>
        </w:rPr>
        <w:footnoteRef/>
      </w:r>
      <w:r>
        <w:t xml:space="preserve"> </w:t>
      </w:r>
      <w:r>
        <w:rPr>
          <w:lang w:val="en-IE"/>
        </w:rPr>
        <w:t>E</w:t>
      </w:r>
      <w:r w:rsidRPr="00C56918">
        <w:rPr>
          <w:lang w:val="en-IE"/>
        </w:rPr>
        <w:t xml:space="preserve">stablished by the </w:t>
      </w:r>
      <w:r>
        <w:rPr>
          <w:lang w:val="en-IE"/>
        </w:rPr>
        <w:t>Strasbourg Agreement of 1971.</w:t>
      </w:r>
    </w:p>
  </w:footnote>
  <w:footnote w:id="157">
    <w:p w14:paraId="7BE85548" w14:textId="0A25FCE5" w:rsidR="00921FA3" w:rsidRPr="00152DA4" w:rsidRDefault="00921FA3" w:rsidP="00256829">
      <w:pPr>
        <w:pStyle w:val="FootnoteText"/>
        <w:jc w:val="left"/>
      </w:pPr>
      <w:r>
        <w:rPr>
          <w:rStyle w:val="FootnoteReference"/>
        </w:rPr>
        <w:footnoteRef/>
      </w:r>
      <w:r w:rsidRPr="00152DA4">
        <w:t xml:space="preserve"> </w:t>
      </w:r>
      <w:hyperlink r:id="rId14" w:history="1">
        <w:r w:rsidRPr="00152DA4">
          <w:rPr>
            <w:rStyle w:val="Hyperlink"/>
          </w:rPr>
          <w:t>https://ec.europa.eu/eurostat/statistics-explained/index.php?title=Glossary:International_patent_classification_(IPC)</w:t>
        </w:r>
      </w:hyperlink>
    </w:p>
  </w:footnote>
  <w:footnote w:id="158">
    <w:p w14:paraId="1B1CA691" w14:textId="18CB8C10" w:rsidR="00921FA3" w:rsidRPr="00152DA4" w:rsidRDefault="00921FA3" w:rsidP="00BA2FE4">
      <w:pPr>
        <w:pStyle w:val="FootnoteText"/>
      </w:pPr>
      <w:r>
        <w:rPr>
          <w:rStyle w:val="FootnoteReference"/>
        </w:rPr>
        <w:footnoteRef/>
      </w:r>
      <w:r>
        <w:t xml:space="preserve"> Unless supplemented by a text search, which is also an option offered in </w:t>
      </w:r>
      <w:r w:rsidRPr="004655C6">
        <w:rPr>
          <w:lang w:val="en-IE"/>
        </w:rPr>
        <w:t>PatentScope</w:t>
      </w:r>
      <w:r w:rsidRPr="007E1846">
        <w:t xml:space="preserve"> COVID-19 INDEX</w:t>
      </w:r>
      <w:r>
        <w:t>.</w:t>
      </w:r>
    </w:p>
  </w:footnote>
  <w:footnote w:id="159">
    <w:p w14:paraId="352EC272" w14:textId="68D4501E" w:rsidR="00921FA3" w:rsidRDefault="00921FA3" w:rsidP="00BA2FE4">
      <w:pPr>
        <w:pStyle w:val="FootnoteText"/>
        <w:rPr>
          <w:lang w:val="en-IE"/>
        </w:rPr>
      </w:pPr>
      <w:r>
        <w:rPr>
          <w:rStyle w:val="FootnoteReference"/>
        </w:rPr>
        <w:footnoteRef/>
      </w:r>
      <w:r>
        <w:t xml:space="preserve"> PatentSight® is a commercial patent database accessible upon subscription (</w:t>
      </w:r>
      <w:hyperlink r:id="rId15" w:history="1">
        <w:r>
          <w:rPr>
            <w:rStyle w:val="Hyperlink"/>
          </w:rPr>
          <w:t>https://go.patentsight.com/?welcome=1</w:t>
        </w:r>
      </w:hyperlink>
      <w:r>
        <w:t xml:space="preserve"> )</w:t>
      </w:r>
    </w:p>
  </w:footnote>
  <w:footnote w:id="160">
    <w:p w14:paraId="5DE66AFA" w14:textId="77777777" w:rsidR="00921FA3" w:rsidRPr="00152DA4" w:rsidRDefault="00921FA3" w:rsidP="00BA2FE4">
      <w:pPr>
        <w:pStyle w:val="FootnoteText"/>
      </w:pPr>
      <w:r>
        <w:rPr>
          <w:rStyle w:val="FootnoteReference"/>
        </w:rPr>
        <w:footnoteRef/>
      </w:r>
      <w:r>
        <w:t xml:space="preserve"> B</w:t>
      </w:r>
      <w:r w:rsidRPr="008416AE">
        <w:t>ased on the “Active Authorities Today” variable which listed names of countries where the patents were active (i.e. the authorities in which at least one member of the patent family is currently active. This includes both pending applications that are still under prosecution and granted patents that are still in force)</w:t>
      </w:r>
    </w:p>
  </w:footnote>
  <w:footnote w:id="161">
    <w:p w14:paraId="6BA2D14F" w14:textId="77777777" w:rsidR="00921FA3" w:rsidRPr="00152DA4" w:rsidRDefault="00921FA3" w:rsidP="00BA2FE4">
      <w:pPr>
        <w:pStyle w:val="FootnoteText"/>
      </w:pPr>
      <w:r>
        <w:rPr>
          <w:rStyle w:val="FootnoteReference"/>
        </w:rPr>
        <w:footnoteRef/>
      </w:r>
      <w:r>
        <w:t xml:space="preserve"> As explained earlier </w:t>
      </w:r>
      <w:r>
        <w:rPr>
          <w:lang w:val="en-IE"/>
        </w:rPr>
        <w:t>o</w:t>
      </w:r>
      <w:r w:rsidRPr="00CE5CB2">
        <w:rPr>
          <w:lang w:val="en-IE"/>
        </w:rPr>
        <w:t xml:space="preserve">bservations were searched </w:t>
      </w:r>
      <w:r>
        <w:rPr>
          <w:lang w:val="en-IE"/>
        </w:rPr>
        <w:t xml:space="preserve">(filtered) </w:t>
      </w:r>
      <w:r w:rsidRPr="00CE5CB2">
        <w:rPr>
          <w:lang w:val="en-IE"/>
        </w:rPr>
        <w:t>by</w:t>
      </w:r>
      <w:r>
        <w:rPr>
          <w:lang w:val="en-IE"/>
        </w:rPr>
        <w:t xml:space="preserve"> IPC</w:t>
      </w:r>
      <w:r w:rsidRPr="00CE5CB2">
        <w:rPr>
          <w:lang w:val="en-IE"/>
        </w:rPr>
        <w:t xml:space="preserve"> groups and subgroups, but once identified, only their subclass</w:t>
      </w:r>
      <w:r>
        <w:rPr>
          <w:lang w:val="en-IE"/>
        </w:rPr>
        <w:t xml:space="preserve"> IPC codes were exported as</w:t>
      </w:r>
      <w:r w:rsidRPr="00CE5CB2">
        <w:rPr>
          <w:lang w:val="en-IE"/>
        </w:rPr>
        <w:t xml:space="preserve"> this level</w:t>
      </w:r>
      <w:r>
        <w:rPr>
          <w:lang w:val="en-IE"/>
        </w:rPr>
        <w:t xml:space="preserve"> of granularity</w:t>
      </w:r>
      <w:r w:rsidRPr="00CE5CB2">
        <w:rPr>
          <w:lang w:val="en-IE"/>
        </w:rPr>
        <w:t xml:space="preserve"> was judged </w:t>
      </w:r>
      <w:r>
        <w:rPr>
          <w:lang w:val="en-IE"/>
        </w:rPr>
        <w:t>sufficient</w:t>
      </w:r>
      <w:r w:rsidRPr="00CE5CB2">
        <w:rPr>
          <w:lang w:val="en-IE"/>
        </w:rPr>
        <w:t xml:space="preserve"> </w:t>
      </w:r>
      <w:r>
        <w:rPr>
          <w:lang w:val="en-IE"/>
        </w:rPr>
        <w:t>for later descriptive analysis</w:t>
      </w:r>
      <w:r w:rsidRPr="00CE5CB2">
        <w:rPr>
          <w:lang w:val="en-IE"/>
        </w:rPr>
        <w:t>.</w:t>
      </w:r>
      <w:r w:rsidRPr="00152DA4">
        <w:t xml:space="preserve"> </w:t>
      </w:r>
    </w:p>
  </w:footnote>
  <w:footnote w:id="162">
    <w:p w14:paraId="6044B165" w14:textId="148E6C4F" w:rsidR="00921FA3" w:rsidRPr="00152DA4" w:rsidRDefault="00921FA3" w:rsidP="00BA2FE4">
      <w:pPr>
        <w:pStyle w:val="FootnoteText"/>
      </w:pPr>
      <w:r>
        <w:rPr>
          <w:rStyle w:val="FootnoteReference"/>
        </w:rPr>
        <w:footnoteRef/>
      </w:r>
      <w:r>
        <w:t xml:space="preserve"> </w:t>
      </w:r>
      <w:r>
        <w:rPr>
          <w:lang w:val="en-IE"/>
        </w:rPr>
        <w:t xml:space="preserve">OECD, </w:t>
      </w:r>
      <w:r w:rsidRPr="00CD5341">
        <w:rPr>
          <w:i/>
          <w:lang w:val="en-IE"/>
        </w:rPr>
        <w:t>Measuring the technological and economic value of patents</w:t>
      </w:r>
      <w:r>
        <w:rPr>
          <w:i/>
          <w:lang w:val="en-IE"/>
        </w:rPr>
        <w:t>, E</w:t>
      </w:r>
      <w:r w:rsidRPr="00CD5341">
        <w:rPr>
          <w:i/>
          <w:lang w:val="en-IE"/>
        </w:rPr>
        <w:t>NQUIRIES INTO INTELLECTUAL PROPERTY'S ECONOMIC IMPACT © OECD 2015</w:t>
      </w:r>
      <w:r>
        <w:rPr>
          <w:i/>
          <w:lang w:val="en-IE"/>
        </w:rPr>
        <w:t>, p. 92.</w:t>
      </w:r>
    </w:p>
  </w:footnote>
  <w:footnote w:id="163">
    <w:p w14:paraId="49C3A863" w14:textId="427CAEFF" w:rsidR="00921FA3" w:rsidRPr="00F5645E" w:rsidRDefault="00921FA3" w:rsidP="00815724">
      <w:pPr>
        <w:pStyle w:val="FootnoteText"/>
      </w:pPr>
      <w:r>
        <w:rPr>
          <w:rStyle w:val="FootnoteReference"/>
        </w:rPr>
        <w:footnoteRef/>
      </w:r>
      <w:r>
        <w:t xml:space="preserve"> Paris </w:t>
      </w:r>
      <w:hyperlink r:id="rId16" w:history="1">
        <w:r w:rsidRPr="002D6DEF">
          <w:rPr>
            <w:rStyle w:val="Hyperlink"/>
          </w:rPr>
          <w:t>Convention</w:t>
        </w:r>
      </w:hyperlink>
      <w:r>
        <w:t xml:space="preserve"> for the protection of industrial property of March 20, 1883.</w:t>
      </w:r>
    </w:p>
  </w:footnote>
  <w:footnote w:id="164">
    <w:p w14:paraId="721FC583" w14:textId="77777777" w:rsidR="00921FA3" w:rsidRPr="00187092" w:rsidRDefault="00921FA3" w:rsidP="00815724">
      <w:pPr>
        <w:pStyle w:val="FootnoteText"/>
      </w:pPr>
      <w:r>
        <w:rPr>
          <w:rStyle w:val="FootnoteReference"/>
        </w:rPr>
        <w:footnoteRef/>
      </w:r>
      <w:r>
        <w:t xml:space="preserve"> See article 5(2) of the Paris Convention that provides for that “</w:t>
      </w:r>
      <w:r w:rsidRPr="00124C48">
        <w:rPr>
          <w:i/>
        </w:rPr>
        <w:t>Each country of the Union shall have the right to take legislative measures providing for the grant of compulsory licenses to prevent the abuses which might result from the exercise of the exclusive rights conferred by the patent, for example, failure to work</w:t>
      </w:r>
      <w:r>
        <w:t>”. Article 5(3) further provides that forfeiture of the patent shall not be provided for except in cases where the grant of compulsory licenses would not have been sufficient to prevent the said abuses and article 5(4) states that a compulsory license may not be applied for on the ground of failure to work or insufficient working before the expiration of a period of four years from the date of filing of the patent application or three years from the date of the grant of the patent, whichever period expires last.</w:t>
      </w:r>
    </w:p>
  </w:footnote>
  <w:footnote w:id="165">
    <w:p w14:paraId="47E933D7" w14:textId="77777777" w:rsidR="00921FA3" w:rsidRPr="00593D6D" w:rsidRDefault="00921FA3" w:rsidP="00815724">
      <w:pPr>
        <w:pStyle w:val="FootnoteText"/>
      </w:pPr>
      <w:r w:rsidRPr="00593D6D">
        <w:rPr>
          <w:rStyle w:val="FootnoteReference"/>
        </w:rPr>
        <w:footnoteRef/>
      </w:r>
      <w:r w:rsidRPr="00593D6D">
        <w:t xml:space="preserve"> </w:t>
      </w:r>
      <w:r w:rsidRPr="00593D6D">
        <w:rPr>
          <w:rFonts w:eastAsia="Calibri"/>
          <w:lang w:val="en-IE"/>
        </w:rPr>
        <w:t xml:space="preserve">The term “compulsory licence” is found in national patent laws but not in the TRIPS Agreement where article 31 refers to the “use [of </w:t>
      </w:r>
      <w:r>
        <w:rPr>
          <w:rFonts w:eastAsia="Calibri"/>
          <w:lang w:val="en-IE"/>
        </w:rPr>
        <w:t>patent</w:t>
      </w:r>
      <w:r w:rsidRPr="00593D6D">
        <w:rPr>
          <w:rFonts w:eastAsia="Calibri"/>
          <w:lang w:val="en-IE"/>
        </w:rPr>
        <w:t>s] without authorization of the right holder”.</w:t>
      </w:r>
      <w:r>
        <w:rPr>
          <w:rFonts w:eastAsia="Calibri"/>
          <w:lang w:val="en-IE"/>
        </w:rPr>
        <w:t xml:space="preserve"> </w:t>
      </w:r>
    </w:p>
  </w:footnote>
  <w:footnote w:id="166">
    <w:p w14:paraId="5876A5AE" w14:textId="6DA0878A" w:rsidR="00921FA3" w:rsidRPr="003716FC" w:rsidRDefault="00921FA3" w:rsidP="00815724">
      <w:pPr>
        <w:pStyle w:val="FootnoteText"/>
      </w:pPr>
      <w:r w:rsidRPr="00593D6D">
        <w:rPr>
          <w:rStyle w:val="FootnoteReference"/>
        </w:rPr>
        <w:footnoteRef/>
      </w:r>
      <w:r w:rsidRPr="00593D6D">
        <w:t xml:space="preserve"> </w:t>
      </w:r>
      <w:r>
        <w:t xml:space="preserve">The </w:t>
      </w:r>
      <w:hyperlink r:id="rId17" w:history="1">
        <w:r w:rsidRPr="003663DE">
          <w:rPr>
            <w:rStyle w:val="Hyperlink"/>
          </w:rPr>
          <w:t>Doha Declaration</w:t>
        </w:r>
      </w:hyperlink>
      <w:r>
        <w:t xml:space="preserve"> states in that respect that: “Each Member has the right to grant compulsory licences and the freedom to determine the grounds upon which such licences are granted.” Article 31 lists some possible grounds (national emergency or extreme urgency, public non-commercial use, remedy to anti-competitive practices, dependency of patents) that are often included in national legislations (see in that respect the EPO study on Compulsory licensing in Europe, 2018). The only limitation as regards grounds concern semi-conductors where article 31 TRIPS provides that compulsory licensing in such case shall only be for public non-commercial use or to remedy a practice determined after judicial or administrative process to be anti-competitive.</w:t>
      </w:r>
    </w:p>
  </w:footnote>
  <w:footnote w:id="167">
    <w:p w14:paraId="5ABEF799" w14:textId="085CCB9A" w:rsidR="00921FA3" w:rsidRPr="008135FE" w:rsidRDefault="00921FA3" w:rsidP="00815724">
      <w:pPr>
        <w:pStyle w:val="FootnoteText"/>
      </w:pPr>
      <w:r>
        <w:rPr>
          <w:rStyle w:val="FootnoteReference"/>
        </w:rPr>
        <w:footnoteRef/>
      </w:r>
      <w:r>
        <w:t xml:space="preserve"> </w:t>
      </w:r>
      <w:r w:rsidRPr="002B690A">
        <w:t xml:space="preserve">Regulation </w:t>
      </w:r>
      <w:r>
        <w:t>(EC) No 816/2006 of the European Parliament and of the Council of 17 May 2006 on compulsory licensing of patents relating to the manufacture of pharmaceutical products for export to countries with public health problems.</w:t>
      </w:r>
    </w:p>
  </w:footnote>
  <w:footnote w:id="168">
    <w:p w14:paraId="6B2D9E4B" w14:textId="77777777" w:rsidR="00921FA3" w:rsidRPr="00B25621" w:rsidRDefault="00921FA3" w:rsidP="00815724">
      <w:pPr>
        <w:pStyle w:val="FootnoteText"/>
      </w:pPr>
      <w:r>
        <w:rPr>
          <w:rStyle w:val="FootnoteReference"/>
        </w:rPr>
        <w:footnoteRef/>
      </w:r>
      <w:r>
        <w:t xml:space="preserve"> Recital 10 of Regulation EU No 1257/2012 of 17 December 2012 implementing enhanced cooperation in the area of the creation of unitary patent protection provides that: “compulsory licences for European patents with unitary effect should be governed by the laws of the participating Member States as regards their respective territories.”</w:t>
      </w:r>
    </w:p>
  </w:footnote>
  <w:footnote w:id="169">
    <w:p w14:paraId="501E8ACC" w14:textId="14E2E6C4" w:rsidR="00921FA3" w:rsidRPr="00B55D7C" w:rsidRDefault="00921FA3" w:rsidP="00815724">
      <w:pPr>
        <w:pStyle w:val="FootnoteText"/>
      </w:pPr>
      <w:r>
        <w:rPr>
          <w:rStyle w:val="FootnoteReference"/>
        </w:rPr>
        <w:footnoteRef/>
      </w:r>
      <w:r>
        <w:t xml:space="preserve"> Article 19 of Regulation (EC) No 816/2006 provides that “Three years after the entry into force of this Regulation, and every three years thereafter, the Commission shall present a report to the European Parliament, the Council, and the European Economic and Social Committee on the operation of this Regulation including any appropriate plans for amendments. The report shall cover, in particular: (a) the application of Article 10(9) on determining the remuneration of the rights-holder; (b) the application of the simplified and accelerated procedure referred to in Article 16(4); (c) the sufficiency of the requirements under Article 10(5) to prevent trade diversion, and (d) the contribution this Regulation has made to the implementation of the system established by the Decision.”</w:t>
      </w:r>
    </w:p>
  </w:footnote>
  <w:footnote w:id="170">
    <w:p w14:paraId="3EBF8F26" w14:textId="77777777" w:rsidR="00921FA3" w:rsidRPr="001D3612" w:rsidRDefault="00921FA3" w:rsidP="00815724">
      <w:pPr>
        <w:pStyle w:val="FootnoteText"/>
      </w:pPr>
      <w:r>
        <w:rPr>
          <w:rStyle w:val="FootnoteReference"/>
        </w:rPr>
        <w:footnoteRef/>
      </w:r>
      <w:r>
        <w:t xml:space="preserve"> Regulation No 2100/94 of 27 July 1994 on Community plant variety right.</w:t>
      </w:r>
    </w:p>
  </w:footnote>
  <w:footnote w:id="171">
    <w:p w14:paraId="55E372E1" w14:textId="77777777" w:rsidR="00921FA3" w:rsidRPr="001D3612" w:rsidRDefault="00921FA3" w:rsidP="00815724">
      <w:pPr>
        <w:pStyle w:val="FootnoteText"/>
      </w:pPr>
      <w:r>
        <w:rPr>
          <w:rStyle w:val="FootnoteReference"/>
        </w:rPr>
        <w:footnoteRef/>
      </w:r>
      <w:r>
        <w:t xml:space="preserve"> Article 29 of the Plant Variety Regulation.</w:t>
      </w:r>
    </w:p>
  </w:footnote>
  <w:footnote w:id="172">
    <w:p w14:paraId="11BB05EC" w14:textId="77777777" w:rsidR="00921FA3" w:rsidRPr="001D3612" w:rsidRDefault="00921FA3" w:rsidP="00815724">
      <w:pPr>
        <w:pStyle w:val="FootnoteText"/>
      </w:pPr>
      <w:r>
        <w:rPr>
          <w:rStyle w:val="FootnoteReference"/>
        </w:rPr>
        <w:footnoteRef/>
      </w:r>
      <w:r>
        <w:t xml:space="preserve"> Article 12 of Directive 98/44/EC of 6 July 1998 on the legal protection of biotechnological inventions.</w:t>
      </w:r>
    </w:p>
  </w:footnote>
  <w:footnote w:id="173">
    <w:p w14:paraId="4EDEDC97" w14:textId="77777777" w:rsidR="00921FA3" w:rsidRPr="007F07BC" w:rsidRDefault="00921FA3" w:rsidP="00815724">
      <w:pPr>
        <w:pStyle w:val="FootnoteText"/>
      </w:pPr>
      <w:r>
        <w:rPr>
          <w:rStyle w:val="FootnoteReference"/>
        </w:rPr>
        <w:footnoteRef/>
      </w:r>
      <w:r>
        <w:t xml:space="preserve"> </w:t>
      </w:r>
      <w:r w:rsidRPr="00D0351D">
        <w:t>Article 31 of the TRIPS Agreement</w:t>
      </w:r>
      <w:r>
        <w:t xml:space="preserve"> requires that </w:t>
      </w:r>
      <w:r w:rsidRPr="00D0351D">
        <w:t>efforts</w:t>
      </w:r>
      <w:r>
        <w:t xml:space="preserve"> must be made </w:t>
      </w:r>
      <w:r w:rsidRPr="00D0351D">
        <w:t xml:space="preserve">to obtain authorisation from the right holder on reasonable terms and conditions and that such efforts proved unsuccessful. However, </w:t>
      </w:r>
      <w:r>
        <w:t xml:space="preserve">there are no specific rules on what those terms and conditions are or what type and length of efforts are required. Also, </w:t>
      </w:r>
      <w:r w:rsidRPr="00D0351D">
        <w:t>this requirement can be waived in “the case of a national emergency or other circumstances of extreme urgency or in cases of public non-commercial use”.</w:t>
      </w:r>
    </w:p>
  </w:footnote>
  <w:footnote w:id="174">
    <w:p w14:paraId="4A0F9DAF" w14:textId="1A822B17" w:rsidR="00921FA3" w:rsidRPr="00943351" w:rsidRDefault="00921FA3" w:rsidP="00DB57A8">
      <w:pPr>
        <w:pStyle w:val="FootnoteText"/>
        <w:rPr>
          <w:lang w:val="en-IE"/>
        </w:rPr>
      </w:pPr>
      <w:r>
        <w:rPr>
          <w:rStyle w:val="FootnoteReference"/>
        </w:rPr>
        <w:footnoteRef/>
      </w:r>
      <w:r w:rsidRPr="00943351">
        <w:rPr>
          <w:lang w:val="en-IE"/>
        </w:rPr>
        <w:t xml:space="preserve"> </w:t>
      </w:r>
      <w:r w:rsidRPr="00560640">
        <w:rPr>
          <w:lang w:val="en-IE"/>
        </w:rPr>
        <w:t>The Doha Declaration states in that respect that “Each Member has the right to determine what constitutes a national emergency or other circumstances of extreme urgency, it being understood that public health crises, including those relating to HIV/AIDS, tuberculosis, malaria and other national emergency or other circumstances of extreme urgency”.</w:t>
      </w:r>
    </w:p>
  </w:footnote>
  <w:footnote w:id="175">
    <w:p w14:paraId="70F3816E" w14:textId="77777777" w:rsidR="00921FA3" w:rsidRPr="00394B20" w:rsidRDefault="00921FA3" w:rsidP="00FB2C86">
      <w:pPr>
        <w:pStyle w:val="FootnoteText"/>
      </w:pPr>
      <w:r>
        <w:rPr>
          <w:rStyle w:val="FootnoteReference"/>
        </w:rPr>
        <w:footnoteRef/>
      </w:r>
      <w:r>
        <w:t xml:space="preserve"> Before the TRIPS Agreement, Low and Medium Income Countries (LMCIs) were able to obtain medicines manufactured in countries where patent rights were not recognised. The TRIPS Agreement put a stop to such practices as WTO members were under the obligation to grant and respect patent rights and only allow compulsory licensing predominantly for the supply of their domestic market.</w:t>
      </w:r>
    </w:p>
  </w:footnote>
  <w:footnote w:id="176">
    <w:p w14:paraId="23518EBD" w14:textId="77777777" w:rsidR="00921FA3" w:rsidRPr="00401FC1" w:rsidRDefault="00921FA3" w:rsidP="00AD110C">
      <w:pPr>
        <w:pStyle w:val="FootnoteText"/>
      </w:pPr>
      <w:r w:rsidRPr="0036148E">
        <w:rPr>
          <w:rStyle w:val="FootnoteReference"/>
        </w:rPr>
        <w:footnoteRef/>
      </w:r>
      <w:r w:rsidRPr="0036148E">
        <w:t xml:space="preserve"> </w:t>
      </w:r>
      <w:r w:rsidRPr="0036148E">
        <w:rPr>
          <w:color w:val="000000"/>
          <w:shd w:val="clear" w:color="auto" w:fill="FFFFFF"/>
        </w:rPr>
        <w:t>Active ingredients necessary for its manufacture and diagnostic kits needed for its use are explicitly included. Vaccines are not explicitly mentioned but it is usually considered that they are covered.</w:t>
      </w:r>
    </w:p>
  </w:footnote>
  <w:footnote w:id="177">
    <w:p w14:paraId="0ADDA43B" w14:textId="77777777" w:rsidR="00921FA3" w:rsidRPr="00EB749E" w:rsidRDefault="00921FA3" w:rsidP="00AD110C">
      <w:pPr>
        <w:pStyle w:val="FootnoteText"/>
      </w:pPr>
      <w:r w:rsidRPr="00EB749E">
        <w:rPr>
          <w:rStyle w:val="FootnoteReference"/>
        </w:rPr>
        <w:footnoteRef/>
      </w:r>
      <w:r w:rsidRPr="00EB749E">
        <w:t xml:space="preserve"> Members can decide to use the system as importers </w:t>
      </w:r>
      <w:r w:rsidRPr="00EB749E">
        <w:rPr>
          <w:color w:val="000000"/>
          <w:shd w:val="clear" w:color="auto" w:fill="FFFFFF"/>
        </w:rPr>
        <w:t>in a limited way, for example only in the case of a national emergency or other circumstances of extreme urgency or in cases of public non-commercial use.  This was for instance the case of some EU countries (e.g. Czech Republic, Cyprus, Estonia, Lithuania, etc.) before their accession to the European Union.</w:t>
      </w:r>
      <w:r>
        <w:rPr>
          <w:color w:val="000000"/>
          <w:shd w:val="clear" w:color="auto" w:fill="FFFFFF"/>
        </w:rPr>
        <w:t xml:space="preserve"> This is still the case for non EU countries such as China, Israel, Mexico, Türkiye.</w:t>
      </w:r>
    </w:p>
  </w:footnote>
  <w:footnote w:id="178">
    <w:p w14:paraId="73F22E6B" w14:textId="77777777" w:rsidR="00921FA3" w:rsidRPr="000B7CEF" w:rsidRDefault="00921FA3" w:rsidP="00AD110C">
      <w:pPr>
        <w:pStyle w:val="FootnoteText"/>
      </w:pPr>
      <w:r>
        <w:rPr>
          <w:rStyle w:val="FootnoteReference"/>
        </w:rPr>
        <w:footnoteRef/>
      </w:r>
      <w:r>
        <w:t xml:space="preserve"> Unless the importing country is a least developed country.</w:t>
      </w:r>
    </w:p>
  </w:footnote>
  <w:footnote w:id="179">
    <w:p w14:paraId="3C4C41E0" w14:textId="77777777" w:rsidR="00921FA3" w:rsidRPr="00D51997" w:rsidRDefault="00921FA3" w:rsidP="004E14EF">
      <w:pPr>
        <w:pStyle w:val="FootnoteText"/>
      </w:pPr>
      <w:r>
        <w:rPr>
          <w:rStyle w:val="FootnoteReference"/>
        </w:rPr>
        <w:footnoteRef/>
      </w:r>
      <w:r>
        <w:t xml:space="preserve"> Compulsory licensing of patents and supplementary protection certificates.</w:t>
      </w:r>
    </w:p>
  </w:footnote>
  <w:footnote w:id="180">
    <w:p w14:paraId="5487F9FA" w14:textId="77777777" w:rsidR="00921FA3" w:rsidRPr="0081282B" w:rsidRDefault="00921FA3" w:rsidP="004E14EF">
      <w:pPr>
        <w:pStyle w:val="FootnoteText"/>
      </w:pPr>
      <w:r>
        <w:rPr>
          <w:rStyle w:val="FootnoteReference"/>
        </w:rPr>
        <w:footnoteRef/>
      </w:r>
      <w:r>
        <w:t xml:space="preserve"> Pharmaceutical products are defined as any product of the pharmaceutical sector, including medicinal products as defined in Article 1(2) of Directive 2001/83/EC.</w:t>
      </w:r>
    </w:p>
  </w:footnote>
  <w:footnote w:id="181">
    <w:p w14:paraId="7F8DD038" w14:textId="6699EDB7" w:rsidR="00921FA3" w:rsidRPr="00B41319" w:rsidRDefault="00921FA3" w:rsidP="004E14EF">
      <w:pPr>
        <w:pStyle w:val="FootnoteText"/>
      </w:pPr>
      <w:r>
        <w:rPr>
          <w:rStyle w:val="FootnoteReference"/>
        </w:rPr>
        <w:footnoteRef/>
      </w:r>
      <w:r>
        <w:t xml:space="preserve"> Article 6(3) of Regulation (EC) No 816/2006 provides the elements to be included in the application (such as the name and contact details of the applicant, the non-proprietary name of the pharmaceutical product, the amount needed, where applicable, evidence of prior negotiation).</w:t>
      </w:r>
    </w:p>
  </w:footnote>
  <w:footnote w:id="182">
    <w:p w14:paraId="7E7A03D4" w14:textId="36FBADDA" w:rsidR="00921FA3" w:rsidRPr="00BC4D89" w:rsidRDefault="00921FA3" w:rsidP="004E14EF">
      <w:pPr>
        <w:pStyle w:val="FootnoteText"/>
      </w:pPr>
      <w:r>
        <w:rPr>
          <w:rStyle w:val="FootnoteReference"/>
        </w:rPr>
        <w:footnoteRef/>
      </w:r>
      <w:r>
        <w:t xml:space="preserve"> Member States need to notify the Commission of the designated competent authority to grant compulsory licences under Regulation (EC) No 816/2006.</w:t>
      </w:r>
    </w:p>
  </w:footnote>
  <w:footnote w:id="183">
    <w:p w14:paraId="29F1D63A" w14:textId="77777777" w:rsidR="00921FA3" w:rsidRPr="00B14BF7" w:rsidRDefault="00921FA3" w:rsidP="004E14EF">
      <w:pPr>
        <w:pStyle w:val="FootnoteText"/>
      </w:pPr>
      <w:r>
        <w:rPr>
          <w:rStyle w:val="FootnoteReference"/>
        </w:rPr>
        <w:footnoteRef/>
      </w:r>
      <w:r>
        <w:t xml:space="preserve"> Article 13 of the Regulation provides for the prohibition of importation on the territory of the EU.</w:t>
      </w:r>
    </w:p>
  </w:footnote>
  <w:footnote w:id="184">
    <w:p w14:paraId="3C8D8A2D" w14:textId="5AC23E13" w:rsidR="00921FA3" w:rsidRPr="00CF2E86" w:rsidRDefault="00921FA3" w:rsidP="004A2832">
      <w:pPr>
        <w:pStyle w:val="FootnoteText"/>
        <w:contextualSpacing/>
        <w:mirrorIndents/>
        <w:rPr>
          <w:rFonts w:cstheme="minorHAnsi"/>
          <w:sz w:val="18"/>
          <w:szCs w:val="18"/>
        </w:rPr>
      </w:pPr>
      <w:r w:rsidRPr="00CF2E86">
        <w:rPr>
          <w:rStyle w:val="FootnoteReference"/>
          <w:rFonts w:cstheme="minorHAnsi"/>
          <w:sz w:val="18"/>
          <w:szCs w:val="18"/>
        </w:rPr>
        <w:footnoteRef/>
      </w:r>
      <w:r w:rsidRPr="00CF2E86">
        <w:rPr>
          <w:rFonts w:cstheme="minorHAnsi"/>
          <w:sz w:val="18"/>
          <w:szCs w:val="18"/>
        </w:rPr>
        <w:t xml:space="preserve"> Médecins Sans Frontières, “Neither expedious, nor a solution: The WTO August 30th decision is unworkable”, Issue Brief, 29 August 2006 : </w:t>
      </w:r>
      <w:hyperlink r:id="rId18" w:history="1">
        <w:r w:rsidRPr="00CF2E86">
          <w:rPr>
            <w:rStyle w:val="Hyperlink"/>
            <w:rFonts w:cstheme="minorHAnsi"/>
            <w:sz w:val="18"/>
            <w:szCs w:val="18"/>
          </w:rPr>
          <w:t>https://msfaccess.org/neither-expeditious-nor-solution-wto-august-30th-decision-unworkable</w:t>
        </w:r>
      </w:hyperlink>
      <w:r w:rsidRPr="00CF2E86">
        <w:rPr>
          <w:rFonts w:cstheme="minorHAnsi"/>
          <w:sz w:val="18"/>
          <w:szCs w:val="18"/>
        </w:rPr>
        <w:t xml:space="preserve"> </w:t>
      </w:r>
    </w:p>
  </w:footnote>
  <w:footnote w:id="185">
    <w:p w14:paraId="1CFAC581" w14:textId="157CD3CC" w:rsidR="00921FA3" w:rsidRPr="00CF2E86" w:rsidRDefault="00921FA3" w:rsidP="004A2832">
      <w:pPr>
        <w:pStyle w:val="FootnoteText"/>
        <w:contextualSpacing/>
        <w:mirrorIndents/>
        <w:rPr>
          <w:rFonts w:cstheme="minorHAnsi"/>
          <w:sz w:val="18"/>
          <w:szCs w:val="18"/>
        </w:rPr>
      </w:pPr>
      <w:r w:rsidRPr="00CF2E86">
        <w:rPr>
          <w:rStyle w:val="FootnoteReference"/>
          <w:rFonts w:cstheme="minorHAnsi"/>
          <w:sz w:val="18"/>
          <w:szCs w:val="18"/>
        </w:rPr>
        <w:footnoteRef/>
      </w:r>
      <w:r w:rsidRPr="00CF2E86">
        <w:rPr>
          <w:rFonts w:cstheme="minorHAnsi"/>
          <w:sz w:val="18"/>
          <w:szCs w:val="18"/>
        </w:rPr>
        <w:t xml:space="preserve"> Rwanda’s notification to the WTO Council for TRIPS, 19 July 2007, </w:t>
      </w:r>
      <w:hyperlink r:id="rId19" w:history="1">
        <w:r w:rsidRPr="00CF2E86">
          <w:rPr>
            <w:rStyle w:val="Hyperlink"/>
            <w:rFonts w:cstheme="minorHAnsi"/>
            <w:sz w:val="18"/>
            <w:szCs w:val="18"/>
          </w:rPr>
          <w:t>https://docs.wto.org/dol2fe/Pages/FE_Search/FE_S_S009-DP.aspx?language=E&amp;CatalogueIdList=67527&amp;CurrentCatalogueIdIndex=0&amp;FullTextSearch</w:t>
        </w:r>
      </w:hyperlink>
      <w:r w:rsidRPr="00CF2E86">
        <w:rPr>
          <w:rFonts w:cstheme="minorHAnsi"/>
          <w:sz w:val="18"/>
          <w:szCs w:val="18"/>
        </w:rPr>
        <w:t xml:space="preserve">= </w:t>
      </w:r>
    </w:p>
    <w:p w14:paraId="5B77A194" w14:textId="70D5F26D" w:rsidR="00921FA3" w:rsidRPr="00CF2E86" w:rsidRDefault="00921FA3" w:rsidP="004A2832">
      <w:pPr>
        <w:pStyle w:val="FootnoteText"/>
        <w:contextualSpacing/>
        <w:mirrorIndents/>
        <w:rPr>
          <w:rFonts w:cstheme="minorHAnsi"/>
          <w:sz w:val="18"/>
          <w:szCs w:val="18"/>
        </w:rPr>
      </w:pPr>
      <w:r w:rsidRPr="00CF2E86">
        <w:rPr>
          <w:rFonts w:cstheme="minorHAnsi"/>
          <w:sz w:val="18"/>
          <w:szCs w:val="18"/>
        </w:rPr>
        <w:t xml:space="preserve">- Canada’s notification to the WTO Council of grant of a CL for export  under the 30 August 2003 decision, 4 October 2007: </w:t>
      </w:r>
      <w:hyperlink r:id="rId20" w:history="1">
        <w:r w:rsidRPr="00CF2E86">
          <w:rPr>
            <w:rStyle w:val="Hyperlink"/>
            <w:rFonts w:cstheme="minorHAnsi"/>
            <w:sz w:val="18"/>
            <w:szCs w:val="18"/>
          </w:rPr>
          <w:t>https://www.wto.org/english/news_e/news07_e/trips_health_notif_oct07_e.htm</w:t>
        </w:r>
      </w:hyperlink>
      <w:r w:rsidRPr="00CF2E86">
        <w:rPr>
          <w:rFonts w:cstheme="minorHAnsi"/>
          <w:sz w:val="18"/>
          <w:szCs w:val="18"/>
        </w:rPr>
        <w:t xml:space="preserve"> </w:t>
      </w:r>
    </w:p>
  </w:footnote>
  <w:footnote w:id="186">
    <w:p w14:paraId="730B03C1" w14:textId="59637BE0" w:rsidR="00921FA3" w:rsidRPr="004321C2" w:rsidRDefault="00921FA3" w:rsidP="00CF1B7B">
      <w:pPr>
        <w:pStyle w:val="FootnoteText"/>
        <w:contextualSpacing/>
        <w:mirrorIndents/>
        <w:rPr>
          <w:rFonts w:cstheme="minorHAnsi"/>
        </w:rPr>
      </w:pPr>
      <w:r w:rsidRPr="004321C2">
        <w:rPr>
          <w:rStyle w:val="FootnoteReference"/>
          <w:rFonts w:cstheme="minorHAnsi"/>
        </w:rPr>
        <w:footnoteRef/>
      </w:r>
      <w:r w:rsidRPr="004321C2">
        <w:rPr>
          <w:rFonts w:cstheme="minorHAnsi"/>
        </w:rPr>
        <w:t xml:space="preserve"> K. Lybecker and E. Fowler, “Compulsory Licensing in Canada and Thailand: Comparing Regimes to Ensure Legitimate Use of the WTO Rules”, Journal of Law, Medicine &amp; Ethics, Vol. 37, Issue 2, Summer 2009, pp. 222-239</w:t>
      </w:r>
      <w:r>
        <w:rPr>
          <w:rFonts w:cstheme="minorHAnsi"/>
        </w:rPr>
        <w:t>.</w:t>
      </w:r>
      <w:r w:rsidRPr="004321C2">
        <w:rPr>
          <w:rFonts w:cstheme="minorHAnsi"/>
        </w:rPr>
        <w:t xml:space="preserve"> </w:t>
      </w:r>
    </w:p>
  </w:footnote>
  <w:footnote w:id="187">
    <w:p w14:paraId="089BEA38" w14:textId="5308D915" w:rsidR="00921FA3" w:rsidRPr="004321C2" w:rsidRDefault="00921FA3" w:rsidP="00CF1B7B">
      <w:pPr>
        <w:pStyle w:val="FootnoteText"/>
        <w:contextualSpacing/>
        <w:mirrorIndents/>
        <w:rPr>
          <w:rFonts w:cstheme="minorHAnsi"/>
        </w:rPr>
      </w:pPr>
      <w:r w:rsidRPr="004321C2">
        <w:rPr>
          <w:rStyle w:val="FootnoteReference"/>
          <w:rFonts w:cstheme="minorHAnsi"/>
        </w:rPr>
        <w:footnoteRef/>
      </w:r>
      <w:r w:rsidRPr="004321C2">
        <w:rPr>
          <w:rFonts w:cstheme="minorHAnsi"/>
        </w:rPr>
        <w:t xml:space="preserve"> Apotex Corp. Press Release after receiving final tender approval from Rwanda for Vital HIV drugs, 7 May 2008, </w:t>
      </w:r>
      <w:hyperlink r:id="rId21" w:history="1">
        <w:r w:rsidRPr="004321C2">
          <w:rPr>
            <w:rStyle w:val="Hyperlink"/>
            <w:rFonts w:cstheme="minorHAnsi"/>
          </w:rPr>
          <w:t>https://www.biospace.com/article/releases/apotex-corp-receives-final-tender-approval-from-rwanda-for-vital-aids-drug-/</w:t>
        </w:r>
      </w:hyperlink>
      <w:r w:rsidRPr="004321C2">
        <w:rPr>
          <w:rFonts w:cstheme="minorHAnsi"/>
        </w:rPr>
        <w:t xml:space="preserve"> </w:t>
      </w:r>
    </w:p>
  </w:footnote>
  <w:footnote w:id="188">
    <w:p w14:paraId="6075176C" w14:textId="22F5473B" w:rsidR="00921FA3" w:rsidRPr="004321C2" w:rsidRDefault="00921FA3" w:rsidP="00CF1B7B">
      <w:pPr>
        <w:pStyle w:val="FootnoteText"/>
        <w:contextualSpacing/>
        <w:mirrorIndents/>
        <w:rPr>
          <w:rFonts w:cstheme="minorHAnsi"/>
          <w:i/>
          <w:lang w:val="fr-BE"/>
        </w:rPr>
      </w:pPr>
      <w:r w:rsidRPr="004321C2">
        <w:rPr>
          <w:rStyle w:val="FootnoteReference"/>
          <w:rFonts w:cstheme="minorHAnsi"/>
        </w:rPr>
        <w:footnoteRef/>
      </w:r>
      <w:r w:rsidRPr="004321C2">
        <w:rPr>
          <w:rFonts w:cstheme="minorHAnsi"/>
          <w:lang w:val="fr-BE"/>
        </w:rPr>
        <w:t xml:space="preserve"> Médecins Sans Frontières, </w:t>
      </w:r>
      <w:r w:rsidRPr="004321C2">
        <w:rPr>
          <w:rFonts w:cstheme="minorHAnsi"/>
          <w:i/>
          <w:lang w:val="fr-BE"/>
        </w:rPr>
        <w:t>idem, supra 130</w:t>
      </w:r>
      <w:r>
        <w:rPr>
          <w:rFonts w:cstheme="minorHAnsi"/>
          <w:i/>
          <w:lang w:val="fr-BE"/>
        </w:rPr>
        <w:t>.</w:t>
      </w:r>
    </w:p>
  </w:footnote>
  <w:footnote w:id="189">
    <w:p w14:paraId="4C2E70DC" w14:textId="18683238" w:rsidR="00921FA3" w:rsidRPr="00152DA4" w:rsidRDefault="00921FA3">
      <w:pPr>
        <w:pStyle w:val="FootnoteText"/>
      </w:pPr>
      <w:r>
        <w:rPr>
          <w:rStyle w:val="FootnoteReference"/>
        </w:rPr>
        <w:footnoteRef/>
      </w:r>
      <w:r>
        <w:t xml:space="preserve"> </w:t>
      </w:r>
      <w:r w:rsidRPr="00560640">
        <w:t>T.Talaga, ”Hope for cheap HIV drugs dims”, Toronto Star, 19 September 2009, available at: https://www.thestar.com/life/health_wellness/2009/09/19/hope_for_cheap_hiv_drugs_dims.html.</w:t>
      </w:r>
    </w:p>
  </w:footnote>
  <w:footnote w:id="190">
    <w:p w14:paraId="1AB6A042" w14:textId="4B63E9B0" w:rsidR="00921FA3" w:rsidRPr="00CF2E86" w:rsidRDefault="00921FA3" w:rsidP="00CF1B7B">
      <w:pPr>
        <w:pStyle w:val="FootnoteText"/>
        <w:contextualSpacing/>
        <w:mirrorIndents/>
        <w:rPr>
          <w:rFonts w:cstheme="minorHAnsi"/>
          <w:sz w:val="18"/>
          <w:szCs w:val="18"/>
        </w:rPr>
      </w:pPr>
      <w:r w:rsidRPr="00CF2E86">
        <w:rPr>
          <w:rStyle w:val="FootnoteReference"/>
          <w:rFonts w:cstheme="minorHAnsi"/>
          <w:sz w:val="18"/>
          <w:szCs w:val="18"/>
        </w:rPr>
        <w:footnoteRef/>
      </w:r>
      <w:r w:rsidRPr="00CF2E86">
        <w:rPr>
          <w:rFonts w:cstheme="minorHAnsi"/>
          <w:sz w:val="18"/>
          <w:szCs w:val="18"/>
        </w:rPr>
        <w:t xml:space="preserve"> Health Canada evaluation reports: </w:t>
      </w:r>
      <w:hyperlink r:id="rId22" w:history="1">
        <w:r w:rsidRPr="00CF2E86">
          <w:rPr>
            <w:rStyle w:val="Hyperlink"/>
            <w:rFonts w:cstheme="minorHAnsi"/>
            <w:sz w:val="18"/>
            <w:szCs w:val="18"/>
          </w:rPr>
          <w:t>https://www.canada.ca/en/health-canada/corporate/transparency/corporate-management-reporting/evaluation.html</w:t>
        </w:r>
      </w:hyperlink>
      <w:r w:rsidRPr="00CF2E86">
        <w:rPr>
          <w:rFonts w:cstheme="minorHAnsi"/>
          <w:sz w:val="18"/>
          <w:szCs w:val="18"/>
        </w:rPr>
        <w:t xml:space="preserve"> </w:t>
      </w:r>
    </w:p>
  </w:footnote>
  <w:footnote w:id="191">
    <w:p w14:paraId="6B2EC636" w14:textId="76CDAC9D" w:rsidR="00921FA3" w:rsidRPr="00CF2E86" w:rsidRDefault="00921FA3" w:rsidP="00CF1B7B">
      <w:pPr>
        <w:pStyle w:val="FootnoteText"/>
        <w:contextualSpacing/>
        <w:mirrorIndents/>
        <w:rPr>
          <w:rFonts w:cstheme="minorHAnsi"/>
          <w:sz w:val="18"/>
          <w:szCs w:val="18"/>
        </w:rPr>
      </w:pPr>
      <w:r w:rsidRPr="00CF2E86">
        <w:rPr>
          <w:rStyle w:val="FootnoteReference"/>
          <w:rFonts w:cstheme="minorHAnsi"/>
          <w:sz w:val="18"/>
          <w:szCs w:val="18"/>
        </w:rPr>
        <w:footnoteRef/>
      </w:r>
      <w:r w:rsidRPr="00CF2E86">
        <w:rPr>
          <w:rFonts w:cstheme="minorHAnsi"/>
          <w:sz w:val="18"/>
          <w:szCs w:val="18"/>
        </w:rPr>
        <w:t xml:space="preserve"> “Promoting Access to Medical Technologies and Innovation - Second Edition - Intersections between public health, intellectual property and trade”, 29 July 2020: </w:t>
      </w:r>
      <w:hyperlink r:id="rId23" w:history="1">
        <w:r w:rsidRPr="00CF2E86">
          <w:rPr>
            <w:rStyle w:val="Hyperlink"/>
            <w:rFonts w:cstheme="minorHAnsi"/>
            <w:sz w:val="18"/>
            <w:szCs w:val="18"/>
          </w:rPr>
          <w:t>https://www.wto.org/english/res_e/publications_e/who-wipo-wto_2020_e.htm</w:t>
        </w:r>
      </w:hyperlink>
      <w:r w:rsidRPr="00CF2E86">
        <w:rPr>
          <w:rFonts w:cstheme="minorHAnsi"/>
          <w:sz w:val="18"/>
          <w:szCs w:val="18"/>
        </w:rPr>
        <w:t xml:space="preserve"> </w:t>
      </w:r>
    </w:p>
  </w:footnote>
  <w:footnote w:id="192">
    <w:p w14:paraId="329613FD" w14:textId="307324BB" w:rsidR="00921FA3" w:rsidRDefault="00921FA3" w:rsidP="00C91993">
      <w:pPr>
        <w:pStyle w:val="FootnoteText"/>
      </w:pPr>
      <w:r>
        <w:rPr>
          <w:rStyle w:val="FootnoteReference"/>
        </w:rPr>
        <w:footnoteRef/>
      </w:r>
      <w:r>
        <w:t xml:space="preserve"> EPO(2018), p. 30.</w:t>
      </w:r>
    </w:p>
  </w:footnote>
  <w:footnote w:id="193">
    <w:p w14:paraId="4289A2F5" w14:textId="2BEFC454" w:rsidR="00921FA3" w:rsidRDefault="00921FA3" w:rsidP="00C91993">
      <w:pPr>
        <w:pStyle w:val="FootnoteText"/>
      </w:pPr>
      <w:r>
        <w:rPr>
          <w:rStyle w:val="FootnoteReference"/>
        </w:rPr>
        <w:footnoteRef/>
      </w:r>
      <w:r>
        <w:t xml:space="preserve"> EPO(2018), p. 75.</w:t>
      </w:r>
    </w:p>
  </w:footnote>
  <w:footnote w:id="194">
    <w:p w14:paraId="353D66DF" w14:textId="35D17E45" w:rsidR="00921FA3" w:rsidRDefault="00921FA3" w:rsidP="00C91993">
      <w:pPr>
        <w:pStyle w:val="FootnoteText"/>
      </w:pPr>
      <w:r>
        <w:rPr>
          <w:rStyle w:val="FootnoteReference"/>
        </w:rPr>
        <w:footnoteRef/>
      </w:r>
      <w:r>
        <w:t xml:space="preserve"> EPO(2018), p. 85.</w:t>
      </w:r>
    </w:p>
  </w:footnote>
  <w:footnote w:id="195">
    <w:p w14:paraId="0FA05900" w14:textId="7BB0C666" w:rsidR="00921FA3" w:rsidRDefault="00921FA3" w:rsidP="00C91993">
      <w:pPr>
        <w:pStyle w:val="FootnoteText"/>
      </w:pPr>
      <w:r>
        <w:rPr>
          <w:rStyle w:val="FootnoteReference"/>
        </w:rPr>
        <w:footnoteRef/>
      </w:r>
      <w:r>
        <w:t xml:space="preserve"> EPO(2018), p. 97.</w:t>
      </w:r>
    </w:p>
  </w:footnote>
  <w:footnote w:id="196">
    <w:p w14:paraId="1582FC44" w14:textId="71C45554" w:rsidR="00921FA3" w:rsidRDefault="00921FA3" w:rsidP="00C91993">
      <w:pPr>
        <w:pStyle w:val="FootnoteText"/>
      </w:pPr>
      <w:r>
        <w:rPr>
          <w:rStyle w:val="FootnoteReference"/>
        </w:rPr>
        <w:footnoteRef/>
      </w:r>
      <w:r>
        <w:t xml:space="preserve"> EPO(2018), p. 103.</w:t>
      </w:r>
    </w:p>
  </w:footnote>
  <w:footnote w:id="197">
    <w:p w14:paraId="3C837D8E" w14:textId="19652244" w:rsidR="00921FA3" w:rsidRPr="00260D39" w:rsidRDefault="00921FA3" w:rsidP="00855322">
      <w:pPr>
        <w:pStyle w:val="FootnoteText"/>
        <w:rPr>
          <w:rFonts w:cstheme="minorHAnsi"/>
          <w:sz w:val="18"/>
          <w:szCs w:val="18"/>
          <w:lang w:val="en-US"/>
        </w:rPr>
      </w:pPr>
      <w:r w:rsidRPr="00260D39">
        <w:rPr>
          <w:rStyle w:val="FootnoteReference"/>
          <w:rFonts w:cstheme="minorHAnsi"/>
          <w:sz w:val="18"/>
          <w:szCs w:val="18"/>
        </w:rPr>
        <w:footnoteRef/>
      </w:r>
      <w:r w:rsidRPr="00260D39">
        <w:rPr>
          <w:rFonts w:cstheme="minorHAnsi"/>
          <w:sz w:val="18"/>
          <w:szCs w:val="18"/>
        </w:rPr>
        <w:t xml:space="preserve"> </w:t>
      </w:r>
      <w:r w:rsidRPr="00260D39">
        <w:rPr>
          <w:rFonts w:cstheme="minorHAnsi"/>
          <w:sz w:val="18"/>
          <w:szCs w:val="18"/>
          <w:lang w:val="en-US"/>
        </w:rPr>
        <w:t xml:space="preserve">Minister + Committee on CL </w:t>
      </w:r>
      <w:r>
        <w:rPr>
          <w:rFonts w:cstheme="minorHAnsi"/>
          <w:bCs/>
          <w:sz w:val="18"/>
          <w:szCs w:val="18"/>
          <w:lang w:val="en-US"/>
        </w:rPr>
        <w:t>or</w:t>
      </w:r>
      <w:r w:rsidRPr="00C905A4">
        <w:rPr>
          <w:rFonts w:cstheme="minorHAnsi"/>
          <w:bCs/>
          <w:sz w:val="18"/>
          <w:szCs w:val="18"/>
          <w:lang w:val="en-US"/>
        </w:rPr>
        <w:t xml:space="preserve"> </w:t>
      </w:r>
      <w:r w:rsidRPr="00260D39">
        <w:rPr>
          <w:rFonts w:cstheme="minorHAnsi"/>
          <w:sz w:val="18"/>
          <w:szCs w:val="18"/>
          <w:lang w:val="en-US"/>
        </w:rPr>
        <w:t xml:space="preserve">Minister + Advisory Committee (on Bioethics): </w:t>
      </w:r>
      <w:r w:rsidRPr="00260D39">
        <w:rPr>
          <w:rFonts w:cstheme="minorHAnsi"/>
          <w:sz w:val="18"/>
          <w:szCs w:val="18"/>
        </w:rPr>
        <w:t>“</w:t>
      </w:r>
      <w:r w:rsidRPr="00260D39">
        <w:rPr>
          <w:rFonts w:cstheme="minorHAnsi"/>
          <w:sz w:val="18"/>
          <w:szCs w:val="18"/>
          <w:lang w:val="en-US"/>
        </w:rPr>
        <w:t>The Advisory Committee on Bio-ethics is an intergovernmental committee established by the national and regional governments to inform the public and the authorities about bio-ethical topics. The Committee is composed of lawyers, geneticists, ethicists, philosophers and physicians from different organizations and representing a broad scale of ideological and philosophical beliefs.”</w:t>
      </w:r>
    </w:p>
  </w:footnote>
  <w:footnote w:id="198">
    <w:p w14:paraId="492A6C7E" w14:textId="2CA4476F" w:rsidR="00921FA3" w:rsidRPr="001349B9" w:rsidRDefault="00921FA3">
      <w:pPr>
        <w:pStyle w:val="FootnoteText"/>
        <w:rPr>
          <w:lang w:val="pl-PL"/>
        </w:rPr>
      </w:pPr>
      <w:r>
        <w:rPr>
          <w:rStyle w:val="FootnoteReference"/>
        </w:rPr>
        <w:footnoteRef/>
      </w:r>
      <w:r>
        <w:t xml:space="preserve"> CEIPI(2023): </w:t>
      </w:r>
      <w:r w:rsidRPr="001349B9">
        <w:t>The CL legislation of many Member States does not explicitly refer to the possibility for a CL to cover published patent applications. There are different views among the national experts consulted on how to interpret the absence of reference to published patent applications. In some Member States national experts consider that requests for a CL can cover published patent applications, e.g., in Croatia, Greece, Romania and Spain even though the law is unclear.</w:t>
      </w:r>
    </w:p>
  </w:footnote>
  <w:footnote w:id="199">
    <w:p w14:paraId="7365B07F" w14:textId="23AC975F" w:rsidR="00921FA3" w:rsidRPr="001349B9" w:rsidRDefault="00921FA3">
      <w:pPr>
        <w:pStyle w:val="FootnoteText"/>
        <w:rPr>
          <w:lang w:val="pl-PL"/>
        </w:rPr>
      </w:pPr>
      <w:r>
        <w:rPr>
          <w:rStyle w:val="FootnoteReference"/>
        </w:rPr>
        <w:footnoteRef/>
      </w:r>
      <w:r>
        <w:t xml:space="preserve"> CEIPI(2023): </w:t>
      </w:r>
      <w:r w:rsidRPr="001349B9">
        <w:t>While it was reported that SPCs are covered by CL legislation in some MS, e.g., in Croatia, Czech Republic, Estonia, Greece, Hungary, Lithuania, Romania and Slovakia, it was reported that in several other MS CLs cannot cover SPCs on the basis of literal interpretation (because SPCs are not explicitly mentioned in the CL provisions). In the absence of cases, explicit mention in the law (e.g., Section 70 d of the Finnish PA and Art. 100(5) of the Spanish PA) or in authoritative official documents of interpretative value (e.g., Memorandum (MvT) for the legislative bill of 19 April 2021, amending the Netherlands Patents Act 1995, p. 2, clarifying the application of CLs to SPCs and paediatric extensions of SPCs).</w:t>
      </w:r>
    </w:p>
  </w:footnote>
  <w:footnote w:id="200">
    <w:p w14:paraId="68552751" w14:textId="634D4CE3" w:rsidR="00921FA3" w:rsidRPr="001349B9" w:rsidRDefault="00921FA3">
      <w:pPr>
        <w:pStyle w:val="FootnoteText"/>
        <w:rPr>
          <w:lang w:val="pl-PL"/>
        </w:rPr>
      </w:pPr>
      <w:r>
        <w:rPr>
          <w:rStyle w:val="FootnoteReference"/>
        </w:rPr>
        <w:footnoteRef/>
      </w:r>
      <w:r>
        <w:t xml:space="preserve"> </w:t>
      </w:r>
      <w:r w:rsidRPr="001349B9">
        <w:t>Regulatory Data Protection.</w:t>
      </w:r>
    </w:p>
  </w:footnote>
  <w:footnote w:id="201">
    <w:p w14:paraId="4C5764DC" w14:textId="7F3E4896" w:rsidR="00921FA3" w:rsidRPr="001349B9" w:rsidRDefault="00921FA3">
      <w:pPr>
        <w:pStyle w:val="FootnoteText"/>
        <w:rPr>
          <w:lang w:val="pl-PL"/>
        </w:rPr>
      </w:pPr>
      <w:r>
        <w:rPr>
          <w:rStyle w:val="FootnoteReference"/>
        </w:rPr>
        <w:footnoteRef/>
      </w:r>
      <w:r>
        <w:t xml:space="preserve"> </w:t>
      </w:r>
      <w:r w:rsidRPr="001349B9">
        <w:t>Some MS have national laws that provide a certain period during which a CL cannot be requested.</w:t>
      </w:r>
    </w:p>
  </w:footnote>
  <w:footnote w:id="202">
    <w:p w14:paraId="2C3A6617" w14:textId="483978A9" w:rsidR="00921FA3" w:rsidRDefault="00921FA3" w:rsidP="2203173C">
      <w:pPr>
        <w:pStyle w:val="FootnoteText"/>
        <w:rPr>
          <w:lang w:val="pl-PL"/>
        </w:rPr>
      </w:pPr>
      <w:r w:rsidRPr="2203173C">
        <w:rPr>
          <w:rStyle w:val="FootnoteReference"/>
        </w:rPr>
        <w:footnoteRef/>
      </w:r>
      <w:r>
        <w:t xml:space="preserve"> The rules allow the Maritime and Commercial High Court or the district court to order a compulsory licence as a preliminary measure. On the other hand, it may be argued that the competence to grant compulsory licences lies only with the Maritime and Commercial High Court in cases on the merits, according to Section 50 of the Patents Act. Whether that would prevent the same court from granting a compulsory licence as a preliminary measure is unclear. If a potential compulsory licence can be granted as a preliminary measure, it would probably at least require that the person requesting the compulsory licence had negotiated with the patentee to obtain a licence by agreement first, according to Section 49 of the Patents Act.</w:t>
      </w:r>
    </w:p>
  </w:footnote>
  <w:footnote w:id="203">
    <w:p w14:paraId="301DE844" w14:textId="48C14FFC" w:rsidR="00921FA3" w:rsidRPr="002911CA" w:rsidRDefault="00921FA3">
      <w:pPr>
        <w:pStyle w:val="FootnoteText"/>
        <w:rPr>
          <w:lang w:val="pl-PL"/>
        </w:rPr>
      </w:pPr>
      <w:r>
        <w:rPr>
          <w:rStyle w:val="FootnoteReference"/>
        </w:rPr>
        <w:footnoteRef/>
      </w:r>
      <w:r>
        <w:t xml:space="preserve"> </w:t>
      </w:r>
      <w:r w:rsidRPr="001423E4">
        <w:t>According to Section 48 Finnish PA, it is possible for a third party to obtain a CL for the exploitation of an invention where the third party at the time of public disclosure of the patent application documents was exploiting the invention for which the patent has been applied, on the condition that the application leads to the grant of a patent and that there are special reasons for granting the CL and that the third party was not aware or could not have been aware of the patent application. The CL can also extend to a time period preceding the grant of the patent.</w:t>
      </w:r>
    </w:p>
  </w:footnote>
  <w:footnote w:id="204">
    <w:p w14:paraId="25702981" w14:textId="6A3C505C" w:rsidR="00921FA3" w:rsidRPr="001423E4" w:rsidRDefault="00921FA3">
      <w:pPr>
        <w:pStyle w:val="FootnoteText"/>
        <w:rPr>
          <w:lang w:val="pl-PL"/>
        </w:rPr>
      </w:pPr>
      <w:r>
        <w:rPr>
          <w:rStyle w:val="FootnoteReference"/>
        </w:rPr>
        <w:footnoteRef/>
      </w:r>
      <w:r>
        <w:t xml:space="preserve"> </w:t>
      </w:r>
      <w:r w:rsidRPr="001423E4">
        <w:t>Given the principle that a preliminary injunction can be requested in all civil litigation, including the lawsuit for granting a compulsory licence based on dependency and lack of genuine use, seeking provisional relief seems to be theoretically possible (other types of compulsory licence belong to the competence of the HIPO and thus are not civil lawsuits). Special provisions of the PA regarding preliminary injunctions (presumptions, factors to be considered) relate only to infringement disputes, and therefore a provisional injunction sought in the context of a compulsory licence would be governed by the general provisions of the Code of Civil Procedure (Act CXXX of 2016).</w:t>
      </w:r>
    </w:p>
  </w:footnote>
  <w:footnote w:id="205">
    <w:p w14:paraId="5FC46E40" w14:textId="2C291778" w:rsidR="00921FA3" w:rsidRPr="00152DA4" w:rsidRDefault="00921FA3" w:rsidP="00E74439">
      <w:pPr>
        <w:pStyle w:val="FootnoteText"/>
      </w:pPr>
      <w:r>
        <w:rPr>
          <w:rStyle w:val="FootnoteReference"/>
        </w:rPr>
        <w:footnoteRef/>
      </w:r>
      <w:r>
        <w:t xml:space="preserve"> COMMISSION STAFF WORKING DOCUMENT Impact Assessment Report Accompanying the document REGULATION OF THE EUROPEAN PARLIAMENT AND OF THE COUNCIL for a Single Market Emergency Instrument Brussels, 19.9.2022 SWD(2022) 289 final, </w:t>
      </w:r>
      <w:hyperlink r:id="rId24" w:history="1">
        <w:r>
          <w:rPr>
            <w:rStyle w:val="Hyperlink"/>
          </w:rPr>
          <w:t>Register of Commission Documents - SWD(2022)289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99FF" w14:textId="77777777" w:rsidR="00A06738" w:rsidRDefault="00A067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408E" w14:textId="77777777" w:rsidR="00921FA3" w:rsidRDefault="00921F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6457" w14:textId="77777777" w:rsidR="00921FA3" w:rsidRDefault="00921F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BFF6" w14:textId="77777777" w:rsidR="00921FA3" w:rsidRDefault="00921F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F987" w14:textId="77777777" w:rsidR="00921FA3" w:rsidRDefault="00921FA3" w:rsidP="000E30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2E4E" w14:textId="77777777" w:rsidR="00921FA3" w:rsidRDefault="00921FA3" w:rsidP="000E308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37C8C" w14:textId="77777777" w:rsidR="00921FA3" w:rsidRDefault="00921FA3" w:rsidP="000E308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86AD" w14:textId="77777777" w:rsidR="00921FA3" w:rsidRDefault="00921FA3" w:rsidP="000E308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CBE5" w14:textId="77777777" w:rsidR="00921FA3" w:rsidRDefault="00921FA3" w:rsidP="000E308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4EA8" w14:textId="77777777" w:rsidR="00921FA3" w:rsidRDefault="00921FA3" w:rsidP="000E308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44DF" w14:textId="77777777" w:rsidR="00921FA3" w:rsidRDefault="00921FA3" w:rsidP="000E3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67ED" w14:textId="2C2EEE10" w:rsidR="00BC33EF" w:rsidRPr="00A06738" w:rsidRDefault="00A06738" w:rsidP="00A06738">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23D3" w14:textId="77777777" w:rsidR="00921FA3" w:rsidRDefault="00921FA3" w:rsidP="000E308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3D68" w14:textId="77777777" w:rsidR="00921FA3" w:rsidRDefault="00921FA3" w:rsidP="000E308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A73B6" w14:textId="77777777" w:rsidR="00921FA3" w:rsidRDefault="00921FA3" w:rsidP="000E308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1087" w14:textId="77777777" w:rsidR="00921FA3" w:rsidRDefault="00921FA3" w:rsidP="000E308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0F98" w14:textId="77777777" w:rsidR="00921FA3" w:rsidRDefault="00921FA3" w:rsidP="000E308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C1B7" w14:textId="77777777" w:rsidR="00921FA3" w:rsidRDefault="00921FA3" w:rsidP="000E308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F065" w14:textId="77777777" w:rsidR="00921FA3" w:rsidRDefault="00921FA3" w:rsidP="000E308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B4FC" w14:textId="77777777" w:rsidR="00921FA3" w:rsidRDefault="00921FA3" w:rsidP="000E308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4B2C" w14:textId="77777777" w:rsidR="00921FA3" w:rsidRDefault="00921FA3" w:rsidP="000E308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31C3" w14:textId="77777777" w:rsidR="00921FA3" w:rsidRDefault="00921FA3" w:rsidP="000E3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9D68" w14:textId="068FC0B0" w:rsidR="00BC33EF" w:rsidRPr="00A06738" w:rsidRDefault="00A06738" w:rsidP="00A06738">
    <w:pPr>
      <w:pStyle w:val="HeaderCouncil"/>
    </w:pPr>
    <w:r>
      <w:t>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B58D" w14:textId="77777777" w:rsidR="00921FA3" w:rsidRDefault="00921FA3" w:rsidP="000E30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1B46" w14:textId="77777777" w:rsidR="00C6592A" w:rsidRPr="00BC33EF" w:rsidRDefault="00C6592A" w:rsidP="00BC33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A47D" w14:textId="77777777" w:rsidR="00C6592A" w:rsidRPr="00BC33EF" w:rsidRDefault="00C6592A" w:rsidP="00BC33EF">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5955" w14:textId="77777777" w:rsidR="00C6592A" w:rsidRPr="00BC33EF" w:rsidRDefault="00C6592A" w:rsidP="00BC33EF">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D457" w14:textId="77777777" w:rsidR="00921FA3" w:rsidRDefault="00921F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02C1B" w14:textId="77777777" w:rsidR="00921FA3" w:rsidRDefault="00921F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9911E" w14:textId="77777777" w:rsidR="00921FA3" w:rsidRDefault="00921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AEF"/>
    <w:multiLevelType w:val="hybridMultilevel"/>
    <w:tmpl w:val="570862C4"/>
    <w:lvl w:ilvl="0" w:tplc="F31E4C94">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0E3356D"/>
    <w:multiLevelType w:val="multilevel"/>
    <w:tmpl w:val="9AD460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567FEC"/>
    <w:multiLevelType w:val="hybridMultilevel"/>
    <w:tmpl w:val="A6C0A6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2871829"/>
    <w:multiLevelType w:val="hybridMultilevel"/>
    <w:tmpl w:val="140A32D6"/>
    <w:lvl w:ilvl="0" w:tplc="5C582B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22BE2"/>
    <w:multiLevelType w:val="hybridMultilevel"/>
    <w:tmpl w:val="74B4BBA2"/>
    <w:lvl w:ilvl="0" w:tplc="18090001">
      <w:start w:val="1"/>
      <w:numFmt w:val="bullet"/>
      <w:lvlText w:val=""/>
      <w:lvlJc w:val="left"/>
      <w:pPr>
        <w:ind w:left="746" w:hanging="360"/>
      </w:pPr>
      <w:rPr>
        <w:rFonts w:ascii="Symbol" w:hAnsi="Symbol" w:hint="default"/>
      </w:rPr>
    </w:lvl>
    <w:lvl w:ilvl="1" w:tplc="18090003" w:tentative="1">
      <w:start w:val="1"/>
      <w:numFmt w:val="bullet"/>
      <w:lvlText w:val="o"/>
      <w:lvlJc w:val="left"/>
      <w:pPr>
        <w:ind w:left="1466" w:hanging="360"/>
      </w:pPr>
      <w:rPr>
        <w:rFonts w:ascii="Courier New" w:hAnsi="Courier New" w:cs="Courier New" w:hint="default"/>
      </w:rPr>
    </w:lvl>
    <w:lvl w:ilvl="2" w:tplc="18090005" w:tentative="1">
      <w:start w:val="1"/>
      <w:numFmt w:val="bullet"/>
      <w:lvlText w:val=""/>
      <w:lvlJc w:val="left"/>
      <w:pPr>
        <w:ind w:left="2186" w:hanging="360"/>
      </w:pPr>
      <w:rPr>
        <w:rFonts w:ascii="Wingdings" w:hAnsi="Wingdings" w:hint="default"/>
      </w:rPr>
    </w:lvl>
    <w:lvl w:ilvl="3" w:tplc="18090001" w:tentative="1">
      <w:start w:val="1"/>
      <w:numFmt w:val="bullet"/>
      <w:lvlText w:val=""/>
      <w:lvlJc w:val="left"/>
      <w:pPr>
        <w:ind w:left="2906" w:hanging="360"/>
      </w:pPr>
      <w:rPr>
        <w:rFonts w:ascii="Symbol" w:hAnsi="Symbol" w:hint="default"/>
      </w:rPr>
    </w:lvl>
    <w:lvl w:ilvl="4" w:tplc="18090003" w:tentative="1">
      <w:start w:val="1"/>
      <w:numFmt w:val="bullet"/>
      <w:lvlText w:val="o"/>
      <w:lvlJc w:val="left"/>
      <w:pPr>
        <w:ind w:left="3626" w:hanging="360"/>
      </w:pPr>
      <w:rPr>
        <w:rFonts w:ascii="Courier New" w:hAnsi="Courier New" w:cs="Courier New" w:hint="default"/>
      </w:rPr>
    </w:lvl>
    <w:lvl w:ilvl="5" w:tplc="18090005" w:tentative="1">
      <w:start w:val="1"/>
      <w:numFmt w:val="bullet"/>
      <w:lvlText w:val=""/>
      <w:lvlJc w:val="left"/>
      <w:pPr>
        <w:ind w:left="4346" w:hanging="360"/>
      </w:pPr>
      <w:rPr>
        <w:rFonts w:ascii="Wingdings" w:hAnsi="Wingdings" w:hint="default"/>
      </w:rPr>
    </w:lvl>
    <w:lvl w:ilvl="6" w:tplc="18090001" w:tentative="1">
      <w:start w:val="1"/>
      <w:numFmt w:val="bullet"/>
      <w:lvlText w:val=""/>
      <w:lvlJc w:val="left"/>
      <w:pPr>
        <w:ind w:left="5066" w:hanging="360"/>
      </w:pPr>
      <w:rPr>
        <w:rFonts w:ascii="Symbol" w:hAnsi="Symbol" w:hint="default"/>
      </w:rPr>
    </w:lvl>
    <w:lvl w:ilvl="7" w:tplc="18090003" w:tentative="1">
      <w:start w:val="1"/>
      <w:numFmt w:val="bullet"/>
      <w:lvlText w:val="o"/>
      <w:lvlJc w:val="left"/>
      <w:pPr>
        <w:ind w:left="5786" w:hanging="360"/>
      </w:pPr>
      <w:rPr>
        <w:rFonts w:ascii="Courier New" w:hAnsi="Courier New" w:cs="Courier New" w:hint="default"/>
      </w:rPr>
    </w:lvl>
    <w:lvl w:ilvl="8" w:tplc="18090005" w:tentative="1">
      <w:start w:val="1"/>
      <w:numFmt w:val="bullet"/>
      <w:lvlText w:val=""/>
      <w:lvlJc w:val="left"/>
      <w:pPr>
        <w:ind w:left="6506" w:hanging="360"/>
      </w:pPr>
      <w:rPr>
        <w:rFonts w:ascii="Wingdings" w:hAnsi="Wingdings" w:hint="default"/>
      </w:rPr>
    </w:lvl>
  </w:abstractNum>
  <w:abstractNum w:abstractNumId="5" w15:restartNumberingAfterBreak="0">
    <w:nsid w:val="035452B3"/>
    <w:multiLevelType w:val="hybridMultilevel"/>
    <w:tmpl w:val="BEB0F186"/>
    <w:lvl w:ilvl="0" w:tplc="BB4E2084">
      <w:start w:val="1"/>
      <w:numFmt w:val="lowerLetter"/>
      <w:lvlText w:val="(%1)"/>
      <w:lvlJc w:val="left"/>
      <w:pPr>
        <w:ind w:left="720" w:hanging="360"/>
      </w:pPr>
      <w:rPr>
        <w:rFonts w:ascii="Times New Roman" w:eastAsia="Times New Roman" w:hAnsi="Times New Roman" w:cs="Times New Roman" w:hint="default"/>
        <w:w w:val="99"/>
        <w:sz w:val="20"/>
        <w:szCs w:val="20"/>
        <w:lang w:val="en-US" w:eastAsia="en-US" w:bidi="ar-SA"/>
      </w:rPr>
    </w:lvl>
    <w:lvl w:ilvl="1" w:tplc="0F9ACD40">
      <w:start w:val="1"/>
      <w:numFmt w:val="lowerLetter"/>
      <w:lvlText w:val="(%2)"/>
      <w:lvlJc w:val="left"/>
      <w:pPr>
        <w:ind w:left="1440" w:hanging="360"/>
      </w:pPr>
      <w:rPr>
        <w:rFonts w:ascii="Times New Roman" w:eastAsia="Times New Roman" w:hAnsi="Times New Roman" w:cs="Times New Roman" w:hint="default"/>
        <w:w w:val="100"/>
        <w:sz w:val="22"/>
        <w:szCs w:val="22"/>
        <w:lang w:val="en-US"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9A4F62"/>
    <w:multiLevelType w:val="hybridMultilevel"/>
    <w:tmpl w:val="A5008E04"/>
    <w:lvl w:ilvl="0" w:tplc="3C3ACEFC">
      <w:start w:val="1"/>
      <w:numFmt w:val="bullet"/>
      <w:lvlText w:val="–"/>
      <w:lvlJc w:val="left"/>
      <w:pPr>
        <w:ind w:left="9009" w:hanging="360"/>
      </w:pPr>
      <w:rPr>
        <w:rFonts w:ascii="Calibri" w:hAnsi="Calibri"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7" w15:restartNumberingAfterBreak="0">
    <w:nsid w:val="06D962D6"/>
    <w:multiLevelType w:val="hybridMultilevel"/>
    <w:tmpl w:val="CB807874"/>
    <w:lvl w:ilvl="0" w:tplc="18090001">
      <w:start w:val="1"/>
      <w:numFmt w:val="bullet"/>
      <w:lvlText w:val=""/>
      <w:lvlJc w:val="left"/>
      <w:pPr>
        <w:ind w:left="784" w:hanging="360"/>
      </w:pPr>
      <w:rPr>
        <w:rFonts w:ascii="Symbol" w:hAnsi="Symbol" w:hint="default"/>
      </w:rPr>
    </w:lvl>
    <w:lvl w:ilvl="1" w:tplc="18090003" w:tentative="1">
      <w:start w:val="1"/>
      <w:numFmt w:val="bullet"/>
      <w:lvlText w:val="o"/>
      <w:lvlJc w:val="left"/>
      <w:pPr>
        <w:ind w:left="1504" w:hanging="360"/>
      </w:pPr>
      <w:rPr>
        <w:rFonts w:ascii="Courier New" w:hAnsi="Courier New" w:cs="Courier New" w:hint="default"/>
      </w:rPr>
    </w:lvl>
    <w:lvl w:ilvl="2" w:tplc="18090005" w:tentative="1">
      <w:start w:val="1"/>
      <w:numFmt w:val="bullet"/>
      <w:lvlText w:val=""/>
      <w:lvlJc w:val="left"/>
      <w:pPr>
        <w:ind w:left="2224" w:hanging="360"/>
      </w:pPr>
      <w:rPr>
        <w:rFonts w:ascii="Wingdings" w:hAnsi="Wingdings" w:hint="default"/>
      </w:rPr>
    </w:lvl>
    <w:lvl w:ilvl="3" w:tplc="18090001" w:tentative="1">
      <w:start w:val="1"/>
      <w:numFmt w:val="bullet"/>
      <w:lvlText w:val=""/>
      <w:lvlJc w:val="left"/>
      <w:pPr>
        <w:ind w:left="2944" w:hanging="360"/>
      </w:pPr>
      <w:rPr>
        <w:rFonts w:ascii="Symbol" w:hAnsi="Symbol" w:hint="default"/>
      </w:rPr>
    </w:lvl>
    <w:lvl w:ilvl="4" w:tplc="18090003" w:tentative="1">
      <w:start w:val="1"/>
      <w:numFmt w:val="bullet"/>
      <w:lvlText w:val="o"/>
      <w:lvlJc w:val="left"/>
      <w:pPr>
        <w:ind w:left="3664" w:hanging="360"/>
      </w:pPr>
      <w:rPr>
        <w:rFonts w:ascii="Courier New" w:hAnsi="Courier New" w:cs="Courier New" w:hint="default"/>
      </w:rPr>
    </w:lvl>
    <w:lvl w:ilvl="5" w:tplc="18090005" w:tentative="1">
      <w:start w:val="1"/>
      <w:numFmt w:val="bullet"/>
      <w:lvlText w:val=""/>
      <w:lvlJc w:val="left"/>
      <w:pPr>
        <w:ind w:left="4384" w:hanging="360"/>
      </w:pPr>
      <w:rPr>
        <w:rFonts w:ascii="Wingdings" w:hAnsi="Wingdings" w:hint="default"/>
      </w:rPr>
    </w:lvl>
    <w:lvl w:ilvl="6" w:tplc="18090001" w:tentative="1">
      <w:start w:val="1"/>
      <w:numFmt w:val="bullet"/>
      <w:lvlText w:val=""/>
      <w:lvlJc w:val="left"/>
      <w:pPr>
        <w:ind w:left="5104" w:hanging="360"/>
      </w:pPr>
      <w:rPr>
        <w:rFonts w:ascii="Symbol" w:hAnsi="Symbol" w:hint="default"/>
      </w:rPr>
    </w:lvl>
    <w:lvl w:ilvl="7" w:tplc="18090003" w:tentative="1">
      <w:start w:val="1"/>
      <w:numFmt w:val="bullet"/>
      <w:lvlText w:val="o"/>
      <w:lvlJc w:val="left"/>
      <w:pPr>
        <w:ind w:left="5824" w:hanging="360"/>
      </w:pPr>
      <w:rPr>
        <w:rFonts w:ascii="Courier New" w:hAnsi="Courier New" w:cs="Courier New" w:hint="default"/>
      </w:rPr>
    </w:lvl>
    <w:lvl w:ilvl="8" w:tplc="18090005" w:tentative="1">
      <w:start w:val="1"/>
      <w:numFmt w:val="bullet"/>
      <w:lvlText w:val=""/>
      <w:lvlJc w:val="left"/>
      <w:pPr>
        <w:ind w:left="6544" w:hanging="360"/>
      </w:pPr>
      <w:rPr>
        <w:rFonts w:ascii="Wingdings" w:hAnsi="Wingdings" w:hint="default"/>
      </w:rPr>
    </w:lvl>
  </w:abstractNum>
  <w:abstractNum w:abstractNumId="8" w15:restartNumberingAfterBreak="0">
    <w:nsid w:val="06E368FB"/>
    <w:multiLevelType w:val="multilevel"/>
    <w:tmpl w:val="DB92F3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6F764CD"/>
    <w:multiLevelType w:val="multilevel"/>
    <w:tmpl w:val="368029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997"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8C6436C"/>
    <w:multiLevelType w:val="hybridMultilevel"/>
    <w:tmpl w:val="AC06D0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8E14687"/>
    <w:multiLevelType w:val="hybridMultilevel"/>
    <w:tmpl w:val="DD70ADC0"/>
    <w:lvl w:ilvl="0" w:tplc="2BCA4F9C">
      <w:start w:val="4"/>
      <w:numFmt w:val="decimal"/>
      <w:lvlText w:val="%1."/>
      <w:lvlJc w:val="left"/>
      <w:pPr>
        <w:ind w:left="537" w:hanging="360"/>
      </w:pPr>
      <w:rPr>
        <w:rFonts w:ascii="Times New Roman" w:eastAsia="Times New Roman" w:hAnsi="Times New Roman" w:cs="Times New Roman" w:hint="default"/>
        <w:spacing w:val="0"/>
        <w:w w:val="99"/>
        <w:sz w:val="20"/>
        <w:szCs w:val="20"/>
        <w:lang w:val="en-US" w:eastAsia="en-US" w:bidi="ar-SA"/>
      </w:rPr>
    </w:lvl>
    <w:lvl w:ilvl="1" w:tplc="99B2D1A8">
      <w:numFmt w:val="bullet"/>
      <w:lvlText w:val="•"/>
      <w:lvlJc w:val="left"/>
      <w:pPr>
        <w:ind w:left="1021" w:hanging="360"/>
      </w:pPr>
      <w:rPr>
        <w:rFonts w:hint="default"/>
        <w:lang w:val="en-US" w:eastAsia="en-US" w:bidi="ar-SA"/>
      </w:rPr>
    </w:lvl>
    <w:lvl w:ilvl="2" w:tplc="95D6983A">
      <w:numFmt w:val="bullet"/>
      <w:lvlText w:val="•"/>
      <w:lvlJc w:val="left"/>
      <w:pPr>
        <w:ind w:left="1502" w:hanging="360"/>
      </w:pPr>
      <w:rPr>
        <w:rFonts w:hint="default"/>
        <w:lang w:val="en-US" w:eastAsia="en-US" w:bidi="ar-SA"/>
      </w:rPr>
    </w:lvl>
    <w:lvl w:ilvl="3" w:tplc="7C820840">
      <w:numFmt w:val="bullet"/>
      <w:lvlText w:val="•"/>
      <w:lvlJc w:val="left"/>
      <w:pPr>
        <w:ind w:left="1982" w:hanging="360"/>
      </w:pPr>
      <w:rPr>
        <w:rFonts w:hint="default"/>
        <w:lang w:val="en-US" w:eastAsia="en-US" w:bidi="ar-SA"/>
      </w:rPr>
    </w:lvl>
    <w:lvl w:ilvl="4" w:tplc="C590C14A">
      <w:numFmt w:val="bullet"/>
      <w:lvlText w:val="•"/>
      <w:lvlJc w:val="left"/>
      <w:pPr>
        <w:ind w:left="2463" w:hanging="360"/>
      </w:pPr>
      <w:rPr>
        <w:rFonts w:hint="default"/>
        <w:lang w:val="en-US" w:eastAsia="en-US" w:bidi="ar-SA"/>
      </w:rPr>
    </w:lvl>
    <w:lvl w:ilvl="5" w:tplc="D3E80AF4">
      <w:numFmt w:val="bullet"/>
      <w:lvlText w:val="•"/>
      <w:lvlJc w:val="left"/>
      <w:pPr>
        <w:ind w:left="2944" w:hanging="360"/>
      </w:pPr>
      <w:rPr>
        <w:rFonts w:hint="default"/>
        <w:lang w:val="en-US" w:eastAsia="en-US" w:bidi="ar-SA"/>
      </w:rPr>
    </w:lvl>
    <w:lvl w:ilvl="6" w:tplc="8AC2D1FA">
      <w:numFmt w:val="bullet"/>
      <w:lvlText w:val="•"/>
      <w:lvlJc w:val="left"/>
      <w:pPr>
        <w:ind w:left="3425" w:hanging="360"/>
      </w:pPr>
      <w:rPr>
        <w:rFonts w:hint="default"/>
        <w:lang w:val="en-US" w:eastAsia="en-US" w:bidi="ar-SA"/>
      </w:rPr>
    </w:lvl>
    <w:lvl w:ilvl="7" w:tplc="FDE4B878">
      <w:numFmt w:val="bullet"/>
      <w:lvlText w:val="•"/>
      <w:lvlJc w:val="left"/>
      <w:pPr>
        <w:ind w:left="3906" w:hanging="360"/>
      </w:pPr>
      <w:rPr>
        <w:rFonts w:hint="default"/>
        <w:lang w:val="en-US" w:eastAsia="en-US" w:bidi="ar-SA"/>
      </w:rPr>
    </w:lvl>
    <w:lvl w:ilvl="8" w:tplc="597C7366">
      <w:numFmt w:val="bullet"/>
      <w:lvlText w:val="•"/>
      <w:lvlJc w:val="left"/>
      <w:pPr>
        <w:ind w:left="4387" w:hanging="360"/>
      </w:pPr>
      <w:rPr>
        <w:rFonts w:hint="default"/>
        <w:lang w:val="en-US" w:eastAsia="en-US" w:bidi="ar-SA"/>
      </w:rPr>
    </w:lvl>
  </w:abstractNum>
  <w:abstractNum w:abstractNumId="12" w15:restartNumberingAfterBreak="0">
    <w:nsid w:val="09151D5C"/>
    <w:multiLevelType w:val="hybridMultilevel"/>
    <w:tmpl w:val="8F96E6A0"/>
    <w:lvl w:ilvl="0" w:tplc="3C88B868">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22F8B3"/>
    <w:multiLevelType w:val="hybridMultilevel"/>
    <w:tmpl w:val="FFFFFFFF"/>
    <w:lvl w:ilvl="0" w:tplc="B03456E6">
      <w:numFmt w:val="none"/>
      <w:lvlText w:val=""/>
      <w:lvlJc w:val="left"/>
      <w:pPr>
        <w:tabs>
          <w:tab w:val="num" w:pos="360"/>
        </w:tabs>
      </w:pPr>
    </w:lvl>
    <w:lvl w:ilvl="1" w:tplc="43D0DEC6">
      <w:start w:val="1"/>
      <w:numFmt w:val="lowerLetter"/>
      <w:lvlText w:val="%2."/>
      <w:lvlJc w:val="left"/>
      <w:pPr>
        <w:ind w:left="1440" w:hanging="360"/>
      </w:pPr>
    </w:lvl>
    <w:lvl w:ilvl="2" w:tplc="D4B2322E">
      <w:start w:val="1"/>
      <w:numFmt w:val="lowerRoman"/>
      <w:lvlText w:val="%3."/>
      <w:lvlJc w:val="right"/>
      <w:pPr>
        <w:ind w:left="2160" w:hanging="180"/>
      </w:pPr>
    </w:lvl>
    <w:lvl w:ilvl="3" w:tplc="8602863E">
      <w:start w:val="1"/>
      <w:numFmt w:val="decimal"/>
      <w:lvlText w:val="%4."/>
      <w:lvlJc w:val="left"/>
      <w:pPr>
        <w:ind w:left="2880" w:hanging="360"/>
      </w:pPr>
    </w:lvl>
    <w:lvl w:ilvl="4" w:tplc="728E1030">
      <w:start w:val="1"/>
      <w:numFmt w:val="lowerLetter"/>
      <w:lvlText w:val="%5."/>
      <w:lvlJc w:val="left"/>
      <w:pPr>
        <w:ind w:left="3600" w:hanging="360"/>
      </w:pPr>
    </w:lvl>
    <w:lvl w:ilvl="5" w:tplc="618A4FE6">
      <w:start w:val="1"/>
      <w:numFmt w:val="lowerRoman"/>
      <w:lvlText w:val="%6."/>
      <w:lvlJc w:val="right"/>
      <w:pPr>
        <w:ind w:left="4320" w:hanging="180"/>
      </w:pPr>
    </w:lvl>
    <w:lvl w:ilvl="6" w:tplc="9936405A">
      <w:start w:val="1"/>
      <w:numFmt w:val="decimal"/>
      <w:lvlText w:val="%7."/>
      <w:lvlJc w:val="left"/>
      <w:pPr>
        <w:ind w:left="5040" w:hanging="360"/>
      </w:pPr>
    </w:lvl>
    <w:lvl w:ilvl="7" w:tplc="37F2C1FC">
      <w:start w:val="1"/>
      <w:numFmt w:val="lowerLetter"/>
      <w:lvlText w:val="%8."/>
      <w:lvlJc w:val="left"/>
      <w:pPr>
        <w:ind w:left="5760" w:hanging="360"/>
      </w:pPr>
    </w:lvl>
    <w:lvl w:ilvl="8" w:tplc="9ABC9856">
      <w:start w:val="1"/>
      <w:numFmt w:val="lowerRoman"/>
      <w:lvlText w:val="%9."/>
      <w:lvlJc w:val="right"/>
      <w:pPr>
        <w:ind w:left="6480" w:hanging="180"/>
      </w:pPr>
    </w:lvl>
  </w:abstractNum>
  <w:abstractNum w:abstractNumId="14" w15:restartNumberingAfterBreak="0">
    <w:nsid w:val="099E04F8"/>
    <w:multiLevelType w:val="hybridMultilevel"/>
    <w:tmpl w:val="FFFFFFFF"/>
    <w:lvl w:ilvl="0" w:tplc="FFFFFFFF">
      <w:start w:val="1"/>
      <w:numFmt w:val="bullet"/>
      <w:lvlText w:val=""/>
      <w:lvlJc w:val="left"/>
      <w:pPr>
        <w:ind w:left="720" w:hanging="360"/>
      </w:pPr>
      <w:rPr>
        <w:rFonts w:ascii="Symbol" w:hAnsi="Symbol" w:hint="default"/>
      </w:rPr>
    </w:lvl>
    <w:lvl w:ilvl="1" w:tplc="4A66C2E4">
      <w:start w:val="1"/>
      <w:numFmt w:val="bullet"/>
      <w:lvlText w:val="o"/>
      <w:lvlJc w:val="left"/>
      <w:pPr>
        <w:ind w:left="1440" w:hanging="360"/>
      </w:pPr>
      <w:rPr>
        <w:rFonts w:ascii="Courier New" w:hAnsi="Courier New" w:hint="default"/>
      </w:rPr>
    </w:lvl>
    <w:lvl w:ilvl="2" w:tplc="40263BD0">
      <w:start w:val="1"/>
      <w:numFmt w:val="bullet"/>
      <w:lvlText w:val=""/>
      <w:lvlJc w:val="left"/>
      <w:pPr>
        <w:ind w:left="2160" w:hanging="360"/>
      </w:pPr>
      <w:rPr>
        <w:rFonts w:ascii="Wingdings" w:hAnsi="Wingdings" w:hint="default"/>
      </w:rPr>
    </w:lvl>
    <w:lvl w:ilvl="3" w:tplc="F0DAA52C">
      <w:start w:val="1"/>
      <w:numFmt w:val="bullet"/>
      <w:lvlText w:val=""/>
      <w:lvlJc w:val="left"/>
      <w:pPr>
        <w:ind w:left="2880" w:hanging="360"/>
      </w:pPr>
      <w:rPr>
        <w:rFonts w:ascii="Symbol" w:hAnsi="Symbol" w:hint="default"/>
      </w:rPr>
    </w:lvl>
    <w:lvl w:ilvl="4" w:tplc="1A0A5228">
      <w:start w:val="1"/>
      <w:numFmt w:val="bullet"/>
      <w:lvlText w:val="o"/>
      <w:lvlJc w:val="left"/>
      <w:pPr>
        <w:ind w:left="3600" w:hanging="360"/>
      </w:pPr>
      <w:rPr>
        <w:rFonts w:ascii="Courier New" w:hAnsi="Courier New" w:hint="default"/>
      </w:rPr>
    </w:lvl>
    <w:lvl w:ilvl="5" w:tplc="54A232B6">
      <w:start w:val="1"/>
      <w:numFmt w:val="bullet"/>
      <w:lvlText w:val=""/>
      <w:lvlJc w:val="left"/>
      <w:pPr>
        <w:ind w:left="4320" w:hanging="360"/>
      </w:pPr>
      <w:rPr>
        <w:rFonts w:ascii="Wingdings" w:hAnsi="Wingdings" w:hint="default"/>
      </w:rPr>
    </w:lvl>
    <w:lvl w:ilvl="6" w:tplc="F1EE00E4">
      <w:start w:val="1"/>
      <w:numFmt w:val="bullet"/>
      <w:lvlText w:val=""/>
      <w:lvlJc w:val="left"/>
      <w:pPr>
        <w:ind w:left="5040" w:hanging="360"/>
      </w:pPr>
      <w:rPr>
        <w:rFonts w:ascii="Symbol" w:hAnsi="Symbol" w:hint="default"/>
      </w:rPr>
    </w:lvl>
    <w:lvl w:ilvl="7" w:tplc="94F05116">
      <w:start w:val="1"/>
      <w:numFmt w:val="bullet"/>
      <w:lvlText w:val="o"/>
      <w:lvlJc w:val="left"/>
      <w:pPr>
        <w:ind w:left="5760" w:hanging="360"/>
      </w:pPr>
      <w:rPr>
        <w:rFonts w:ascii="Courier New" w:hAnsi="Courier New" w:hint="default"/>
      </w:rPr>
    </w:lvl>
    <w:lvl w:ilvl="8" w:tplc="3C58765E">
      <w:start w:val="1"/>
      <w:numFmt w:val="bullet"/>
      <w:lvlText w:val=""/>
      <w:lvlJc w:val="left"/>
      <w:pPr>
        <w:ind w:left="6480" w:hanging="360"/>
      </w:pPr>
      <w:rPr>
        <w:rFonts w:ascii="Wingdings" w:hAnsi="Wingdings" w:hint="default"/>
      </w:rPr>
    </w:lvl>
  </w:abstractNum>
  <w:abstractNum w:abstractNumId="15" w15:restartNumberingAfterBreak="0">
    <w:nsid w:val="0A0800A8"/>
    <w:multiLevelType w:val="hybridMultilevel"/>
    <w:tmpl w:val="8626D1A6"/>
    <w:lvl w:ilvl="0" w:tplc="603087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A213E0"/>
    <w:multiLevelType w:val="hybridMultilevel"/>
    <w:tmpl w:val="72AEE8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B449A70"/>
    <w:multiLevelType w:val="hybridMultilevel"/>
    <w:tmpl w:val="FFFFFFFF"/>
    <w:lvl w:ilvl="0" w:tplc="F572CF66">
      <w:start w:val="1"/>
      <w:numFmt w:val="bullet"/>
      <w:lvlText w:val=""/>
      <w:lvlJc w:val="left"/>
      <w:pPr>
        <w:ind w:left="720" w:hanging="360"/>
      </w:pPr>
      <w:rPr>
        <w:rFonts w:ascii="Symbol" w:hAnsi="Symbol" w:hint="default"/>
      </w:rPr>
    </w:lvl>
    <w:lvl w:ilvl="1" w:tplc="2D7689E6">
      <w:start w:val="1"/>
      <w:numFmt w:val="bullet"/>
      <w:lvlText w:val="o"/>
      <w:lvlJc w:val="left"/>
      <w:pPr>
        <w:ind w:left="1440" w:hanging="360"/>
      </w:pPr>
      <w:rPr>
        <w:rFonts w:ascii="Courier New" w:hAnsi="Courier New" w:hint="default"/>
      </w:rPr>
    </w:lvl>
    <w:lvl w:ilvl="2" w:tplc="ADC617D0">
      <w:start w:val="1"/>
      <w:numFmt w:val="bullet"/>
      <w:lvlText w:val=""/>
      <w:lvlJc w:val="left"/>
      <w:pPr>
        <w:ind w:left="2160" w:hanging="360"/>
      </w:pPr>
      <w:rPr>
        <w:rFonts w:ascii="Wingdings" w:hAnsi="Wingdings" w:hint="default"/>
      </w:rPr>
    </w:lvl>
    <w:lvl w:ilvl="3" w:tplc="032C1D30">
      <w:start w:val="1"/>
      <w:numFmt w:val="bullet"/>
      <w:lvlText w:val=""/>
      <w:lvlJc w:val="left"/>
      <w:pPr>
        <w:ind w:left="2880" w:hanging="360"/>
      </w:pPr>
      <w:rPr>
        <w:rFonts w:ascii="Symbol" w:hAnsi="Symbol" w:hint="default"/>
      </w:rPr>
    </w:lvl>
    <w:lvl w:ilvl="4" w:tplc="3CB8DA1E">
      <w:start w:val="1"/>
      <w:numFmt w:val="bullet"/>
      <w:lvlText w:val="o"/>
      <w:lvlJc w:val="left"/>
      <w:pPr>
        <w:ind w:left="3600" w:hanging="360"/>
      </w:pPr>
      <w:rPr>
        <w:rFonts w:ascii="Courier New" w:hAnsi="Courier New" w:hint="default"/>
      </w:rPr>
    </w:lvl>
    <w:lvl w:ilvl="5" w:tplc="540A6A70">
      <w:start w:val="1"/>
      <w:numFmt w:val="bullet"/>
      <w:lvlText w:val=""/>
      <w:lvlJc w:val="left"/>
      <w:pPr>
        <w:ind w:left="4320" w:hanging="360"/>
      </w:pPr>
      <w:rPr>
        <w:rFonts w:ascii="Wingdings" w:hAnsi="Wingdings" w:hint="default"/>
      </w:rPr>
    </w:lvl>
    <w:lvl w:ilvl="6" w:tplc="D6344BE2">
      <w:start w:val="1"/>
      <w:numFmt w:val="bullet"/>
      <w:lvlText w:val=""/>
      <w:lvlJc w:val="left"/>
      <w:pPr>
        <w:ind w:left="5040" w:hanging="360"/>
      </w:pPr>
      <w:rPr>
        <w:rFonts w:ascii="Symbol" w:hAnsi="Symbol" w:hint="default"/>
      </w:rPr>
    </w:lvl>
    <w:lvl w:ilvl="7" w:tplc="8DA0D868">
      <w:start w:val="1"/>
      <w:numFmt w:val="bullet"/>
      <w:lvlText w:val="o"/>
      <w:lvlJc w:val="left"/>
      <w:pPr>
        <w:ind w:left="5760" w:hanging="360"/>
      </w:pPr>
      <w:rPr>
        <w:rFonts w:ascii="Courier New" w:hAnsi="Courier New" w:hint="default"/>
      </w:rPr>
    </w:lvl>
    <w:lvl w:ilvl="8" w:tplc="ACE2023C">
      <w:start w:val="1"/>
      <w:numFmt w:val="bullet"/>
      <w:lvlText w:val=""/>
      <w:lvlJc w:val="left"/>
      <w:pPr>
        <w:ind w:left="6480" w:hanging="360"/>
      </w:pPr>
      <w:rPr>
        <w:rFonts w:ascii="Wingdings" w:hAnsi="Wingdings" w:hint="default"/>
      </w:rPr>
    </w:lvl>
  </w:abstractNum>
  <w:abstractNum w:abstractNumId="18" w15:restartNumberingAfterBreak="0">
    <w:nsid w:val="0B57DA07"/>
    <w:multiLevelType w:val="hybridMultilevel"/>
    <w:tmpl w:val="FFFFFFFF"/>
    <w:lvl w:ilvl="0" w:tplc="DE504186">
      <w:start w:val="1"/>
      <w:numFmt w:val="bullet"/>
      <w:lvlText w:val="·"/>
      <w:lvlJc w:val="left"/>
      <w:pPr>
        <w:ind w:left="720" w:hanging="360"/>
      </w:pPr>
      <w:rPr>
        <w:rFonts w:ascii="Symbol" w:hAnsi="Symbol" w:hint="default"/>
      </w:rPr>
    </w:lvl>
    <w:lvl w:ilvl="1" w:tplc="0972B7AA">
      <w:start w:val="1"/>
      <w:numFmt w:val="bullet"/>
      <w:lvlText w:val="o"/>
      <w:lvlJc w:val="left"/>
      <w:pPr>
        <w:ind w:left="1440" w:hanging="360"/>
      </w:pPr>
      <w:rPr>
        <w:rFonts w:ascii="Courier New" w:hAnsi="Courier New" w:hint="default"/>
      </w:rPr>
    </w:lvl>
    <w:lvl w:ilvl="2" w:tplc="97AACA5A">
      <w:start w:val="1"/>
      <w:numFmt w:val="bullet"/>
      <w:lvlText w:val=""/>
      <w:lvlJc w:val="left"/>
      <w:pPr>
        <w:ind w:left="2160" w:hanging="360"/>
      </w:pPr>
      <w:rPr>
        <w:rFonts w:ascii="Wingdings" w:hAnsi="Wingdings" w:hint="default"/>
      </w:rPr>
    </w:lvl>
    <w:lvl w:ilvl="3" w:tplc="6156AAE2">
      <w:start w:val="1"/>
      <w:numFmt w:val="bullet"/>
      <w:lvlText w:val=""/>
      <w:lvlJc w:val="left"/>
      <w:pPr>
        <w:ind w:left="2880" w:hanging="360"/>
      </w:pPr>
      <w:rPr>
        <w:rFonts w:ascii="Symbol" w:hAnsi="Symbol" w:hint="default"/>
      </w:rPr>
    </w:lvl>
    <w:lvl w:ilvl="4" w:tplc="53A09DE2">
      <w:start w:val="1"/>
      <w:numFmt w:val="bullet"/>
      <w:lvlText w:val="o"/>
      <w:lvlJc w:val="left"/>
      <w:pPr>
        <w:ind w:left="3600" w:hanging="360"/>
      </w:pPr>
      <w:rPr>
        <w:rFonts w:ascii="Courier New" w:hAnsi="Courier New" w:hint="default"/>
      </w:rPr>
    </w:lvl>
    <w:lvl w:ilvl="5" w:tplc="750232B2">
      <w:start w:val="1"/>
      <w:numFmt w:val="bullet"/>
      <w:lvlText w:val=""/>
      <w:lvlJc w:val="left"/>
      <w:pPr>
        <w:ind w:left="4320" w:hanging="360"/>
      </w:pPr>
      <w:rPr>
        <w:rFonts w:ascii="Wingdings" w:hAnsi="Wingdings" w:hint="default"/>
      </w:rPr>
    </w:lvl>
    <w:lvl w:ilvl="6" w:tplc="60EE14D8">
      <w:start w:val="1"/>
      <w:numFmt w:val="bullet"/>
      <w:lvlText w:val=""/>
      <w:lvlJc w:val="left"/>
      <w:pPr>
        <w:ind w:left="5040" w:hanging="360"/>
      </w:pPr>
      <w:rPr>
        <w:rFonts w:ascii="Symbol" w:hAnsi="Symbol" w:hint="default"/>
      </w:rPr>
    </w:lvl>
    <w:lvl w:ilvl="7" w:tplc="F1109444">
      <w:start w:val="1"/>
      <w:numFmt w:val="bullet"/>
      <w:lvlText w:val="o"/>
      <w:lvlJc w:val="left"/>
      <w:pPr>
        <w:ind w:left="5760" w:hanging="360"/>
      </w:pPr>
      <w:rPr>
        <w:rFonts w:ascii="Courier New" w:hAnsi="Courier New" w:hint="default"/>
      </w:rPr>
    </w:lvl>
    <w:lvl w:ilvl="8" w:tplc="60B43F62">
      <w:start w:val="1"/>
      <w:numFmt w:val="bullet"/>
      <w:lvlText w:val=""/>
      <w:lvlJc w:val="left"/>
      <w:pPr>
        <w:ind w:left="6480" w:hanging="360"/>
      </w:pPr>
      <w:rPr>
        <w:rFonts w:ascii="Wingdings" w:hAnsi="Wingdings" w:hint="default"/>
      </w:rPr>
    </w:lvl>
  </w:abstractNum>
  <w:abstractNum w:abstractNumId="19" w15:restartNumberingAfterBreak="0">
    <w:nsid w:val="0C3FAC24"/>
    <w:multiLevelType w:val="hybridMultilevel"/>
    <w:tmpl w:val="D2C681BC"/>
    <w:lvl w:ilvl="0" w:tplc="FFFFFFFF">
      <w:start w:val="1"/>
      <w:numFmt w:val="bullet"/>
      <w:lvlText w:val=""/>
      <w:lvlJc w:val="left"/>
      <w:pPr>
        <w:ind w:left="720" w:hanging="360"/>
      </w:pPr>
      <w:rPr>
        <w:rFonts w:ascii="Symbol" w:hAnsi="Symbol" w:hint="default"/>
      </w:rPr>
    </w:lvl>
    <w:lvl w:ilvl="1" w:tplc="52945646">
      <w:start w:val="1"/>
      <w:numFmt w:val="bullet"/>
      <w:lvlText w:val="o"/>
      <w:lvlJc w:val="left"/>
      <w:pPr>
        <w:ind w:left="1440" w:hanging="360"/>
      </w:pPr>
      <w:rPr>
        <w:rFonts w:ascii="Courier New" w:hAnsi="Courier New" w:hint="default"/>
      </w:rPr>
    </w:lvl>
    <w:lvl w:ilvl="2" w:tplc="1C7414C0">
      <w:start w:val="1"/>
      <w:numFmt w:val="bullet"/>
      <w:lvlText w:val=""/>
      <w:lvlJc w:val="left"/>
      <w:pPr>
        <w:ind w:left="2160" w:hanging="360"/>
      </w:pPr>
      <w:rPr>
        <w:rFonts w:ascii="Wingdings" w:hAnsi="Wingdings" w:hint="default"/>
      </w:rPr>
    </w:lvl>
    <w:lvl w:ilvl="3" w:tplc="910C1B36">
      <w:start w:val="1"/>
      <w:numFmt w:val="bullet"/>
      <w:lvlText w:val=""/>
      <w:lvlJc w:val="left"/>
      <w:pPr>
        <w:ind w:left="2880" w:hanging="360"/>
      </w:pPr>
      <w:rPr>
        <w:rFonts w:ascii="Symbol" w:hAnsi="Symbol" w:hint="default"/>
      </w:rPr>
    </w:lvl>
    <w:lvl w:ilvl="4" w:tplc="4680F89C">
      <w:start w:val="1"/>
      <w:numFmt w:val="bullet"/>
      <w:lvlText w:val="o"/>
      <w:lvlJc w:val="left"/>
      <w:pPr>
        <w:ind w:left="3600" w:hanging="360"/>
      </w:pPr>
      <w:rPr>
        <w:rFonts w:ascii="Courier New" w:hAnsi="Courier New" w:hint="default"/>
      </w:rPr>
    </w:lvl>
    <w:lvl w:ilvl="5" w:tplc="229ACD78">
      <w:start w:val="1"/>
      <w:numFmt w:val="bullet"/>
      <w:lvlText w:val=""/>
      <w:lvlJc w:val="left"/>
      <w:pPr>
        <w:ind w:left="4320" w:hanging="360"/>
      </w:pPr>
      <w:rPr>
        <w:rFonts w:ascii="Wingdings" w:hAnsi="Wingdings" w:hint="default"/>
      </w:rPr>
    </w:lvl>
    <w:lvl w:ilvl="6" w:tplc="06C28EB8">
      <w:start w:val="1"/>
      <w:numFmt w:val="bullet"/>
      <w:lvlText w:val=""/>
      <w:lvlJc w:val="left"/>
      <w:pPr>
        <w:ind w:left="5040" w:hanging="360"/>
      </w:pPr>
      <w:rPr>
        <w:rFonts w:ascii="Symbol" w:hAnsi="Symbol" w:hint="default"/>
      </w:rPr>
    </w:lvl>
    <w:lvl w:ilvl="7" w:tplc="8A5C72E4">
      <w:start w:val="1"/>
      <w:numFmt w:val="bullet"/>
      <w:lvlText w:val="o"/>
      <w:lvlJc w:val="left"/>
      <w:pPr>
        <w:ind w:left="5760" w:hanging="360"/>
      </w:pPr>
      <w:rPr>
        <w:rFonts w:ascii="Courier New" w:hAnsi="Courier New" w:hint="default"/>
      </w:rPr>
    </w:lvl>
    <w:lvl w:ilvl="8" w:tplc="086A2616">
      <w:start w:val="1"/>
      <w:numFmt w:val="bullet"/>
      <w:lvlText w:val=""/>
      <w:lvlJc w:val="left"/>
      <w:pPr>
        <w:ind w:left="6480" w:hanging="360"/>
      </w:pPr>
      <w:rPr>
        <w:rFonts w:ascii="Wingdings" w:hAnsi="Wingdings" w:hint="default"/>
      </w:rPr>
    </w:lvl>
  </w:abstractNum>
  <w:abstractNum w:abstractNumId="20" w15:restartNumberingAfterBreak="0">
    <w:nsid w:val="0C6C364D"/>
    <w:multiLevelType w:val="hybridMultilevel"/>
    <w:tmpl w:val="B4DE29D6"/>
    <w:lvl w:ilvl="0" w:tplc="ED28BBB2">
      <w:start w:val="2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CBAABC4"/>
    <w:multiLevelType w:val="hybridMultilevel"/>
    <w:tmpl w:val="24CE704C"/>
    <w:lvl w:ilvl="0" w:tplc="A6E66714">
      <w:start w:val="1"/>
      <w:numFmt w:val="bullet"/>
      <w:lvlText w:val=""/>
      <w:lvlJc w:val="left"/>
      <w:pPr>
        <w:ind w:left="720" w:hanging="360"/>
      </w:pPr>
      <w:rPr>
        <w:rFonts w:ascii="Symbol" w:hAnsi="Symbol" w:hint="default"/>
      </w:rPr>
    </w:lvl>
    <w:lvl w:ilvl="1" w:tplc="DBC00E86">
      <w:start w:val="1"/>
      <w:numFmt w:val="bullet"/>
      <w:lvlText w:val="o"/>
      <w:lvlJc w:val="left"/>
      <w:pPr>
        <w:ind w:left="1440" w:hanging="360"/>
      </w:pPr>
      <w:rPr>
        <w:rFonts w:ascii="Courier New" w:hAnsi="Courier New" w:hint="default"/>
      </w:rPr>
    </w:lvl>
    <w:lvl w:ilvl="2" w:tplc="7C6EF318">
      <w:start w:val="1"/>
      <w:numFmt w:val="bullet"/>
      <w:lvlText w:val=""/>
      <w:lvlJc w:val="left"/>
      <w:pPr>
        <w:ind w:left="2160" w:hanging="360"/>
      </w:pPr>
      <w:rPr>
        <w:rFonts w:ascii="Wingdings" w:hAnsi="Wingdings" w:hint="default"/>
      </w:rPr>
    </w:lvl>
    <w:lvl w:ilvl="3" w:tplc="92484DE8">
      <w:start w:val="1"/>
      <w:numFmt w:val="bullet"/>
      <w:lvlText w:val=""/>
      <w:lvlJc w:val="left"/>
      <w:pPr>
        <w:ind w:left="2880" w:hanging="360"/>
      </w:pPr>
      <w:rPr>
        <w:rFonts w:ascii="Symbol" w:hAnsi="Symbol" w:hint="default"/>
      </w:rPr>
    </w:lvl>
    <w:lvl w:ilvl="4" w:tplc="1A802A2C">
      <w:start w:val="1"/>
      <w:numFmt w:val="bullet"/>
      <w:lvlText w:val="o"/>
      <w:lvlJc w:val="left"/>
      <w:pPr>
        <w:ind w:left="3600" w:hanging="360"/>
      </w:pPr>
      <w:rPr>
        <w:rFonts w:ascii="Courier New" w:hAnsi="Courier New" w:hint="default"/>
      </w:rPr>
    </w:lvl>
    <w:lvl w:ilvl="5" w:tplc="6094A9E8">
      <w:start w:val="1"/>
      <w:numFmt w:val="bullet"/>
      <w:lvlText w:val=""/>
      <w:lvlJc w:val="left"/>
      <w:pPr>
        <w:ind w:left="4320" w:hanging="360"/>
      </w:pPr>
      <w:rPr>
        <w:rFonts w:ascii="Wingdings" w:hAnsi="Wingdings" w:hint="default"/>
      </w:rPr>
    </w:lvl>
    <w:lvl w:ilvl="6" w:tplc="D36C5B2C">
      <w:start w:val="1"/>
      <w:numFmt w:val="bullet"/>
      <w:lvlText w:val=""/>
      <w:lvlJc w:val="left"/>
      <w:pPr>
        <w:ind w:left="5040" w:hanging="360"/>
      </w:pPr>
      <w:rPr>
        <w:rFonts w:ascii="Symbol" w:hAnsi="Symbol" w:hint="default"/>
      </w:rPr>
    </w:lvl>
    <w:lvl w:ilvl="7" w:tplc="03E6FBF6">
      <w:start w:val="1"/>
      <w:numFmt w:val="bullet"/>
      <w:lvlText w:val="o"/>
      <w:lvlJc w:val="left"/>
      <w:pPr>
        <w:ind w:left="5760" w:hanging="360"/>
      </w:pPr>
      <w:rPr>
        <w:rFonts w:ascii="Courier New" w:hAnsi="Courier New" w:hint="default"/>
      </w:rPr>
    </w:lvl>
    <w:lvl w:ilvl="8" w:tplc="A2481E46">
      <w:start w:val="1"/>
      <w:numFmt w:val="bullet"/>
      <w:lvlText w:val=""/>
      <w:lvlJc w:val="left"/>
      <w:pPr>
        <w:ind w:left="6480" w:hanging="360"/>
      </w:pPr>
      <w:rPr>
        <w:rFonts w:ascii="Wingdings" w:hAnsi="Wingdings" w:hint="default"/>
      </w:rPr>
    </w:lvl>
  </w:abstractNum>
  <w:abstractNum w:abstractNumId="22" w15:restartNumberingAfterBreak="0">
    <w:nsid w:val="0CEDB435"/>
    <w:multiLevelType w:val="hybridMultilevel"/>
    <w:tmpl w:val="FFFFFFFF"/>
    <w:lvl w:ilvl="0" w:tplc="55D44248">
      <w:start w:val="1"/>
      <w:numFmt w:val="bullet"/>
      <w:lvlText w:val=""/>
      <w:lvlJc w:val="left"/>
      <w:pPr>
        <w:ind w:left="720" w:hanging="360"/>
      </w:pPr>
      <w:rPr>
        <w:rFonts w:ascii="Symbol" w:hAnsi="Symbol" w:hint="default"/>
      </w:rPr>
    </w:lvl>
    <w:lvl w:ilvl="1" w:tplc="2C04FDA0">
      <w:start w:val="1"/>
      <w:numFmt w:val="bullet"/>
      <w:lvlText w:val="o"/>
      <w:lvlJc w:val="left"/>
      <w:pPr>
        <w:ind w:left="1440" w:hanging="360"/>
      </w:pPr>
      <w:rPr>
        <w:rFonts w:ascii="Courier New" w:hAnsi="Courier New" w:hint="default"/>
      </w:rPr>
    </w:lvl>
    <w:lvl w:ilvl="2" w:tplc="78E8F69A">
      <w:start w:val="1"/>
      <w:numFmt w:val="bullet"/>
      <w:lvlText w:val=""/>
      <w:lvlJc w:val="left"/>
      <w:pPr>
        <w:ind w:left="2160" w:hanging="360"/>
      </w:pPr>
      <w:rPr>
        <w:rFonts w:ascii="Wingdings" w:hAnsi="Wingdings" w:hint="default"/>
      </w:rPr>
    </w:lvl>
    <w:lvl w:ilvl="3" w:tplc="18B8A816">
      <w:start w:val="1"/>
      <w:numFmt w:val="bullet"/>
      <w:lvlText w:val=""/>
      <w:lvlJc w:val="left"/>
      <w:pPr>
        <w:ind w:left="2880" w:hanging="360"/>
      </w:pPr>
      <w:rPr>
        <w:rFonts w:ascii="Symbol" w:hAnsi="Symbol" w:hint="default"/>
      </w:rPr>
    </w:lvl>
    <w:lvl w:ilvl="4" w:tplc="0144F926">
      <w:start w:val="1"/>
      <w:numFmt w:val="bullet"/>
      <w:lvlText w:val="o"/>
      <w:lvlJc w:val="left"/>
      <w:pPr>
        <w:ind w:left="3600" w:hanging="360"/>
      </w:pPr>
      <w:rPr>
        <w:rFonts w:ascii="Courier New" w:hAnsi="Courier New" w:hint="default"/>
      </w:rPr>
    </w:lvl>
    <w:lvl w:ilvl="5" w:tplc="DFB83186">
      <w:start w:val="1"/>
      <w:numFmt w:val="bullet"/>
      <w:lvlText w:val=""/>
      <w:lvlJc w:val="left"/>
      <w:pPr>
        <w:ind w:left="4320" w:hanging="360"/>
      </w:pPr>
      <w:rPr>
        <w:rFonts w:ascii="Wingdings" w:hAnsi="Wingdings" w:hint="default"/>
      </w:rPr>
    </w:lvl>
    <w:lvl w:ilvl="6" w:tplc="4C1EB450">
      <w:start w:val="1"/>
      <w:numFmt w:val="bullet"/>
      <w:lvlText w:val=""/>
      <w:lvlJc w:val="left"/>
      <w:pPr>
        <w:ind w:left="5040" w:hanging="360"/>
      </w:pPr>
      <w:rPr>
        <w:rFonts w:ascii="Symbol" w:hAnsi="Symbol" w:hint="default"/>
      </w:rPr>
    </w:lvl>
    <w:lvl w:ilvl="7" w:tplc="1884C75A">
      <w:start w:val="1"/>
      <w:numFmt w:val="bullet"/>
      <w:lvlText w:val="o"/>
      <w:lvlJc w:val="left"/>
      <w:pPr>
        <w:ind w:left="5760" w:hanging="360"/>
      </w:pPr>
      <w:rPr>
        <w:rFonts w:ascii="Courier New" w:hAnsi="Courier New" w:hint="default"/>
      </w:rPr>
    </w:lvl>
    <w:lvl w:ilvl="8" w:tplc="6AACC650">
      <w:start w:val="1"/>
      <w:numFmt w:val="bullet"/>
      <w:lvlText w:val=""/>
      <w:lvlJc w:val="left"/>
      <w:pPr>
        <w:ind w:left="6480" w:hanging="360"/>
      </w:pPr>
      <w:rPr>
        <w:rFonts w:ascii="Wingdings" w:hAnsi="Wingdings" w:hint="default"/>
      </w:rPr>
    </w:lvl>
  </w:abstractNum>
  <w:abstractNum w:abstractNumId="23" w15:restartNumberingAfterBreak="0">
    <w:nsid w:val="0D342ADD"/>
    <w:multiLevelType w:val="hybridMultilevel"/>
    <w:tmpl w:val="3A0C4338"/>
    <w:lvl w:ilvl="0" w:tplc="14266574">
      <w:numFmt w:val="bullet"/>
      <w:lvlText w:val=""/>
      <w:lvlJc w:val="left"/>
      <w:pPr>
        <w:ind w:left="469" w:hanging="360"/>
      </w:pPr>
      <w:rPr>
        <w:rFonts w:ascii="Symbol" w:eastAsia="Symbol" w:hAnsi="Symbol" w:cs="Symbol" w:hint="default"/>
        <w:w w:val="99"/>
        <w:sz w:val="20"/>
        <w:szCs w:val="20"/>
        <w:lang w:val="en-US" w:eastAsia="en-US" w:bidi="ar-SA"/>
      </w:rPr>
    </w:lvl>
    <w:lvl w:ilvl="1" w:tplc="9B7C59EA">
      <w:numFmt w:val="bullet"/>
      <w:lvlText w:val="•"/>
      <w:lvlJc w:val="left"/>
      <w:pPr>
        <w:ind w:left="697" w:hanging="360"/>
      </w:pPr>
      <w:rPr>
        <w:rFonts w:hint="default"/>
        <w:lang w:val="en-US" w:eastAsia="en-US" w:bidi="ar-SA"/>
      </w:rPr>
    </w:lvl>
    <w:lvl w:ilvl="2" w:tplc="E8DE4DC8">
      <w:numFmt w:val="bullet"/>
      <w:lvlText w:val="•"/>
      <w:lvlJc w:val="left"/>
      <w:pPr>
        <w:ind w:left="935" w:hanging="360"/>
      </w:pPr>
      <w:rPr>
        <w:rFonts w:hint="default"/>
        <w:lang w:val="en-US" w:eastAsia="en-US" w:bidi="ar-SA"/>
      </w:rPr>
    </w:lvl>
    <w:lvl w:ilvl="3" w:tplc="5DF03616">
      <w:numFmt w:val="bullet"/>
      <w:lvlText w:val="•"/>
      <w:lvlJc w:val="left"/>
      <w:pPr>
        <w:ind w:left="1172" w:hanging="360"/>
      </w:pPr>
      <w:rPr>
        <w:rFonts w:hint="default"/>
        <w:lang w:val="en-US" w:eastAsia="en-US" w:bidi="ar-SA"/>
      </w:rPr>
    </w:lvl>
    <w:lvl w:ilvl="4" w:tplc="78548CE8">
      <w:numFmt w:val="bullet"/>
      <w:lvlText w:val="•"/>
      <w:lvlJc w:val="left"/>
      <w:pPr>
        <w:ind w:left="1410" w:hanging="360"/>
      </w:pPr>
      <w:rPr>
        <w:rFonts w:hint="default"/>
        <w:lang w:val="en-US" w:eastAsia="en-US" w:bidi="ar-SA"/>
      </w:rPr>
    </w:lvl>
    <w:lvl w:ilvl="5" w:tplc="14F08DE2">
      <w:numFmt w:val="bullet"/>
      <w:lvlText w:val="•"/>
      <w:lvlJc w:val="left"/>
      <w:pPr>
        <w:ind w:left="1648" w:hanging="360"/>
      </w:pPr>
      <w:rPr>
        <w:rFonts w:hint="default"/>
        <w:lang w:val="en-US" w:eastAsia="en-US" w:bidi="ar-SA"/>
      </w:rPr>
    </w:lvl>
    <w:lvl w:ilvl="6" w:tplc="A758761E">
      <w:numFmt w:val="bullet"/>
      <w:lvlText w:val="•"/>
      <w:lvlJc w:val="left"/>
      <w:pPr>
        <w:ind w:left="1885" w:hanging="360"/>
      </w:pPr>
      <w:rPr>
        <w:rFonts w:hint="default"/>
        <w:lang w:val="en-US" w:eastAsia="en-US" w:bidi="ar-SA"/>
      </w:rPr>
    </w:lvl>
    <w:lvl w:ilvl="7" w:tplc="D0D030DE">
      <w:numFmt w:val="bullet"/>
      <w:lvlText w:val="•"/>
      <w:lvlJc w:val="left"/>
      <w:pPr>
        <w:ind w:left="2123" w:hanging="360"/>
      </w:pPr>
      <w:rPr>
        <w:rFonts w:hint="default"/>
        <w:lang w:val="en-US" w:eastAsia="en-US" w:bidi="ar-SA"/>
      </w:rPr>
    </w:lvl>
    <w:lvl w:ilvl="8" w:tplc="2D321BEC">
      <w:numFmt w:val="bullet"/>
      <w:lvlText w:val="•"/>
      <w:lvlJc w:val="left"/>
      <w:pPr>
        <w:ind w:left="2360" w:hanging="360"/>
      </w:pPr>
      <w:rPr>
        <w:rFonts w:hint="default"/>
        <w:lang w:val="en-US" w:eastAsia="en-US" w:bidi="ar-SA"/>
      </w:rPr>
    </w:lvl>
  </w:abstractNum>
  <w:abstractNum w:abstractNumId="24" w15:restartNumberingAfterBreak="0">
    <w:nsid w:val="0D3ECA64"/>
    <w:multiLevelType w:val="hybridMultilevel"/>
    <w:tmpl w:val="1A5695A4"/>
    <w:lvl w:ilvl="0" w:tplc="19540444">
      <w:start w:val="1"/>
      <w:numFmt w:val="bullet"/>
      <w:lvlText w:val=""/>
      <w:lvlJc w:val="left"/>
      <w:pPr>
        <w:ind w:left="720" w:hanging="360"/>
      </w:pPr>
      <w:rPr>
        <w:rFonts w:ascii="Symbol" w:hAnsi="Symbol" w:hint="default"/>
      </w:rPr>
    </w:lvl>
    <w:lvl w:ilvl="1" w:tplc="F1120178">
      <w:start w:val="1"/>
      <w:numFmt w:val="bullet"/>
      <w:lvlText w:val="o"/>
      <w:lvlJc w:val="left"/>
      <w:pPr>
        <w:ind w:left="1440" w:hanging="360"/>
      </w:pPr>
      <w:rPr>
        <w:rFonts w:ascii="Courier New" w:hAnsi="Courier New" w:hint="default"/>
      </w:rPr>
    </w:lvl>
    <w:lvl w:ilvl="2" w:tplc="B57CE96C">
      <w:start w:val="1"/>
      <w:numFmt w:val="bullet"/>
      <w:lvlText w:val=""/>
      <w:lvlJc w:val="left"/>
      <w:pPr>
        <w:ind w:left="2160" w:hanging="360"/>
      </w:pPr>
      <w:rPr>
        <w:rFonts w:ascii="Wingdings" w:hAnsi="Wingdings" w:hint="default"/>
      </w:rPr>
    </w:lvl>
    <w:lvl w:ilvl="3" w:tplc="7968F0E6">
      <w:start w:val="1"/>
      <w:numFmt w:val="bullet"/>
      <w:lvlText w:val=""/>
      <w:lvlJc w:val="left"/>
      <w:pPr>
        <w:ind w:left="2880" w:hanging="360"/>
      </w:pPr>
      <w:rPr>
        <w:rFonts w:ascii="Symbol" w:hAnsi="Symbol" w:hint="default"/>
      </w:rPr>
    </w:lvl>
    <w:lvl w:ilvl="4" w:tplc="38660584">
      <w:start w:val="1"/>
      <w:numFmt w:val="bullet"/>
      <w:lvlText w:val="o"/>
      <w:lvlJc w:val="left"/>
      <w:pPr>
        <w:ind w:left="3600" w:hanging="360"/>
      </w:pPr>
      <w:rPr>
        <w:rFonts w:ascii="Courier New" w:hAnsi="Courier New" w:hint="default"/>
      </w:rPr>
    </w:lvl>
    <w:lvl w:ilvl="5" w:tplc="095A30F6">
      <w:start w:val="1"/>
      <w:numFmt w:val="bullet"/>
      <w:lvlText w:val=""/>
      <w:lvlJc w:val="left"/>
      <w:pPr>
        <w:ind w:left="4320" w:hanging="360"/>
      </w:pPr>
      <w:rPr>
        <w:rFonts w:ascii="Wingdings" w:hAnsi="Wingdings" w:hint="default"/>
      </w:rPr>
    </w:lvl>
    <w:lvl w:ilvl="6" w:tplc="D5EC40CA">
      <w:start w:val="1"/>
      <w:numFmt w:val="bullet"/>
      <w:lvlText w:val=""/>
      <w:lvlJc w:val="left"/>
      <w:pPr>
        <w:ind w:left="5040" w:hanging="360"/>
      </w:pPr>
      <w:rPr>
        <w:rFonts w:ascii="Symbol" w:hAnsi="Symbol" w:hint="default"/>
      </w:rPr>
    </w:lvl>
    <w:lvl w:ilvl="7" w:tplc="FFC81F76">
      <w:start w:val="1"/>
      <w:numFmt w:val="bullet"/>
      <w:lvlText w:val="o"/>
      <w:lvlJc w:val="left"/>
      <w:pPr>
        <w:ind w:left="5760" w:hanging="360"/>
      </w:pPr>
      <w:rPr>
        <w:rFonts w:ascii="Courier New" w:hAnsi="Courier New" w:hint="default"/>
      </w:rPr>
    </w:lvl>
    <w:lvl w:ilvl="8" w:tplc="71E83382">
      <w:start w:val="1"/>
      <w:numFmt w:val="bullet"/>
      <w:lvlText w:val=""/>
      <w:lvlJc w:val="left"/>
      <w:pPr>
        <w:ind w:left="6480" w:hanging="360"/>
      </w:pPr>
      <w:rPr>
        <w:rFonts w:ascii="Wingdings" w:hAnsi="Wingdings" w:hint="default"/>
      </w:rPr>
    </w:lvl>
  </w:abstractNum>
  <w:abstractNum w:abstractNumId="25" w15:restartNumberingAfterBreak="0">
    <w:nsid w:val="0D650A49"/>
    <w:multiLevelType w:val="hybridMultilevel"/>
    <w:tmpl w:val="316C7508"/>
    <w:lvl w:ilvl="0" w:tplc="DAA45780">
      <w:start w:val="3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0D775CEC"/>
    <w:multiLevelType w:val="hybridMultilevel"/>
    <w:tmpl w:val="FFFFFFFF"/>
    <w:lvl w:ilvl="0" w:tplc="B204BCD8">
      <w:start w:val="1"/>
      <w:numFmt w:val="bullet"/>
      <w:lvlText w:val=""/>
      <w:lvlJc w:val="left"/>
      <w:pPr>
        <w:ind w:left="720" w:hanging="360"/>
      </w:pPr>
      <w:rPr>
        <w:rFonts w:ascii="Symbol" w:hAnsi="Symbol" w:hint="default"/>
      </w:rPr>
    </w:lvl>
    <w:lvl w:ilvl="1" w:tplc="4A7E2878">
      <w:start w:val="1"/>
      <w:numFmt w:val="bullet"/>
      <w:lvlText w:val="o"/>
      <w:lvlJc w:val="left"/>
      <w:pPr>
        <w:ind w:left="1440" w:hanging="360"/>
      </w:pPr>
      <w:rPr>
        <w:rFonts w:ascii="Courier New" w:hAnsi="Courier New" w:hint="default"/>
      </w:rPr>
    </w:lvl>
    <w:lvl w:ilvl="2" w:tplc="07F6A94A">
      <w:start w:val="1"/>
      <w:numFmt w:val="bullet"/>
      <w:lvlText w:val=""/>
      <w:lvlJc w:val="left"/>
      <w:pPr>
        <w:ind w:left="2160" w:hanging="360"/>
      </w:pPr>
      <w:rPr>
        <w:rFonts w:ascii="Wingdings" w:hAnsi="Wingdings" w:hint="default"/>
      </w:rPr>
    </w:lvl>
    <w:lvl w:ilvl="3" w:tplc="2C9A5762">
      <w:start w:val="1"/>
      <w:numFmt w:val="bullet"/>
      <w:lvlText w:val=""/>
      <w:lvlJc w:val="left"/>
      <w:pPr>
        <w:ind w:left="2880" w:hanging="360"/>
      </w:pPr>
      <w:rPr>
        <w:rFonts w:ascii="Symbol" w:hAnsi="Symbol" w:hint="default"/>
      </w:rPr>
    </w:lvl>
    <w:lvl w:ilvl="4" w:tplc="B86C8A1C">
      <w:start w:val="1"/>
      <w:numFmt w:val="bullet"/>
      <w:lvlText w:val="o"/>
      <w:lvlJc w:val="left"/>
      <w:pPr>
        <w:ind w:left="3600" w:hanging="360"/>
      </w:pPr>
      <w:rPr>
        <w:rFonts w:ascii="Courier New" w:hAnsi="Courier New" w:hint="default"/>
      </w:rPr>
    </w:lvl>
    <w:lvl w:ilvl="5" w:tplc="CA7ED4F2">
      <w:start w:val="1"/>
      <w:numFmt w:val="bullet"/>
      <w:lvlText w:val=""/>
      <w:lvlJc w:val="left"/>
      <w:pPr>
        <w:ind w:left="4320" w:hanging="360"/>
      </w:pPr>
      <w:rPr>
        <w:rFonts w:ascii="Wingdings" w:hAnsi="Wingdings" w:hint="default"/>
      </w:rPr>
    </w:lvl>
    <w:lvl w:ilvl="6" w:tplc="E814EAA4">
      <w:start w:val="1"/>
      <w:numFmt w:val="bullet"/>
      <w:lvlText w:val=""/>
      <w:lvlJc w:val="left"/>
      <w:pPr>
        <w:ind w:left="5040" w:hanging="360"/>
      </w:pPr>
      <w:rPr>
        <w:rFonts w:ascii="Symbol" w:hAnsi="Symbol" w:hint="default"/>
      </w:rPr>
    </w:lvl>
    <w:lvl w:ilvl="7" w:tplc="2ED05210">
      <w:start w:val="1"/>
      <w:numFmt w:val="bullet"/>
      <w:lvlText w:val="o"/>
      <w:lvlJc w:val="left"/>
      <w:pPr>
        <w:ind w:left="5760" w:hanging="360"/>
      </w:pPr>
      <w:rPr>
        <w:rFonts w:ascii="Courier New" w:hAnsi="Courier New" w:hint="default"/>
      </w:rPr>
    </w:lvl>
    <w:lvl w:ilvl="8" w:tplc="BDBC70D6">
      <w:start w:val="1"/>
      <w:numFmt w:val="bullet"/>
      <w:lvlText w:val=""/>
      <w:lvlJc w:val="left"/>
      <w:pPr>
        <w:ind w:left="6480" w:hanging="360"/>
      </w:pPr>
      <w:rPr>
        <w:rFonts w:ascii="Wingdings" w:hAnsi="Wingdings" w:hint="default"/>
      </w:rPr>
    </w:lvl>
  </w:abstractNum>
  <w:abstractNum w:abstractNumId="27" w15:restartNumberingAfterBreak="0">
    <w:nsid w:val="0E1E4705"/>
    <w:multiLevelType w:val="hybridMultilevel"/>
    <w:tmpl w:val="A0EE413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102C28C2"/>
    <w:multiLevelType w:val="hybridMultilevel"/>
    <w:tmpl w:val="452E6C16"/>
    <w:lvl w:ilvl="0" w:tplc="114E4B3E">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29" w15:restartNumberingAfterBreak="0">
    <w:nsid w:val="10F10E56"/>
    <w:multiLevelType w:val="hybridMultilevel"/>
    <w:tmpl w:val="6298D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1D41EDD"/>
    <w:multiLevelType w:val="hybridMultilevel"/>
    <w:tmpl w:val="85E2CEC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149436ED"/>
    <w:multiLevelType w:val="hybridMultilevel"/>
    <w:tmpl w:val="C5FC0B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15807207"/>
    <w:multiLevelType w:val="hybridMultilevel"/>
    <w:tmpl w:val="7AFA52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16667C21"/>
    <w:multiLevelType w:val="hybridMultilevel"/>
    <w:tmpl w:val="AA82D8CE"/>
    <w:lvl w:ilvl="0" w:tplc="1242B064">
      <w:numFmt w:val="bullet"/>
      <w:lvlText w:val=""/>
      <w:lvlJc w:val="left"/>
      <w:pPr>
        <w:ind w:left="468" w:hanging="361"/>
      </w:pPr>
      <w:rPr>
        <w:rFonts w:ascii="Symbol" w:eastAsia="Symbol" w:hAnsi="Symbol" w:cs="Symbol" w:hint="default"/>
        <w:w w:val="99"/>
        <w:sz w:val="20"/>
        <w:szCs w:val="20"/>
        <w:lang w:val="en-US" w:eastAsia="en-US" w:bidi="ar-SA"/>
      </w:rPr>
    </w:lvl>
    <w:lvl w:ilvl="1" w:tplc="8A184624">
      <w:numFmt w:val="bullet"/>
      <w:lvlText w:val="•"/>
      <w:lvlJc w:val="left"/>
      <w:pPr>
        <w:ind w:left="669" w:hanging="361"/>
      </w:pPr>
      <w:rPr>
        <w:rFonts w:hint="default"/>
        <w:lang w:val="en-US" w:eastAsia="en-US" w:bidi="ar-SA"/>
      </w:rPr>
    </w:lvl>
    <w:lvl w:ilvl="2" w:tplc="5C8A94B8">
      <w:numFmt w:val="bullet"/>
      <w:lvlText w:val="•"/>
      <w:lvlJc w:val="left"/>
      <w:pPr>
        <w:ind w:left="878" w:hanging="361"/>
      </w:pPr>
      <w:rPr>
        <w:rFonts w:hint="default"/>
        <w:lang w:val="en-US" w:eastAsia="en-US" w:bidi="ar-SA"/>
      </w:rPr>
    </w:lvl>
    <w:lvl w:ilvl="3" w:tplc="DF94C150">
      <w:numFmt w:val="bullet"/>
      <w:lvlText w:val="•"/>
      <w:lvlJc w:val="left"/>
      <w:pPr>
        <w:ind w:left="1087" w:hanging="361"/>
      </w:pPr>
      <w:rPr>
        <w:rFonts w:hint="default"/>
        <w:lang w:val="en-US" w:eastAsia="en-US" w:bidi="ar-SA"/>
      </w:rPr>
    </w:lvl>
    <w:lvl w:ilvl="4" w:tplc="916C8908">
      <w:numFmt w:val="bullet"/>
      <w:lvlText w:val="•"/>
      <w:lvlJc w:val="left"/>
      <w:pPr>
        <w:ind w:left="1296" w:hanging="361"/>
      </w:pPr>
      <w:rPr>
        <w:rFonts w:hint="default"/>
        <w:lang w:val="en-US" w:eastAsia="en-US" w:bidi="ar-SA"/>
      </w:rPr>
    </w:lvl>
    <w:lvl w:ilvl="5" w:tplc="9D880E62">
      <w:numFmt w:val="bullet"/>
      <w:lvlText w:val="•"/>
      <w:lvlJc w:val="left"/>
      <w:pPr>
        <w:ind w:left="1505" w:hanging="361"/>
      </w:pPr>
      <w:rPr>
        <w:rFonts w:hint="default"/>
        <w:lang w:val="en-US" w:eastAsia="en-US" w:bidi="ar-SA"/>
      </w:rPr>
    </w:lvl>
    <w:lvl w:ilvl="6" w:tplc="00284702">
      <w:numFmt w:val="bullet"/>
      <w:lvlText w:val="•"/>
      <w:lvlJc w:val="left"/>
      <w:pPr>
        <w:ind w:left="1714" w:hanging="361"/>
      </w:pPr>
      <w:rPr>
        <w:rFonts w:hint="default"/>
        <w:lang w:val="en-US" w:eastAsia="en-US" w:bidi="ar-SA"/>
      </w:rPr>
    </w:lvl>
    <w:lvl w:ilvl="7" w:tplc="7E52878E">
      <w:numFmt w:val="bullet"/>
      <w:lvlText w:val="•"/>
      <w:lvlJc w:val="left"/>
      <w:pPr>
        <w:ind w:left="1923" w:hanging="361"/>
      </w:pPr>
      <w:rPr>
        <w:rFonts w:hint="default"/>
        <w:lang w:val="en-US" w:eastAsia="en-US" w:bidi="ar-SA"/>
      </w:rPr>
    </w:lvl>
    <w:lvl w:ilvl="8" w:tplc="D07EEB86">
      <w:numFmt w:val="bullet"/>
      <w:lvlText w:val="•"/>
      <w:lvlJc w:val="left"/>
      <w:pPr>
        <w:ind w:left="2132" w:hanging="361"/>
      </w:pPr>
      <w:rPr>
        <w:rFonts w:hint="default"/>
        <w:lang w:val="en-US" w:eastAsia="en-US" w:bidi="ar-SA"/>
      </w:rPr>
    </w:lvl>
  </w:abstractNum>
  <w:abstractNum w:abstractNumId="34" w15:restartNumberingAfterBreak="0">
    <w:nsid w:val="17344B77"/>
    <w:multiLevelType w:val="hybridMultilevel"/>
    <w:tmpl w:val="BCE29C6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193540EF"/>
    <w:multiLevelType w:val="multilevel"/>
    <w:tmpl w:val="9F3C6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AB6B73"/>
    <w:multiLevelType w:val="hybridMultilevel"/>
    <w:tmpl w:val="9FC24522"/>
    <w:lvl w:ilvl="0" w:tplc="78420082">
      <w:start w:val="3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1A9E66EB"/>
    <w:multiLevelType w:val="hybridMultilevel"/>
    <w:tmpl w:val="D1CC3AAE"/>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38" w15:restartNumberingAfterBreak="0">
    <w:nsid w:val="1BB48A55"/>
    <w:multiLevelType w:val="hybridMultilevel"/>
    <w:tmpl w:val="FFFFFFFF"/>
    <w:lvl w:ilvl="0" w:tplc="96F4A058">
      <w:start w:val="1"/>
      <w:numFmt w:val="bullet"/>
      <w:lvlText w:val="-"/>
      <w:lvlJc w:val="left"/>
      <w:pPr>
        <w:ind w:left="720" w:hanging="360"/>
      </w:pPr>
      <w:rPr>
        <w:rFonts w:ascii="Calibri" w:hAnsi="Calibri" w:hint="default"/>
      </w:rPr>
    </w:lvl>
    <w:lvl w:ilvl="1" w:tplc="F17CC3A6">
      <w:start w:val="1"/>
      <w:numFmt w:val="bullet"/>
      <w:lvlText w:val="o"/>
      <w:lvlJc w:val="left"/>
      <w:pPr>
        <w:ind w:left="1440" w:hanging="360"/>
      </w:pPr>
      <w:rPr>
        <w:rFonts w:ascii="Courier New" w:hAnsi="Courier New" w:hint="default"/>
      </w:rPr>
    </w:lvl>
    <w:lvl w:ilvl="2" w:tplc="68E82CF8">
      <w:start w:val="1"/>
      <w:numFmt w:val="bullet"/>
      <w:lvlText w:val=""/>
      <w:lvlJc w:val="left"/>
      <w:pPr>
        <w:ind w:left="2160" w:hanging="360"/>
      </w:pPr>
      <w:rPr>
        <w:rFonts w:ascii="Wingdings" w:hAnsi="Wingdings" w:hint="default"/>
      </w:rPr>
    </w:lvl>
    <w:lvl w:ilvl="3" w:tplc="7D464218">
      <w:start w:val="1"/>
      <w:numFmt w:val="bullet"/>
      <w:lvlText w:val=""/>
      <w:lvlJc w:val="left"/>
      <w:pPr>
        <w:ind w:left="2880" w:hanging="360"/>
      </w:pPr>
      <w:rPr>
        <w:rFonts w:ascii="Symbol" w:hAnsi="Symbol" w:hint="default"/>
      </w:rPr>
    </w:lvl>
    <w:lvl w:ilvl="4" w:tplc="E7C88970">
      <w:start w:val="1"/>
      <w:numFmt w:val="bullet"/>
      <w:lvlText w:val="o"/>
      <w:lvlJc w:val="left"/>
      <w:pPr>
        <w:ind w:left="3600" w:hanging="360"/>
      </w:pPr>
      <w:rPr>
        <w:rFonts w:ascii="Courier New" w:hAnsi="Courier New" w:hint="default"/>
      </w:rPr>
    </w:lvl>
    <w:lvl w:ilvl="5" w:tplc="223CA1DA">
      <w:start w:val="1"/>
      <w:numFmt w:val="bullet"/>
      <w:lvlText w:val=""/>
      <w:lvlJc w:val="left"/>
      <w:pPr>
        <w:ind w:left="4320" w:hanging="360"/>
      </w:pPr>
      <w:rPr>
        <w:rFonts w:ascii="Wingdings" w:hAnsi="Wingdings" w:hint="default"/>
      </w:rPr>
    </w:lvl>
    <w:lvl w:ilvl="6" w:tplc="D98A1AEC">
      <w:start w:val="1"/>
      <w:numFmt w:val="bullet"/>
      <w:lvlText w:val=""/>
      <w:lvlJc w:val="left"/>
      <w:pPr>
        <w:ind w:left="5040" w:hanging="360"/>
      </w:pPr>
      <w:rPr>
        <w:rFonts w:ascii="Symbol" w:hAnsi="Symbol" w:hint="default"/>
      </w:rPr>
    </w:lvl>
    <w:lvl w:ilvl="7" w:tplc="3308465E">
      <w:start w:val="1"/>
      <w:numFmt w:val="bullet"/>
      <w:lvlText w:val="o"/>
      <w:lvlJc w:val="left"/>
      <w:pPr>
        <w:ind w:left="5760" w:hanging="360"/>
      </w:pPr>
      <w:rPr>
        <w:rFonts w:ascii="Courier New" w:hAnsi="Courier New" w:hint="default"/>
      </w:rPr>
    </w:lvl>
    <w:lvl w:ilvl="8" w:tplc="D048E3DE">
      <w:start w:val="1"/>
      <w:numFmt w:val="bullet"/>
      <w:lvlText w:val=""/>
      <w:lvlJc w:val="left"/>
      <w:pPr>
        <w:ind w:left="6480" w:hanging="360"/>
      </w:pPr>
      <w:rPr>
        <w:rFonts w:ascii="Wingdings" w:hAnsi="Wingdings" w:hint="default"/>
      </w:rPr>
    </w:lvl>
  </w:abstractNum>
  <w:abstractNum w:abstractNumId="39" w15:restartNumberingAfterBreak="0">
    <w:nsid w:val="1BCCB678"/>
    <w:multiLevelType w:val="hybridMultilevel"/>
    <w:tmpl w:val="FFFFFFFF"/>
    <w:lvl w:ilvl="0" w:tplc="DDB2B7AE">
      <w:start w:val="1"/>
      <w:numFmt w:val="bullet"/>
      <w:lvlText w:val="-"/>
      <w:lvlJc w:val="left"/>
      <w:pPr>
        <w:ind w:left="720" w:hanging="360"/>
      </w:pPr>
      <w:rPr>
        <w:rFonts w:ascii="Calibri" w:hAnsi="Calibri" w:hint="default"/>
      </w:rPr>
    </w:lvl>
    <w:lvl w:ilvl="1" w:tplc="125E19E6">
      <w:start w:val="1"/>
      <w:numFmt w:val="bullet"/>
      <w:lvlText w:val="o"/>
      <w:lvlJc w:val="left"/>
      <w:pPr>
        <w:ind w:left="1440" w:hanging="360"/>
      </w:pPr>
      <w:rPr>
        <w:rFonts w:ascii="Courier New" w:hAnsi="Courier New" w:hint="default"/>
      </w:rPr>
    </w:lvl>
    <w:lvl w:ilvl="2" w:tplc="F63046D0">
      <w:start w:val="1"/>
      <w:numFmt w:val="bullet"/>
      <w:lvlText w:val=""/>
      <w:lvlJc w:val="left"/>
      <w:pPr>
        <w:ind w:left="2160" w:hanging="360"/>
      </w:pPr>
      <w:rPr>
        <w:rFonts w:ascii="Wingdings" w:hAnsi="Wingdings" w:hint="default"/>
      </w:rPr>
    </w:lvl>
    <w:lvl w:ilvl="3" w:tplc="0C3E092A">
      <w:start w:val="1"/>
      <w:numFmt w:val="bullet"/>
      <w:lvlText w:val=""/>
      <w:lvlJc w:val="left"/>
      <w:pPr>
        <w:ind w:left="2880" w:hanging="360"/>
      </w:pPr>
      <w:rPr>
        <w:rFonts w:ascii="Symbol" w:hAnsi="Symbol" w:hint="default"/>
      </w:rPr>
    </w:lvl>
    <w:lvl w:ilvl="4" w:tplc="FF5E66A0">
      <w:start w:val="1"/>
      <w:numFmt w:val="bullet"/>
      <w:lvlText w:val="o"/>
      <w:lvlJc w:val="left"/>
      <w:pPr>
        <w:ind w:left="3600" w:hanging="360"/>
      </w:pPr>
      <w:rPr>
        <w:rFonts w:ascii="Courier New" w:hAnsi="Courier New" w:hint="default"/>
      </w:rPr>
    </w:lvl>
    <w:lvl w:ilvl="5" w:tplc="6B74D80C">
      <w:start w:val="1"/>
      <w:numFmt w:val="bullet"/>
      <w:lvlText w:val=""/>
      <w:lvlJc w:val="left"/>
      <w:pPr>
        <w:ind w:left="4320" w:hanging="360"/>
      </w:pPr>
      <w:rPr>
        <w:rFonts w:ascii="Wingdings" w:hAnsi="Wingdings" w:hint="default"/>
      </w:rPr>
    </w:lvl>
    <w:lvl w:ilvl="6" w:tplc="F8E63F4A">
      <w:start w:val="1"/>
      <w:numFmt w:val="bullet"/>
      <w:lvlText w:val=""/>
      <w:lvlJc w:val="left"/>
      <w:pPr>
        <w:ind w:left="5040" w:hanging="360"/>
      </w:pPr>
      <w:rPr>
        <w:rFonts w:ascii="Symbol" w:hAnsi="Symbol" w:hint="default"/>
      </w:rPr>
    </w:lvl>
    <w:lvl w:ilvl="7" w:tplc="85CEABDC">
      <w:start w:val="1"/>
      <w:numFmt w:val="bullet"/>
      <w:lvlText w:val="o"/>
      <w:lvlJc w:val="left"/>
      <w:pPr>
        <w:ind w:left="5760" w:hanging="360"/>
      </w:pPr>
      <w:rPr>
        <w:rFonts w:ascii="Courier New" w:hAnsi="Courier New" w:hint="default"/>
      </w:rPr>
    </w:lvl>
    <w:lvl w:ilvl="8" w:tplc="8520A4A2">
      <w:start w:val="1"/>
      <w:numFmt w:val="bullet"/>
      <w:lvlText w:val=""/>
      <w:lvlJc w:val="left"/>
      <w:pPr>
        <w:ind w:left="6480" w:hanging="360"/>
      </w:pPr>
      <w:rPr>
        <w:rFonts w:ascii="Wingdings" w:hAnsi="Wingdings" w:hint="default"/>
      </w:rPr>
    </w:lvl>
  </w:abstractNum>
  <w:abstractNum w:abstractNumId="40" w15:restartNumberingAfterBreak="0">
    <w:nsid w:val="1C692B23"/>
    <w:multiLevelType w:val="hybridMultilevel"/>
    <w:tmpl w:val="145C758E"/>
    <w:lvl w:ilvl="0" w:tplc="0F9ACD40">
      <w:start w:val="1"/>
      <w:numFmt w:val="lowerLetter"/>
      <w:lvlText w:val="(%1)"/>
      <w:lvlJc w:val="left"/>
      <w:pPr>
        <w:ind w:left="1608" w:hanging="360"/>
      </w:pPr>
      <w:rPr>
        <w:rFonts w:ascii="Times New Roman" w:eastAsia="Times New Roman" w:hAnsi="Times New Roman" w:cs="Times New Roman" w:hint="default"/>
        <w:w w:val="100"/>
        <w:sz w:val="22"/>
        <w:szCs w:val="22"/>
        <w:lang w:val="en-US" w:eastAsia="en-US" w:bidi="ar-SA"/>
      </w:rPr>
    </w:lvl>
    <w:lvl w:ilvl="1" w:tplc="BB4E2084">
      <w:start w:val="1"/>
      <w:numFmt w:val="lowerLetter"/>
      <w:lvlText w:val="(%2)"/>
      <w:lvlJc w:val="left"/>
      <w:pPr>
        <w:ind w:left="2328" w:hanging="360"/>
      </w:pPr>
      <w:rPr>
        <w:rFonts w:ascii="Times New Roman" w:eastAsia="Times New Roman" w:hAnsi="Times New Roman" w:cs="Times New Roman" w:hint="default"/>
        <w:w w:val="99"/>
        <w:sz w:val="20"/>
        <w:szCs w:val="20"/>
        <w:lang w:val="en-US" w:eastAsia="en-US" w:bidi="ar-SA"/>
      </w:r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1" w15:restartNumberingAfterBreak="0">
    <w:nsid w:val="1CD72CBC"/>
    <w:multiLevelType w:val="hybridMultilevel"/>
    <w:tmpl w:val="C2CCB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C84080"/>
    <w:multiLevelType w:val="hybridMultilevel"/>
    <w:tmpl w:val="5C9AE28A"/>
    <w:lvl w:ilvl="0" w:tplc="761802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DE636CB"/>
    <w:multiLevelType w:val="hybridMultilevel"/>
    <w:tmpl w:val="A2CAAF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1EEC7162"/>
    <w:multiLevelType w:val="hybridMultilevel"/>
    <w:tmpl w:val="F2228EAA"/>
    <w:lvl w:ilvl="0" w:tplc="AF5A8CE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1F734306"/>
    <w:multiLevelType w:val="multilevel"/>
    <w:tmpl w:val="5D0E4F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1FA824CD"/>
    <w:multiLevelType w:val="hybridMultilevel"/>
    <w:tmpl w:val="2604DD16"/>
    <w:lvl w:ilvl="0" w:tplc="4656AD8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473872"/>
    <w:multiLevelType w:val="hybridMultilevel"/>
    <w:tmpl w:val="6CE85C1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225A0A25"/>
    <w:multiLevelType w:val="hybridMultilevel"/>
    <w:tmpl w:val="B0FEB206"/>
    <w:lvl w:ilvl="0" w:tplc="386C078A">
      <w:start w:val="1"/>
      <w:numFmt w:val="bullet"/>
      <w:lvlText w:val=""/>
      <w:lvlJc w:val="left"/>
      <w:pPr>
        <w:ind w:left="720" w:hanging="360"/>
      </w:pPr>
      <w:rPr>
        <w:rFonts w:ascii="Symbol" w:hAnsi="Symbol" w:hint="default"/>
      </w:rPr>
    </w:lvl>
    <w:lvl w:ilvl="1" w:tplc="2A8831BC">
      <w:start w:val="1"/>
      <w:numFmt w:val="bullet"/>
      <w:lvlText w:val="o"/>
      <w:lvlJc w:val="left"/>
      <w:pPr>
        <w:ind w:left="1440" w:hanging="360"/>
      </w:pPr>
      <w:rPr>
        <w:rFonts w:ascii="Courier New" w:hAnsi="Courier New" w:hint="default"/>
      </w:rPr>
    </w:lvl>
    <w:lvl w:ilvl="2" w:tplc="70B8B0D0">
      <w:start w:val="1"/>
      <w:numFmt w:val="bullet"/>
      <w:lvlText w:val=""/>
      <w:lvlJc w:val="left"/>
      <w:pPr>
        <w:ind w:left="2160" w:hanging="360"/>
      </w:pPr>
      <w:rPr>
        <w:rFonts w:ascii="Wingdings" w:hAnsi="Wingdings" w:hint="default"/>
      </w:rPr>
    </w:lvl>
    <w:lvl w:ilvl="3" w:tplc="AC827842">
      <w:start w:val="1"/>
      <w:numFmt w:val="bullet"/>
      <w:lvlText w:val=""/>
      <w:lvlJc w:val="left"/>
      <w:pPr>
        <w:ind w:left="2880" w:hanging="360"/>
      </w:pPr>
      <w:rPr>
        <w:rFonts w:ascii="Symbol" w:hAnsi="Symbol" w:hint="default"/>
      </w:rPr>
    </w:lvl>
    <w:lvl w:ilvl="4" w:tplc="E62482FA">
      <w:start w:val="1"/>
      <w:numFmt w:val="bullet"/>
      <w:lvlText w:val="o"/>
      <w:lvlJc w:val="left"/>
      <w:pPr>
        <w:ind w:left="3600" w:hanging="360"/>
      </w:pPr>
      <w:rPr>
        <w:rFonts w:ascii="Courier New" w:hAnsi="Courier New" w:hint="default"/>
      </w:rPr>
    </w:lvl>
    <w:lvl w:ilvl="5" w:tplc="2EA6122C">
      <w:start w:val="1"/>
      <w:numFmt w:val="bullet"/>
      <w:lvlText w:val=""/>
      <w:lvlJc w:val="left"/>
      <w:pPr>
        <w:ind w:left="4320" w:hanging="360"/>
      </w:pPr>
      <w:rPr>
        <w:rFonts w:ascii="Wingdings" w:hAnsi="Wingdings" w:hint="default"/>
      </w:rPr>
    </w:lvl>
    <w:lvl w:ilvl="6" w:tplc="8C482342">
      <w:start w:val="1"/>
      <w:numFmt w:val="bullet"/>
      <w:lvlText w:val=""/>
      <w:lvlJc w:val="left"/>
      <w:pPr>
        <w:ind w:left="5040" w:hanging="360"/>
      </w:pPr>
      <w:rPr>
        <w:rFonts w:ascii="Symbol" w:hAnsi="Symbol" w:hint="default"/>
      </w:rPr>
    </w:lvl>
    <w:lvl w:ilvl="7" w:tplc="EF10DF84">
      <w:start w:val="1"/>
      <w:numFmt w:val="bullet"/>
      <w:lvlText w:val="o"/>
      <w:lvlJc w:val="left"/>
      <w:pPr>
        <w:ind w:left="5760" w:hanging="360"/>
      </w:pPr>
      <w:rPr>
        <w:rFonts w:ascii="Courier New" w:hAnsi="Courier New" w:hint="default"/>
      </w:rPr>
    </w:lvl>
    <w:lvl w:ilvl="8" w:tplc="5DDC3A8C">
      <w:start w:val="1"/>
      <w:numFmt w:val="bullet"/>
      <w:lvlText w:val=""/>
      <w:lvlJc w:val="left"/>
      <w:pPr>
        <w:ind w:left="6480" w:hanging="360"/>
      </w:pPr>
      <w:rPr>
        <w:rFonts w:ascii="Wingdings" w:hAnsi="Wingdings" w:hint="default"/>
      </w:rPr>
    </w:lvl>
  </w:abstractNum>
  <w:abstractNum w:abstractNumId="49" w15:restartNumberingAfterBreak="0">
    <w:nsid w:val="22801BDC"/>
    <w:multiLevelType w:val="hybridMultilevel"/>
    <w:tmpl w:val="30708F42"/>
    <w:lvl w:ilvl="0" w:tplc="6882B832">
      <w:start w:val="1"/>
      <w:numFmt w:val="bullet"/>
      <w:lvlText w:val=""/>
      <w:lvlJc w:val="left"/>
      <w:pPr>
        <w:ind w:left="720" w:hanging="360"/>
      </w:pPr>
      <w:rPr>
        <w:rFonts w:ascii="Symbol" w:hAnsi="Symbol" w:hint="default"/>
      </w:rPr>
    </w:lvl>
    <w:lvl w:ilvl="1" w:tplc="D902A88A">
      <w:start w:val="1"/>
      <w:numFmt w:val="bullet"/>
      <w:lvlText w:val="o"/>
      <w:lvlJc w:val="left"/>
      <w:pPr>
        <w:ind w:left="1440" w:hanging="360"/>
      </w:pPr>
      <w:rPr>
        <w:rFonts w:ascii="Courier New" w:hAnsi="Courier New" w:hint="default"/>
      </w:rPr>
    </w:lvl>
    <w:lvl w:ilvl="2" w:tplc="49D62CBA">
      <w:start w:val="1"/>
      <w:numFmt w:val="bullet"/>
      <w:lvlText w:val=""/>
      <w:lvlJc w:val="left"/>
      <w:pPr>
        <w:ind w:left="2160" w:hanging="360"/>
      </w:pPr>
      <w:rPr>
        <w:rFonts w:ascii="Wingdings" w:hAnsi="Wingdings" w:hint="default"/>
      </w:rPr>
    </w:lvl>
    <w:lvl w:ilvl="3" w:tplc="4F807426">
      <w:start w:val="1"/>
      <w:numFmt w:val="bullet"/>
      <w:lvlText w:val=""/>
      <w:lvlJc w:val="left"/>
      <w:pPr>
        <w:ind w:left="2880" w:hanging="360"/>
      </w:pPr>
      <w:rPr>
        <w:rFonts w:ascii="Symbol" w:hAnsi="Symbol" w:hint="default"/>
      </w:rPr>
    </w:lvl>
    <w:lvl w:ilvl="4" w:tplc="6C1AB252">
      <w:start w:val="1"/>
      <w:numFmt w:val="bullet"/>
      <w:lvlText w:val="o"/>
      <w:lvlJc w:val="left"/>
      <w:pPr>
        <w:ind w:left="3600" w:hanging="360"/>
      </w:pPr>
      <w:rPr>
        <w:rFonts w:ascii="Courier New" w:hAnsi="Courier New" w:hint="default"/>
      </w:rPr>
    </w:lvl>
    <w:lvl w:ilvl="5" w:tplc="948EB4AA">
      <w:start w:val="1"/>
      <w:numFmt w:val="bullet"/>
      <w:lvlText w:val=""/>
      <w:lvlJc w:val="left"/>
      <w:pPr>
        <w:ind w:left="4320" w:hanging="360"/>
      </w:pPr>
      <w:rPr>
        <w:rFonts w:ascii="Wingdings" w:hAnsi="Wingdings" w:hint="default"/>
      </w:rPr>
    </w:lvl>
    <w:lvl w:ilvl="6" w:tplc="4E56CB58">
      <w:start w:val="1"/>
      <w:numFmt w:val="bullet"/>
      <w:lvlText w:val=""/>
      <w:lvlJc w:val="left"/>
      <w:pPr>
        <w:ind w:left="5040" w:hanging="360"/>
      </w:pPr>
      <w:rPr>
        <w:rFonts w:ascii="Symbol" w:hAnsi="Symbol" w:hint="default"/>
      </w:rPr>
    </w:lvl>
    <w:lvl w:ilvl="7" w:tplc="6F5A3F06">
      <w:start w:val="1"/>
      <w:numFmt w:val="bullet"/>
      <w:lvlText w:val="o"/>
      <w:lvlJc w:val="left"/>
      <w:pPr>
        <w:ind w:left="5760" w:hanging="360"/>
      </w:pPr>
      <w:rPr>
        <w:rFonts w:ascii="Courier New" w:hAnsi="Courier New" w:hint="default"/>
      </w:rPr>
    </w:lvl>
    <w:lvl w:ilvl="8" w:tplc="3D9299F6">
      <w:start w:val="1"/>
      <w:numFmt w:val="bullet"/>
      <w:lvlText w:val=""/>
      <w:lvlJc w:val="left"/>
      <w:pPr>
        <w:ind w:left="6480" w:hanging="360"/>
      </w:pPr>
      <w:rPr>
        <w:rFonts w:ascii="Wingdings" w:hAnsi="Wingdings" w:hint="default"/>
      </w:rPr>
    </w:lvl>
  </w:abstractNum>
  <w:abstractNum w:abstractNumId="50" w15:restartNumberingAfterBreak="0">
    <w:nsid w:val="228F073B"/>
    <w:multiLevelType w:val="hybridMultilevel"/>
    <w:tmpl w:val="0A6293F0"/>
    <w:lvl w:ilvl="0" w:tplc="9F6EECB2">
      <w:start w:val="1"/>
      <w:numFmt w:val="bullet"/>
      <w:lvlText w:val=""/>
      <w:lvlJc w:val="left"/>
      <w:pPr>
        <w:ind w:left="1922" w:hanging="360"/>
      </w:pPr>
      <w:rPr>
        <w:rFonts w:ascii="Symbol" w:hAnsi="Symbol" w:hint="default"/>
      </w:rPr>
    </w:lvl>
    <w:lvl w:ilvl="1" w:tplc="08090003" w:tentative="1">
      <w:start w:val="1"/>
      <w:numFmt w:val="bullet"/>
      <w:lvlText w:val="o"/>
      <w:lvlJc w:val="left"/>
      <w:pPr>
        <w:ind w:left="2642" w:hanging="360"/>
      </w:pPr>
      <w:rPr>
        <w:rFonts w:ascii="Courier New" w:hAnsi="Courier New" w:cs="Courier New" w:hint="default"/>
      </w:rPr>
    </w:lvl>
    <w:lvl w:ilvl="2" w:tplc="08090005" w:tentative="1">
      <w:start w:val="1"/>
      <w:numFmt w:val="bullet"/>
      <w:lvlText w:val=""/>
      <w:lvlJc w:val="left"/>
      <w:pPr>
        <w:ind w:left="3362" w:hanging="360"/>
      </w:pPr>
      <w:rPr>
        <w:rFonts w:ascii="Wingdings" w:hAnsi="Wingdings" w:hint="default"/>
      </w:rPr>
    </w:lvl>
    <w:lvl w:ilvl="3" w:tplc="08090001" w:tentative="1">
      <w:start w:val="1"/>
      <w:numFmt w:val="bullet"/>
      <w:lvlText w:val=""/>
      <w:lvlJc w:val="left"/>
      <w:pPr>
        <w:ind w:left="4082" w:hanging="360"/>
      </w:pPr>
      <w:rPr>
        <w:rFonts w:ascii="Symbol" w:hAnsi="Symbol" w:hint="default"/>
      </w:rPr>
    </w:lvl>
    <w:lvl w:ilvl="4" w:tplc="08090003" w:tentative="1">
      <w:start w:val="1"/>
      <w:numFmt w:val="bullet"/>
      <w:lvlText w:val="o"/>
      <w:lvlJc w:val="left"/>
      <w:pPr>
        <w:ind w:left="4802" w:hanging="360"/>
      </w:pPr>
      <w:rPr>
        <w:rFonts w:ascii="Courier New" w:hAnsi="Courier New" w:cs="Courier New" w:hint="default"/>
      </w:rPr>
    </w:lvl>
    <w:lvl w:ilvl="5" w:tplc="08090005" w:tentative="1">
      <w:start w:val="1"/>
      <w:numFmt w:val="bullet"/>
      <w:lvlText w:val=""/>
      <w:lvlJc w:val="left"/>
      <w:pPr>
        <w:ind w:left="5522" w:hanging="360"/>
      </w:pPr>
      <w:rPr>
        <w:rFonts w:ascii="Wingdings" w:hAnsi="Wingdings" w:hint="default"/>
      </w:rPr>
    </w:lvl>
    <w:lvl w:ilvl="6" w:tplc="08090001" w:tentative="1">
      <w:start w:val="1"/>
      <w:numFmt w:val="bullet"/>
      <w:lvlText w:val=""/>
      <w:lvlJc w:val="left"/>
      <w:pPr>
        <w:ind w:left="6242" w:hanging="360"/>
      </w:pPr>
      <w:rPr>
        <w:rFonts w:ascii="Symbol" w:hAnsi="Symbol" w:hint="default"/>
      </w:rPr>
    </w:lvl>
    <w:lvl w:ilvl="7" w:tplc="08090003" w:tentative="1">
      <w:start w:val="1"/>
      <w:numFmt w:val="bullet"/>
      <w:lvlText w:val="o"/>
      <w:lvlJc w:val="left"/>
      <w:pPr>
        <w:ind w:left="6962" w:hanging="360"/>
      </w:pPr>
      <w:rPr>
        <w:rFonts w:ascii="Courier New" w:hAnsi="Courier New" w:cs="Courier New" w:hint="default"/>
      </w:rPr>
    </w:lvl>
    <w:lvl w:ilvl="8" w:tplc="08090005" w:tentative="1">
      <w:start w:val="1"/>
      <w:numFmt w:val="bullet"/>
      <w:lvlText w:val=""/>
      <w:lvlJc w:val="left"/>
      <w:pPr>
        <w:ind w:left="7682" w:hanging="360"/>
      </w:pPr>
      <w:rPr>
        <w:rFonts w:ascii="Wingdings" w:hAnsi="Wingdings" w:hint="default"/>
      </w:rPr>
    </w:lvl>
  </w:abstractNum>
  <w:abstractNum w:abstractNumId="51" w15:restartNumberingAfterBreak="0">
    <w:nsid w:val="23116DDA"/>
    <w:multiLevelType w:val="hybridMultilevel"/>
    <w:tmpl w:val="E522EEAA"/>
    <w:lvl w:ilvl="0" w:tplc="4C141632">
      <w:start w:val="1"/>
      <w:numFmt w:val="decimal"/>
      <w:lvlText w:val="%1."/>
      <w:lvlJc w:val="left"/>
      <w:pPr>
        <w:ind w:left="537" w:hanging="360"/>
      </w:pPr>
      <w:rPr>
        <w:rFonts w:hint="default"/>
      </w:rPr>
    </w:lvl>
    <w:lvl w:ilvl="1" w:tplc="04090019" w:tentative="1">
      <w:start w:val="1"/>
      <w:numFmt w:val="lowerLetter"/>
      <w:lvlText w:val="%2."/>
      <w:lvlJc w:val="left"/>
      <w:pPr>
        <w:ind w:left="1257" w:hanging="360"/>
      </w:pPr>
    </w:lvl>
    <w:lvl w:ilvl="2" w:tplc="0409001B" w:tentative="1">
      <w:start w:val="1"/>
      <w:numFmt w:val="lowerRoman"/>
      <w:lvlText w:val="%3."/>
      <w:lvlJc w:val="right"/>
      <w:pPr>
        <w:ind w:left="1977" w:hanging="180"/>
      </w:pPr>
    </w:lvl>
    <w:lvl w:ilvl="3" w:tplc="0409000F" w:tentative="1">
      <w:start w:val="1"/>
      <w:numFmt w:val="decimal"/>
      <w:lvlText w:val="%4."/>
      <w:lvlJc w:val="left"/>
      <w:pPr>
        <w:ind w:left="2697" w:hanging="360"/>
      </w:pPr>
    </w:lvl>
    <w:lvl w:ilvl="4" w:tplc="04090019" w:tentative="1">
      <w:start w:val="1"/>
      <w:numFmt w:val="lowerLetter"/>
      <w:lvlText w:val="%5."/>
      <w:lvlJc w:val="left"/>
      <w:pPr>
        <w:ind w:left="3417" w:hanging="360"/>
      </w:pPr>
    </w:lvl>
    <w:lvl w:ilvl="5" w:tplc="0409001B" w:tentative="1">
      <w:start w:val="1"/>
      <w:numFmt w:val="lowerRoman"/>
      <w:lvlText w:val="%6."/>
      <w:lvlJc w:val="right"/>
      <w:pPr>
        <w:ind w:left="4137" w:hanging="180"/>
      </w:pPr>
    </w:lvl>
    <w:lvl w:ilvl="6" w:tplc="0409000F" w:tentative="1">
      <w:start w:val="1"/>
      <w:numFmt w:val="decimal"/>
      <w:lvlText w:val="%7."/>
      <w:lvlJc w:val="left"/>
      <w:pPr>
        <w:ind w:left="4857" w:hanging="360"/>
      </w:pPr>
    </w:lvl>
    <w:lvl w:ilvl="7" w:tplc="04090019" w:tentative="1">
      <w:start w:val="1"/>
      <w:numFmt w:val="lowerLetter"/>
      <w:lvlText w:val="%8."/>
      <w:lvlJc w:val="left"/>
      <w:pPr>
        <w:ind w:left="5577" w:hanging="360"/>
      </w:pPr>
    </w:lvl>
    <w:lvl w:ilvl="8" w:tplc="0409001B" w:tentative="1">
      <w:start w:val="1"/>
      <w:numFmt w:val="lowerRoman"/>
      <w:lvlText w:val="%9."/>
      <w:lvlJc w:val="right"/>
      <w:pPr>
        <w:ind w:left="6297" w:hanging="180"/>
      </w:pPr>
    </w:lvl>
  </w:abstractNum>
  <w:abstractNum w:abstractNumId="52" w15:restartNumberingAfterBreak="0">
    <w:nsid w:val="23716874"/>
    <w:multiLevelType w:val="hybridMultilevel"/>
    <w:tmpl w:val="AE020742"/>
    <w:lvl w:ilvl="0" w:tplc="E7E0FCBE">
      <w:numFmt w:val="bullet"/>
      <w:lvlText w:val="-"/>
      <w:lvlJc w:val="left"/>
      <w:pPr>
        <w:ind w:left="360" w:hanging="360"/>
      </w:pPr>
      <w:rPr>
        <w:rFonts w:ascii="Times New Roman" w:eastAsia="Times New Roman" w:hAnsi="Times New Roman" w:cs="Times New Roman"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53" w15:restartNumberingAfterBreak="0">
    <w:nsid w:val="23E4238F"/>
    <w:multiLevelType w:val="hybridMultilevel"/>
    <w:tmpl w:val="73A050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4" w15:restartNumberingAfterBreak="0">
    <w:nsid w:val="2409378E"/>
    <w:multiLevelType w:val="multilevel"/>
    <w:tmpl w:val="B9DA91AE"/>
    <w:lvl w:ilvl="0">
      <w:start w:val="1"/>
      <w:numFmt w:val="decimal"/>
      <w:pStyle w:val="Annexsubsections"/>
      <w:lvlText w:val="%1."/>
      <w:lvlJc w:val="left"/>
      <w:pPr>
        <w:ind w:left="360" w:hanging="36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5" w15:restartNumberingAfterBreak="0">
    <w:nsid w:val="242DAEF3"/>
    <w:multiLevelType w:val="hybridMultilevel"/>
    <w:tmpl w:val="FFFFFFFF"/>
    <w:lvl w:ilvl="0" w:tplc="9A6A39A6">
      <w:numFmt w:val="none"/>
      <w:lvlText w:val=""/>
      <w:lvlJc w:val="left"/>
      <w:pPr>
        <w:tabs>
          <w:tab w:val="num" w:pos="360"/>
        </w:tabs>
      </w:pPr>
    </w:lvl>
    <w:lvl w:ilvl="1" w:tplc="25E673C2">
      <w:start w:val="1"/>
      <w:numFmt w:val="lowerLetter"/>
      <w:lvlText w:val="%2."/>
      <w:lvlJc w:val="left"/>
      <w:pPr>
        <w:ind w:left="1440" w:hanging="360"/>
      </w:pPr>
    </w:lvl>
    <w:lvl w:ilvl="2" w:tplc="524C7E2C">
      <w:start w:val="1"/>
      <w:numFmt w:val="lowerRoman"/>
      <w:lvlText w:val="%3."/>
      <w:lvlJc w:val="right"/>
      <w:pPr>
        <w:ind w:left="2160" w:hanging="180"/>
      </w:pPr>
    </w:lvl>
    <w:lvl w:ilvl="3" w:tplc="EBBC09E4">
      <w:start w:val="1"/>
      <w:numFmt w:val="decimal"/>
      <w:lvlText w:val="%4."/>
      <w:lvlJc w:val="left"/>
      <w:pPr>
        <w:ind w:left="2880" w:hanging="360"/>
      </w:pPr>
    </w:lvl>
    <w:lvl w:ilvl="4" w:tplc="EC2AB22A">
      <w:start w:val="1"/>
      <w:numFmt w:val="lowerLetter"/>
      <w:lvlText w:val="%5."/>
      <w:lvlJc w:val="left"/>
      <w:pPr>
        <w:ind w:left="3600" w:hanging="360"/>
      </w:pPr>
    </w:lvl>
    <w:lvl w:ilvl="5" w:tplc="67C2021E">
      <w:start w:val="1"/>
      <w:numFmt w:val="lowerRoman"/>
      <w:lvlText w:val="%6."/>
      <w:lvlJc w:val="right"/>
      <w:pPr>
        <w:ind w:left="4320" w:hanging="180"/>
      </w:pPr>
    </w:lvl>
    <w:lvl w:ilvl="6" w:tplc="7C867D58">
      <w:start w:val="1"/>
      <w:numFmt w:val="decimal"/>
      <w:lvlText w:val="%7."/>
      <w:lvlJc w:val="left"/>
      <w:pPr>
        <w:ind w:left="5040" w:hanging="360"/>
      </w:pPr>
    </w:lvl>
    <w:lvl w:ilvl="7" w:tplc="0C40345C">
      <w:start w:val="1"/>
      <w:numFmt w:val="lowerLetter"/>
      <w:lvlText w:val="%8."/>
      <w:lvlJc w:val="left"/>
      <w:pPr>
        <w:ind w:left="5760" w:hanging="360"/>
      </w:pPr>
    </w:lvl>
    <w:lvl w:ilvl="8" w:tplc="07A6BE00">
      <w:start w:val="1"/>
      <w:numFmt w:val="lowerRoman"/>
      <w:lvlText w:val="%9."/>
      <w:lvlJc w:val="right"/>
      <w:pPr>
        <w:ind w:left="6480" w:hanging="180"/>
      </w:pPr>
    </w:lvl>
  </w:abstractNum>
  <w:abstractNum w:abstractNumId="56" w15:restartNumberingAfterBreak="0">
    <w:nsid w:val="24520568"/>
    <w:multiLevelType w:val="hybridMultilevel"/>
    <w:tmpl w:val="2668DB08"/>
    <w:lvl w:ilvl="0" w:tplc="3C3ACEF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46D1A80"/>
    <w:multiLevelType w:val="hybridMultilevel"/>
    <w:tmpl w:val="E03880CC"/>
    <w:lvl w:ilvl="0" w:tplc="EE1436B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4BB44F9"/>
    <w:multiLevelType w:val="hybridMultilevel"/>
    <w:tmpl w:val="5888E9F6"/>
    <w:lvl w:ilvl="0" w:tplc="E1FACBAE">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6CD382A"/>
    <w:multiLevelType w:val="hybridMultilevel"/>
    <w:tmpl w:val="E1EA4E7C"/>
    <w:lvl w:ilvl="0" w:tplc="46DCB238">
      <w:start w:val="1"/>
      <w:numFmt w:val="bullet"/>
      <w:lvlText w:val=""/>
      <w:lvlJc w:val="left"/>
      <w:pPr>
        <w:ind w:left="1137" w:hanging="360"/>
      </w:pPr>
      <w:rPr>
        <w:rFonts w:ascii="Symbol" w:hAnsi="Symbol" w:hint="default"/>
      </w:rPr>
    </w:lvl>
    <w:lvl w:ilvl="1" w:tplc="18090003" w:tentative="1">
      <w:start w:val="1"/>
      <w:numFmt w:val="bullet"/>
      <w:lvlText w:val="o"/>
      <w:lvlJc w:val="left"/>
      <w:pPr>
        <w:ind w:left="1857" w:hanging="360"/>
      </w:pPr>
      <w:rPr>
        <w:rFonts w:ascii="Courier New" w:hAnsi="Courier New" w:cs="Courier New" w:hint="default"/>
      </w:rPr>
    </w:lvl>
    <w:lvl w:ilvl="2" w:tplc="18090005" w:tentative="1">
      <w:start w:val="1"/>
      <w:numFmt w:val="bullet"/>
      <w:lvlText w:val=""/>
      <w:lvlJc w:val="left"/>
      <w:pPr>
        <w:ind w:left="2577" w:hanging="360"/>
      </w:pPr>
      <w:rPr>
        <w:rFonts w:ascii="Wingdings" w:hAnsi="Wingdings" w:hint="default"/>
      </w:rPr>
    </w:lvl>
    <w:lvl w:ilvl="3" w:tplc="18090001" w:tentative="1">
      <w:start w:val="1"/>
      <w:numFmt w:val="bullet"/>
      <w:lvlText w:val=""/>
      <w:lvlJc w:val="left"/>
      <w:pPr>
        <w:ind w:left="3297" w:hanging="360"/>
      </w:pPr>
      <w:rPr>
        <w:rFonts w:ascii="Symbol" w:hAnsi="Symbol" w:hint="default"/>
      </w:rPr>
    </w:lvl>
    <w:lvl w:ilvl="4" w:tplc="18090003" w:tentative="1">
      <w:start w:val="1"/>
      <w:numFmt w:val="bullet"/>
      <w:lvlText w:val="o"/>
      <w:lvlJc w:val="left"/>
      <w:pPr>
        <w:ind w:left="4017" w:hanging="360"/>
      </w:pPr>
      <w:rPr>
        <w:rFonts w:ascii="Courier New" w:hAnsi="Courier New" w:cs="Courier New" w:hint="default"/>
      </w:rPr>
    </w:lvl>
    <w:lvl w:ilvl="5" w:tplc="18090005" w:tentative="1">
      <w:start w:val="1"/>
      <w:numFmt w:val="bullet"/>
      <w:lvlText w:val=""/>
      <w:lvlJc w:val="left"/>
      <w:pPr>
        <w:ind w:left="4737" w:hanging="360"/>
      </w:pPr>
      <w:rPr>
        <w:rFonts w:ascii="Wingdings" w:hAnsi="Wingdings" w:hint="default"/>
      </w:rPr>
    </w:lvl>
    <w:lvl w:ilvl="6" w:tplc="18090001" w:tentative="1">
      <w:start w:val="1"/>
      <w:numFmt w:val="bullet"/>
      <w:lvlText w:val=""/>
      <w:lvlJc w:val="left"/>
      <w:pPr>
        <w:ind w:left="5457" w:hanging="360"/>
      </w:pPr>
      <w:rPr>
        <w:rFonts w:ascii="Symbol" w:hAnsi="Symbol" w:hint="default"/>
      </w:rPr>
    </w:lvl>
    <w:lvl w:ilvl="7" w:tplc="18090003" w:tentative="1">
      <w:start w:val="1"/>
      <w:numFmt w:val="bullet"/>
      <w:lvlText w:val="o"/>
      <w:lvlJc w:val="left"/>
      <w:pPr>
        <w:ind w:left="6177" w:hanging="360"/>
      </w:pPr>
      <w:rPr>
        <w:rFonts w:ascii="Courier New" w:hAnsi="Courier New" w:cs="Courier New" w:hint="default"/>
      </w:rPr>
    </w:lvl>
    <w:lvl w:ilvl="8" w:tplc="18090005" w:tentative="1">
      <w:start w:val="1"/>
      <w:numFmt w:val="bullet"/>
      <w:lvlText w:val=""/>
      <w:lvlJc w:val="left"/>
      <w:pPr>
        <w:ind w:left="6897" w:hanging="360"/>
      </w:pPr>
      <w:rPr>
        <w:rFonts w:ascii="Wingdings" w:hAnsi="Wingdings" w:hint="default"/>
      </w:rPr>
    </w:lvl>
  </w:abstractNum>
  <w:abstractNum w:abstractNumId="60" w15:restartNumberingAfterBreak="0">
    <w:nsid w:val="271D315C"/>
    <w:multiLevelType w:val="hybridMultilevel"/>
    <w:tmpl w:val="2048D9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27AC361B"/>
    <w:multiLevelType w:val="hybridMultilevel"/>
    <w:tmpl w:val="BACCA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7E81C02"/>
    <w:multiLevelType w:val="hybridMultilevel"/>
    <w:tmpl w:val="75189228"/>
    <w:lvl w:ilvl="0" w:tplc="67DCD1C6">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63" w15:restartNumberingAfterBreak="0">
    <w:nsid w:val="28CF5AB4"/>
    <w:multiLevelType w:val="hybridMultilevel"/>
    <w:tmpl w:val="97E843A8"/>
    <w:lvl w:ilvl="0" w:tplc="0292F276">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64" w15:restartNumberingAfterBreak="0">
    <w:nsid w:val="29100D60"/>
    <w:multiLevelType w:val="hybridMultilevel"/>
    <w:tmpl w:val="B06E059A"/>
    <w:lvl w:ilvl="0" w:tplc="08090001">
      <w:start w:val="1"/>
      <w:numFmt w:val="bullet"/>
      <w:lvlText w:val=""/>
      <w:lvlJc w:val="left"/>
      <w:pPr>
        <w:ind w:left="1202" w:hanging="360"/>
      </w:pPr>
      <w:rPr>
        <w:rFonts w:ascii="Symbol" w:hAnsi="Symbol" w:hint="default"/>
      </w:rPr>
    </w:lvl>
    <w:lvl w:ilvl="1" w:tplc="08090003">
      <w:start w:val="1"/>
      <w:numFmt w:val="bullet"/>
      <w:lvlText w:val="o"/>
      <w:lvlJc w:val="left"/>
      <w:pPr>
        <w:ind w:left="1922" w:hanging="360"/>
      </w:pPr>
      <w:rPr>
        <w:rFonts w:ascii="Courier New" w:hAnsi="Courier New" w:cs="Courier New" w:hint="default"/>
      </w:rPr>
    </w:lvl>
    <w:lvl w:ilvl="2" w:tplc="08090005">
      <w:start w:val="1"/>
      <w:numFmt w:val="bullet"/>
      <w:lvlText w:val=""/>
      <w:lvlJc w:val="left"/>
      <w:pPr>
        <w:ind w:left="2642" w:hanging="360"/>
      </w:pPr>
      <w:rPr>
        <w:rFonts w:ascii="Wingdings" w:hAnsi="Wingdings" w:hint="default"/>
      </w:rPr>
    </w:lvl>
    <w:lvl w:ilvl="3" w:tplc="08090001">
      <w:start w:val="1"/>
      <w:numFmt w:val="bullet"/>
      <w:lvlText w:val=""/>
      <w:lvlJc w:val="left"/>
      <w:pPr>
        <w:ind w:left="3362" w:hanging="360"/>
      </w:pPr>
      <w:rPr>
        <w:rFonts w:ascii="Symbol" w:hAnsi="Symbol" w:hint="default"/>
      </w:rPr>
    </w:lvl>
    <w:lvl w:ilvl="4" w:tplc="08090003">
      <w:start w:val="1"/>
      <w:numFmt w:val="bullet"/>
      <w:lvlText w:val="o"/>
      <w:lvlJc w:val="left"/>
      <w:pPr>
        <w:ind w:left="4082" w:hanging="360"/>
      </w:pPr>
      <w:rPr>
        <w:rFonts w:ascii="Courier New" w:hAnsi="Courier New" w:cs="Courier New" w:hint="default"/>
      </w:rPr>
    </w:lvl>
    <w:lvl w:ilvl="5" w:tplc="08090005">
      <w:start w:val="1"/>
      <w:numFmt w:val="bullet"/>
      <w:lvlText w:val=""/>
      <w:lvlJc w:val="left"/>
      <w:pPr>
        <w:ind w:left="4802" w:hanging="360"/>
      </w:pPr>
      <w:rPr>
        <w:rFonts w:ascii="Wingdings" w:hAnsi="Wingdings" w:hint="default"/>
      </w:rPr>
    </w:lvl>
    <w:lvl w:ilvl="6" w:tplc="08090001">
      <w:start w:val="1"/>
      <w:numFmt w:val="bullet"/>
      <w:lvlText w:val=""/>
      <w:lvlJc w:val="left"/>
      <w:pPr>
        <w:ind w:left="5522" w:hanging="360"/>
      </w:pPr>
      <w:rPr>
        <w:rFonts w:ascii="Symbol" w:hAnsi="Symbol" w:hint="default"/>
      </w:rPr>
    </w:lvl>
    <w:lvl w:ilvl="7" w:tplc="08090003">
      <w:start w:val="1"/>
      <w:numFmt w:val="bullet"/>
      <w:lvlText w:val="o"/>
      <w:lvlJc w:val="left"/>
      <w:pPr>
        <w:ind w:left="6242" w:hanging="360"/>
      </w:pPr>
      <w:rPr>
        <w:rFonts w:ascii="Courier New" w:hAnsi="Courier New" w:cs="Courier New" w:hint="default"/>
      </w:rPr>
    </w:lvl>
    <w:lvl w:ilvl="8" w:tplc="08090005">
      <w:start w:val="1"/>
      <w:numFmt w:val="bullet"/>
      <w:lvlText w:val=""/>
      <w:lvlJc w:val="left"/>
      <w:pPr>
        <w:ind w:left="6962" w:hanging="360"/>
      </w:pPr>
      <w:rPr>
        <w:rFonts w:ascii="Wingdings" w:hAnsi="Wingdings" w:hint="default"/>
      </w:rPr>
    </w:lvl>
  </w:abstractNum>
  <w:abstractNum w:abstractNumId="65" w15:restartNumberingAfterBreak="0">
    <w:nsid w:val="295D1156"/>
    <w:multiLevelType w:val="hybridMultilevel"/>
    <w:tmpl w:val="9DF8C8C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9641F7F"/>
    <w:multiLevelType w:val="hybridMultilevel"/>
    <w:tmpl w:val="EECEE2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2973E037"/>
    <w:multiLevelType w:val="hybridMultilevel"/>
    <w:tmpl w:val="06F40F26"/>
    <w:lvl w:ilvl="0" w:tplc="87821246">
      <w:start w:val="1"/>
      <w:numFmt w:val="bullet"/>
      <w:lvlText w:val=""/>
      <w:lvlJc w:val="left"/>
      <w:pPr>
        <w:ind w:left="720" w:hanging="360"/>
      </w:pPr>
      <w:rPr>
        <w:rFonts w:ascii="Symbol" w:hAnsi="Symbol" w:hint="default"/>
      </w:rPr>
    </w:lvl>
    <w:lvl w:ilvl="1" w:tplc="61C098A2">
      <w:start w:val="1"/>
      <w:numFmt w:val="bullet"/>
      <w:lvlText w:val="o"/>
      <w:lvlJc w:val="left"/>
      <w:pPr>
        <w:ind w:left="1440" w:hanging="360"/>
      </w:pPr>
      <w:rPr>
        <w:rFonts w:ascii="Courier New" w:hAnsi="Courier New" w:hint="default"/>
      </w:rPr>
    </w:lvl>
    <w:lvl w:ilvl="2" w:tplc="0134635C">
      <w:start w:val="1"/>
      <w:numFmt w:val="bullet"/>
      <w:lvlText w:val=""/>
      <w:lvlJc w:val="left"/>
      <w:pPr>
        <w:ind w:left="2160" w:hanging="360"/>
      </w:pPr>
      <w:rPr>
        <w:rFonts w:ascii="Wingdings" w:hAnsi="Wingdings" w:hint="default"/>
      </w:rPr>
    </w:lvl>
    <w:lvl w:ilvl="3" w:tplc="3230E8C0">
      <w:start w:val="1"/>
      <w:numFmt w:val="bullet"/>
      <w:lvlText w:val=""/>
      <w:lvlJc w:val="left"/>
      <w:pPr>
        <w:ind w:left="2880" w:hanging="360"/>
      </w:pPr>
      <w:rPr>
        <w:rFonts w:ascii="Symbol" w:hAnsi="Symbol" w:hint="default"/>
      </w:rPr>
    </w:lvl>
    <w:lvl w:ilvl="4" w:tplc="921252EC">
      <w:start w:val="1"/>
      <w:numFmt w:val="bullet"/>
      <w:lvlText w:val="o"/>
      <w:lvlJc w:val="left"/>
      <w:pPr>
        <w:ind w:left="3600" w:hanging="360"/>
      </w:pPr>
      <w:rPr>
        <w:rFonts w:ascii="Courier New" w:hAnsi="Courier New" w:hint="default"/>
      </w:rPr>
    </w:lvl>
    <w:lvl w:ilvl="5" w:tplc="7848ECC4">
      <w:start w:val="1"/>
      <w:numFmt w:val="bullet"/>
      <w:lvlText w:val=""/>
      <w:lvlJc w:val="left"/>
      <w:pPr>
        <w:ind w:left="4320" w:hanging="360"/>
      </w:pPr>
      <w:rPr>
        <w:rFonts w:ascii="Wingdings" w:hAnsi="Wingdings" w:hint="default"/>
      </w:rPr>
    </w:lvl>
    <w:lvl w:ilvl="6" w:tplc="A51E2382">
      <w:start w:val="1"/>
      <w:numFmt w:val="bullet"/>
      <w:lvlText w:val=""/>
      <w:lvlJc w:val="left"/>
      <w:pPr>
        <w:ind w:left="5040" w:hanging="360"/>
      </w:pPr>
      <w:rPr>
        <w:rFonts w:ascii="Symbol" w:hAnsi="Symbol" w:hint="default"/>
      </w:rPr>
    </w:lvl>
    <w:lvl w:ilvl="7" w:tplc="B03A4116">
      <w:start w:val="1"/>
      <w:numFmt w:val="bullet"/>
      <w:lvlText w:val="o"/>
      <w:lvlJc w:val="left"/>
      <w:pPr>
        <w:ind w:left="5760" w:hanging="360"/>
      </w:pPr>
      <w:rPr>
        <w:rFonts w:ascii="Courier New" w:hAnsi="Courier New" w:hint="default"/>
      </w:rPr>
    </w:lvl>
    <w:lvl w:ilvl="8" w:tplc="6D5E215C">
      <w:start w:val="1"/>
      <w:numFmt w:val="bullet"/>
      <w:lvlText w:val=""/>
      <w:lvlJc w:val="left"/>
      <w:pPr>
        <w:ind w:left="6480" w:hanging="360"/>
      </w:pPr>
      <w:rPr>
        <w:rFonts w:ascii="Wingdings" w:hAnsi="Wingdings" w:hint="default"/>
      </w:rPr>
    </w:lvl>
  </w:abstractNum>
  <w:abstractNum w:abstractNumId="68" w15:restartNumberingAfterBreak="0">
    <w:nsid w:val="2A886A85"/>
    <w:multiLevelType w:val="hybridMultilevel"/>
    <w:tmpl w:val="992CBF3E"/>
    <w:lvl w:ilvl="0" w:tplc="65CCE04C">
      <w:start w:val="1"/>
      <w:numFmt w:val="decimal"/>
      <w:lvlText w:val="%1)"/>
      <w:lvlJc w:val="left"/>
      <w:pPr>
        <w:ind w:left="471" w:hanging="360"/>
      </w:pPr>
      <w:rPr>
        <w:rFonts w:ascii="Times New Roman" w:eastAsia="Times New Roman" w:hAnsi="Times New Roman" w:cs="Times New Roman" w:hint="default"/>
        <w:spacing w:val="0"/>
        <w:w w:val="99"/>
        <w:sz w:val="20"/>
        <w:szCs w:val="20"/>
        <w:lang w:val="en-US" w:eastAsia="en-US" w:bidi="ar-SA"/>
      </w:rPr>
    </w:lvl>
    <w:lvl w:ilvl="1" w:tplc="3D9865CE">
      <w:numFmt w:val="bullet"/>
      <w:lvlText w:val="•"/>
      <w:lvlJc w:val="left"/>
      <w:pPr>
        <w:ind w:left="970" w:hanging="360"/>
      </w:pPr>
      <w:rPr>
        <w:rFonts w:hint="default"/>
        <w:lang w:val="en-US" w:eastAsia="en-US" w:bidi="ar-SA"/>
      </w:rPr>
    </w:lvl>
    <w:lvl w:ilvl="2" w:tplc="09F0A3C8">
      <w:numFmt w:val="bullet"/>
      <w:lvlText w:val="•"/>
      <w:lvlJc w:val="left"/>
      <w:pPr>
        <w:ind w:left="1461" w:hanging="360"/>
      </w:pPr>
      <w:rPr>
        <w:rFonts w:hint="default"/>
        <w:lang w:val="en-US" w:eastAsia="en-US" w:bidi="ar-SA"/>
      </w:rPr>
    </w:lvl>
    <w:lvl w:ilvl="3" w:tplc="B72A6404">
      <w:numFmt w:val="bullet"/>
      <w:lvlText w:val="•"/>
      <w:lvlJc w:val="left"/>
      <w:pPr>
        <w:ind w:left="1951" w:hanging="360"/>
      </w:pPr>
      <w:rPr>
        <w:rFonts w:hint="default"/>
        <w:lang w:val="en-US" w:eastAsia="en-US" w:bidi="ar-SA"/>
      </w:rPr>
    </w:lvl>
    <w:lvl w:ilvl="4" w:tplc="5FC22BAC">
      <w:numFmt w:val="bullet"/>
      <w:lvlText w:val="•"/>
      <w:lvlJc w:val="left"/>
      <w:pPr>
        <w:ind w:left="2442" w:hanging="360"/>
      </w:pPr>
      <w:rPr>
        <w:rFonts w:hint="default"/>
        <w:lang w:val="en-US" w:eastAsia="en-US" w:bidi="ar-SA"/>
      </w:rPr>
    </w:lvl>
    <w:lvl w:ilvl="5" w:tplc="EC9CB654">
      <w:numFmt w:val="bullet"/>
      <w:lvlText w:val="•"/>
      <w:lvlJc w:val="left"/>
      <w:pPr>
        <w:ind w:left="2933" w:hanging="360"/>
      </w:pPr>
      <w:rPr>
        <w:rFonts w:hint="default"/>
        <w:lang w:val="en-US" w:eastAsia="en-US" w:bidi="ar-SA"/>
      </w:rPr>
    </w:lvl>
    <w:lvl w:ilvl="6" w:tplc="33908080">
      <w:numFmt w:val="bullet"/>
      <w:lvlText w:val="•"/>
      <w:lvlJc w:val="left"/>
      <w:pPr>
        <w:ind w:left="3423" w:hanging="360"/>
      </w:pPr>
      <w:rPr>
        <w:rFonts w:hint="default"/>
        <w:lang w:val="en-US" w:eastAsia="en-US" w:bidi="ar-SA"/>
      </w:rPr>
    </w:lvl>
    <w:lvl w:ilvl="7" w:tplc="52B67AEE">
      <w:numFmt w:val="bullet"/>
      <w:lvlText w:val="•"/>
      <w:lvlJc w:val="left"/>
      <w:pPr>
        <w:ind w:left="3914" w:hanging="360"/>
      </w:pPr>
      <w:rPr>
        <w:rFonts w:hint="default"/>
        <w:lang w:val="en-US" w:eastAsia="en-US" w:bidi="ar-SA"/>
      </w:rPr>
    </w:lvl>
    <w:lvl w:ilvl="8" w:tplc="58D8F312">
      <w:numFmt w:val="bullet"/>
      <w:lvlText w:val="•"/>
      <w:lvlJc w:val="left"/>
      <w:pPr>
        <w:ind w:left="4404" w:hanging="360"/>
      </w:pPr>
      <w:rPr>
        <w:rFonts w:hint="default"/>
        <w:lang w:val="en-US" w:eastAsia="en-US" w:bidi="ar-SA"/>
      </w:rPr>
    </w:lvl>
  </w:abstractNum>
  <w:abstractNum w:abstractNumId="69" w15:restartNumberingAfterBreak="0">
    <w:nsid w:val="2A9E1B39"/>
    <w:multiLevelType w:val="hybridMultilevel"/>
    <w:tmpl w:val="FD3EB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2D293CE3"/>
    <w:multiLevelType w:val="multilevel"/>
    <w:tmpl w:val="2722C9D4"/>
    <w:lvl w:ilvl="0">
      <w:start w:val="10"/>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2ED60509"/>
    <w:multiLevelType w:val="hybridMultilevel"/>
    <w:tmpl w:val="0988F092"/>
    <w:lvl w:ilvl="0" w:tplc="C1CA01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2EEA42BE"/>
    <w:multiLevelType w:val="hybridMultilevel"/>
    <w:tmpl w:val="FFFFFFFF"/>
    <w:lvl w:ilvl="0" w:tplc="3C5883A6">
      <w:start w:val="1"/>
      <w:numFmt w:val="bullet"/>
      <w:lvlText w:val=""/>
      <w:lvlJc w:val="left"/>
      <w:pPr>
        <w:ind w:left="720" w:hanging="360"/>
      </w:pPr>
      <w:rPr>
        <w:rFonts w:ascii="Symbol" w:hAnsi="Symbol" w:hint="default"/>
      </w:rPr>
    </w:lvl>
    <w:lvl w:ilvl="1" w:tplc="F3C68412">
      <w:start w:val="1"/>
      <w:numFmt w:val="bullet"/>
      <w:lvlText w:val="o"/>
      <w:lvlJc w:val="left"/>
      <w:pPr>
        <w:ind w:left="1440" w:hanging="360"/>
      </w:pPr>
      <w:rPr>
        <w:rFonts w:ascii="Courier New" w:hAnsi="Courier New" w:hint="default"/>
      </w:rPr>
    </w:lvl>
    <w:lvl w:ilvl="2" w:tplc="34DE79FC">
      <w:start w:val="1"/>
      <w:numFmt w:val="bullet"/>
      <w:lvlText w:val=""/>
      <w:lvlJc w:val="left"/>
      <w:pPr>
        <w:ind w:left="2160" w:hanging="360"/>
      </w:pPr>
      <w:rPr>
        <w:rFonts w:ascii="Wingdings" w:hAnsi="Wingdings" w:hint="default"/>
      </w:rPr>
    </w:lvl>
    <w:lvl w:ilvl="3" w:tplc="1B889906">
      <w:start w:val="1"/>
      <w:numFmt w:val="bullet"/>
      <w:lvlText w:val=""/>
      <w:lvlJc w:val="left"/>
      <w:pPr>
        <w:ind w:left="2880" w:hanging="360"/>
      </w:pPr>
      <w:rPr>
        <w:rFonts w:ascii="Symbol" w:hAnsi="Symbol" w:hint="default"/>
      </w:rPr>
    </w:lvl>
    <w:lvl w:ilvl="4" w:tplc="E1DC79A8">
      <w:start w:val="1"/>
      <w:numFmt w:val="bullet"/>
      <w:lvlText w:val="o"/>
      <w:lvlJc w:val="left"/>
      <w:pPr>
        <w:ind w:left="3600" w:hanging="360"/>
      </w:pPr>
      <w:rPr>
        <w:rFonts w:ascii="Courier New" w:hAnsi="Courier New" w:hint="default"/>
      </w:rPr>
    </w:lvl>
    <w:lvl w:ilvl="5" w:tplc="9E5A5EBC">
      <w:start w:val="1"/>
      <w:numFmt w:val="bullet"/>
      <w:lvlText w:val=""/>
      <w:lvlJc w:val="left"/>
      <w:pPr>
        <w:ind w:left="4320" w:hanging="360"/>
      </w:pPr>
      <w:rPr>
        <w:rFonts w:ascii="Wingdings" w:hAnsi="Wingdings" w:hint="default"/>
      </w:rPr>
    </w:lvl>
    <w:lvl w:ilvl="6" w:tplc="EBA24700">
      <w:start w:val="1"/>
      <w:numFmt w:val="bullet"/>
      <w:lvlText w:val=""/>
      <w:lvlJc w:val="left"/>
      <w:pPr>
        <w:ind w:left="5040" w:hanging="360"/>
      </w:pPr>
      <w:rPr>
        <w:rFonts w:ascii="Symbol" w:hAnsi="Symbol" w:hint="default"/>
      </w:rPr>
    </w:lvl>
    <w:lvl w:ilvl="7" w:tplc="434043F4">
      <w:start w:val="1"/>
      <w:numFmt w:val="bullet"/>
      <w:lvlText w:val="o"/>
      <w:lvlJc w:val="left"/>
      <w:pPr>
        <w:ind w:left="5760" w:hanging="360"/>
      </w:pPr>
      <w:rPr>
        <w:rFonts w:ascii="Courier New" w:hAnsi="Courier New" w:hint="default"/>
      </w:rPr>
    </w:lvl>
    <w:lvl w:ilvl="8" w:tplc="62C0E532">
      <w:start w:val="1"/>
      <w:numFmt w:val="bullet"/>
      <w:lvlText w:val=""/>
      <w:lvlJc w:val="left"/>
      <w:pPr>
        <w:ind w:left="6480" w:hanging="360"/>
      </w:pPr>
      <w:rPr>
        <w:rFonts w:ascii="Wingdings" w:hAnsi="Wingdings" w:hint="default"/>
      </w:rPr>
    </w:lvl>
  </w:abstractNum>
  <w:abstractNum w:abstractNumId="73" w15:restartNumberingAfterBreak="0">
    <w:nsid w:val="2F9C25AF"/>
    <w:multiLevelType w:val="hybridMultilevel"/>
    <w:tmpl w:val="762E2F9C"/>
    <w:lvl w:ilvl="0" w:tplc="8E5867DA">
      <w:start w:val="29"/>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30DF0592"/>
    <w:multiLevelType w:val="hybridMultilevel"/>
    <w:tmpl w:val="C9CE93EA"/>
    <w:lvl w:ilvl="0" w:tplc="ED28BBB2">
      <w:start w:val="2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312F08E7"/>
    <w:multiLevelType w:val="hybridMultilevel"/>
    <w:tmpl w:val="12686C44"/>
    <w:lvl w:ilvl="0" w:tplc="F12E3782">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76" w15:restartNumberingAfterBreak="0">
    <w:nsid w:val="3181508F"/>
    <w:multiLevelType w:val="hybridMultilevel"/>
    <w:tmpl w:val="A5C29A70"/>
    <w:lvl w:ilvl="0" w:tplc="789A4F26">
      <w:start w:val="1"/>
      <w:numFmt w:val="bullet"/>
      <w:lvlText w:val=""/>
      <w:lvlJc w:val="left"/>
      <w:pPr>
        <w:ind w:left="720" w:hanging="360"/>
      </w:pPr>
      <w:rPr>
        <w:rFonts w:ascii="Symbol" w:hAnsi="Symbol" w:hint="default"/>
        <w:b/>
        <w:i w:val="0"/>
        <w:color w:val="325BAA"/>
        <w:sz w:val="24"/>
      </w:rPr>
    </w:lvl>
    <w:lvl w:ilvl="1" w:tplc="D758FE2C">
      <w:start w:val="1"/>
      <w:numFmt w:val="bullet"/>
      <w:lvlText w:val="o"/>
      <w:lvlJc w:val="left"/>
      <w:pPr>
        <w:ind w:left="1440" w:hanging="360"/>
      </w:pPr>
      <w:rPr>
        <w:rFonts w:ascii="Courier New" w:hAnsi="Courier New" w:hint="default"/>
        <w:color w:val="1F497D" w:themeColor="text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15:restartNumberingAfterBreak="0">
    <w:nsid w:val="3192BD07"/>
    <w:multiLevelType w:val="hybridMultilevel"/>
    <w:tmpl w:val="FFFFFFFF"/>
    <w:lvl w:ilvl="0" w:tplc="F1087464">
      <w:start w:val="1"/>
      <w:numFmt w:val="bullet"/>
      <w:lvlText w:val="-"/>
      <w:lvlJc w:val="left"/>
      <w:pPr>
        <w:ind w:left="720" w:hanging="360"/>
      </w:pPr>
      <w:rPr>
        <w:rFonts w:ascii="Calibri" w:hAnsi="Calibri" w:hint="default"/>
      </w:rPr>
    </w:lvl>
    <w:lvl w:ilvl="1" w:tplc="BD0CF874">
      <w:start w:val="1"/>
      <w:numFmt w:val="bullet"/>
      <w:lvlText w:val="o"/>
      <w:lvlJc w:val="left"/>
      <w:pPr>
        <w:ind w:left="1440" w:hanging="360"/>
      </w:pPr>
      <w:rPr>
        <w:rFonts w:ascii="Courier New" w:hAnsi="Courier New" w:hint="default"/>
      </w:rPr>
    </w:lvl>
    <w:lvl w:ilvl="2" w:tplc="447A8FF6">
      <w:start w:val="1"/>
      <w:numFmt w:val="bullet"/>
      <w:lvlText w:val=""/>
      <w:lvlJc w:val="left"/>
      <w:pPr>
        <w:ind w:left="2160" w:hanging="360"/>
      </w:pPr>
      <w:rPr>
        <w:rFonts w:ascii="Wingdings" w:hAnsi="Wingdings" w:hint="default"/>
      </w:rPr>
    </w:lvl>
    <w:lvl w:ilvl="3" w:tplc="645A262C">
      <w:start w:val="1"/>
      <w:numFmt w:val="bullet"/>
      <w:lvlText w:val=""/>
      <w:lvlJc w:val="left"/>
      <w:pPr>
        <w:ind w:left="2880" w:hanging="360"/>
      </w:pPr>
      <w:rPr>
        <w:rFonts w:ascii="Symbol" w:hAnsi="Symbol" w:hint="default"/>
      </w:rPr>
    </w:lvl>
    <w:lvl w:ilvl="4" w:tplc="C2280790">
      <w:start w:val="1"/>
      <w:numFmt w:val="bullet"/>
      <w:lvlText w:val="o"/>
      <w:lvlJc w:val="left"/>
      <w:pPr>
        <w:ind w:left="3600" w:hanging="360"/>
      </w:pPr>
      <w:rPr>
        <w:rFonts w:ascii="Courier New" w:hAnsi="Courier New" w:hint="default"/>
      </w:rPr>
    </w:lvl>
    <w:lvl w:ilvl="5" w:tplc="78DE3DC2">
      <w:start w:val="1"/>
      <w:numFmt w:val="bullet"/>
      <w:lvlText w:val=""/>
      <w:lvlJc w:val="left"/>
      <w:pPr>
        <w:ind w:left="4320" w:hanging="360"/>
      </w:pPr>
      <w:rPr>
        <w:rFonts w:ascii="Wingdings" w:hAnsi="Wingdings" w:hint="default"/>
      </w:rPr>
    </w:lvl>
    <w:lvl w:ilvl="6" w:tplc="946094A8">
      <w:start w:val="1"/>
      <w:numFmt w:val="bullet"/>
      <w:lvlText w:val=""/>
      <w:lvlJc w:val="left"/>
      <w:pPr>
        <w:ind w:left="5040" w:hanging="360"/>
      </w:pPr>
      <w:rPr>
        <w:rFonts w:ascii="Symbol" w:hAnsi="Symbol" w:hint="default"/>
      </w:rPr>
    </w:lvl>
    <w:lvl w:ilvl="7" w:tplc="6C56AC98">
      <w:start w:val="1"/>
      <w:numFmt w:val="bullet"/>
      <w:lvlText w:val="o"/>
      <w:lvlJc w:val="left"/>
      <w:pPr>
        <w:ind w:left="5760" w:hanging="360"/>
      </w:pPr>
      <w:rPr>
        <w:rFonts w:ascii="Courier New" w:hAnsi="Courier New" w:hint="default"/>
      </w:rPr>
    </w:lvl>
    <w:lvl w:ilvl="8" w:tplc="F88CD5BC">
      <w:start w:val="1"/>
      <w:numFmt w:val="bullet"/>
      <w:lvlText w:val=""/>
      <w:lvlJc w:val="left"/>
      <w:pPr>
        <w:ind w:left="6480" w:hanging="360"/>
      </w:pPr>
      <w:rPr>
        <w:rFonts w:ascii="Wingdings" w:hAnsi="Wingdings" w:hint="default"/>
      </w:rPr>
    </w:lvl>
  </w:abstractNum>
  <w:abstractNum w:abstractNumId="78" w15:restartNumberingAfterBreak="0">
    <w:nsid w:val="31A54940"/>
    <w:multiLevelType w:val="multilevel"/>
    <w:tmpl w:val="A4EC6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2511114"/>
    <w:multiLevelType w:val="hybridMultilevel"/>
    <w:tmpl w:val="9BDE123A"/>
    <w:lvl w:ilvl="0" w:tplc="EE1436B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2F46EED"/>
    <w:multiLevelType w:val="hybridMultilevel"/>
    <w:tmpl w:val="7CAC4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33CC493C"/>
    <w:multiLevelType w:val="hybridMultilevel"/>
    <w:tmpl w:val="82E02920"/>
    <w:lvl w:ilvl="0" w:tplc="5EDEE0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16623C"/>
    <w:multiLevelType w:val="hybridMultilevel"/>
    <w:tmpl w:val="AFB0A9D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3467ECEF"/>
    <w:multiLevelType w:val="hybridMultilevel"/>
    <w:tmpl w:val="93327186"/>
    <w:lvl w:ilvl="0" w:tplc="A4BC6CB8">
      <w:start w:val="1"/>
      <w:numFmt w:val="bullet"/>
      <w:lvlText w:val="-"/>
      <w:lvlJc w:val="left"/>
      <w:pPr>
        <w:ind w:left="720" w:hanging="360"/>
      </w:pPr>
      <w:rPr>
        <w:rFonts w:ascii="Calibri" w:hAnsi="Calibri" w:hint="default"/>
      </w:rPr>
    </w:lvl>
    <w:lvl w:ilvl="1" w:tplc="0CD006A8">
      <w:start w:val="1"/>
      <w:numFmt w:val="bullet"/>
      <w:lvlText w:val="o"/>
      <w:lvlJc w:val="left"/>
      <w:pPr>
        <w:ind w:left="1440" w:hanging="360"/>
      </w:pPr>
      <w:rPr>
        <w:rFonts w:ascii="Courier New" w:hAnsi="Courier New" w:hint="default"/>
      </w:rPr>
    </w:lvl>
    <w:lvl w:ilvl="2" w:tplc="95347250">
      <w:start w:val="1"/>
      <w:numFmt w:val="bullet"/>
      <w:lvlText w:val=""/>
      <w:lvlJc w:val="left"/>
      <w:pPr>
        <w:ind w:left="2160" w:hanging="360"/>
      </w:pPr>
      <w:rPr>
        <w:rFonts w:ascii="Wingdings" w:hAnsi="Wingdings" w:hint="default"/>
      </w:rPr>
    </w:lvl>
    <w:lvl w:ilvl="3" w:tplc="D1E4D8AE">
      <w:start w:val="1"/>
      <w:numFmt w:val="bullet"/>
      <w:lvlText w:val=""/>
      <w:lvlJc w:val="left"/>
      <w:pPr>
        <w:ind w:left="2880" w:hanging="360"/>
      </w:pPr>
      <w:rPr>
        <w:rFonts w:ascii="Symbol" w:hAnsi="Symbol" w:hint="default"/>
      </w:rPr>
    </w:lvl>
    <w:lvl w:ilvl="4" w:tplc="2124DDA0">
      <w:start w:val="1"/>
      <w:numFmt w:val="bullet"/>
      <w:lvlText w:val="o"/>
      <w:lvlJc w:val="left"/>
      <w:pPr>
        <w:ind w:left="3600" w:hanging="360"/>
      </w:pPr>
      <w:rPr>
        <w:rFonts w:ascii="Courier New" w:hAnsi="Courier New" w:hint="default"/>
      </w:rPr>
    </w:lvl>
    <w:lvl w:ilvl="5" w:tplc="D8885072">
      <w:start w:val="1"/>
      <w:numFmt w:val="bullet"/>
      <w:lvlText w:val=""/>
      <w:lvlJc w:val="left"/>
      <w:pPr>
        <w:ind w:left="4320" w:hanging="360"/>
      </w:pPr>
      <w:rPr>
        <w:rFonts w:ascii="Wingdings" w:hAnsi="Wingdings" w:hint="default"/>
      </w:rPr>
    </w:lvl>
    <w:lvl w:ilvl="6" w:tplc="B0AE70DE">
      <w:start w:val="1"/>
      <w:numFmt w:val="bullet"/>
      <w:lvlText w:val=""/>
      <w:lvlJc w:val="left"/>
      <w:pPr>
        <w:ind w:left="5040" w:hanging="360"/>
      </w:pPr>
      <w:rPr>
        <w:rFonts w:ascii="Symbol" w:hAnsi="Symbol" w:hint="default"/>
      </w:rPr>
    </w:lvl>
    <w:lvl w:ilvl="7" w:tplc="8D907396">
      <w:start w:val="1"/>
      <w:numFmt w:val="bullet"/>
      <w:lvlText w:val="o"/>
      <w:lvlJc w:val="left"/>
      <w:pPr>
        <w:ind w:left="5760" w:hanging="360"/>
      </w:pPr>
      <w:rPr>
        <w:rFonts w:ascii="Courier New" w:hAnsi="Courier New" w:hint="default"/>
      </w:rPr>
    </w:lvl>
    <w:lvl w:ilvl="8" w:tplc="E6E0D392">
      <w:start w:val="1"/>
      <w:numFmt w:val="bullet"/>
      <w:lvlText w:val=""/>
      <w:lvlJc w:val="left"/>
      <w:pPr>
        <w:ind w:left="6480" w:hanging="360"/>
      </w:pPr>
      <w:rPr>
        <w:rFonts w:ascii="Wingdings" w:hAnsi="Wingdings" w:hint="default"/>
      </w:rPr>
    </w:lvl>
  </w:abstractNum>
  <w:abstractNum w:abstractNumId="84" w15:restartNumberingAfterBreak="0">
    <w:nsid w:val="346A0B6B"/>
    <w:multiLevelType w:val="hybridMultilevel"/>
    <w:tmpl w:val="6A4A30F6"/>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85" w15:restartNumberingAfterBreak="0">
    <w:nsid w:val="347B11AB"/>
    <w:multiLevelType w:val="hybridMultilevel"/>
    <w:tmpl w:val="C8FABCFE"/>
    <w:lvl w:ilvl="0" w:tplc="D4CAF998">
      <w:start w:val="1"/>
      <w:numFmt w:val="decimal"/>
      <w:lvlText w:val="%1)"/>
      <w:lvlJc w:val="left"/>
      <w:pPr>
        <w:ind w:left="522" w:hanging="492"/>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6" w15:restartNumberingAfterBreak="0">
    <w:nsid w:val="348AA50A"/>
    <w:multiLevelType w:val="hybridMultilevel"/>
    <w:tmpl w:val="98CE96D6"/>
    <w:lvl w:ilvl="0" w:tplc="FD984996">
      <w:start w:val="1"/>
      <w:numFmt w:val="lowerLetter"/>
      <w:lvlText w:val="%1."/>
      <w:lvlJc w:val="left"/>
      <w:pPr>
        <w:ind w:left="720" w:hanging="360"/>
      </w:pPr>
    </w:lvl>
    <w:lvl w:ilvl="1" w:tplc="7CB83FAE">
      <w:start w:val="1"/>
      <w:numFmt w:val="lowerLetter"/>
      <w:lvlText w:val="%2."/>
      <w:lvlJc w:val="left"/>
      <w:pPr>
        <w:ind w:left="1440" w:hanging="360"/>
      </w:pPr>
    </w:lvl>
    <w:lvl w:ilvl="2" w:tplc="65E0E37A">
      <w:start w:val="1"/>
      <w:numFmt w:val="lowerRoman"/>
      <w:lvlText w:val="%3."/>
      <w:lvlJc w:val="right"/>
      <w:pPr>
        <w:ind w:left="2160" w:hanging="180"/>
      </w:pPr>
    </w:lvl>
    <w:lvl w:ilvl="3" w:tplc="8138A654">
      <w:start w:val="1"/>
      <w:numFmt w:val="decimal"/>
      <w:lvlText w:val="%4."/>
      <w:lvlJc w:val="left"/>
      <w:pPr>
        <w:ind w:left="2880" w:hanging="360"/>
      </w:pPr>
    </w:lvl>
    <w:lvl w:ilvl="4" w:tplc="6EDEBEF8">
      <w:start w:val="1"/>
      <w:numFmt w:val="lowerLetter"/>
      <w:lvlText w:val="%5."/>
      <w:lvlJc w:val="left"/>
      <w:pPr>
        <w:ind w:left="3600" w:hanging="360"/>
      </w:pPr>
    </w:lvl>
    <w:lvl w:ilvl="5" w:tplc="CD5A9570">
      <w:start w:val="1"/>
      <w:numFmt w:val="lowerRoman"/>
      <w:lvlText w:val="%6."/>
      <w:lvlJc w:val="right"/>
      <w:pPr>
        <w:ind w:left="4320" w:hanging="180"/>
      </w:pPr>
    </w:lvl>
    <w:lvl w:ilvl="6" w:tplc="982A2C24">
      <w:start w:val="1"/>
      <w:numFmt w:val="decimal"/>
      <w:lvlText w:val="%7."/>
      <w:lvlJc w:val="left"/>
      <w:pPr>
        <w:ind w:left="5040" w:hanging="360"/>
      </w:pPr>
    </w:lvl>
    <w:lvl w:ilvl="7" w:tplc="E56AD222">
      <w:start w:val="1"/>
      <w:numFmt w:val="lowerLetter"/>
      <w:lvlText w:val="%8."/>
      <w:lvlJc w:val="left"/>
      <w:pPr>
        <w:ind w:left="5760" w:hanging="360"/>
      </w:pPr>
    </w:lvl>
    <w:lvl w:ilvl="8" w:tplc="FC24A21C">
      <w:start w:val="1"/>
      <w:numFmt w:val="lowerRoman"/>
      <w:lvlText w:val="%9."/>
      <w:lvlJc w:val="right"/>
      <w:pPr>
        <w:ind w:left="6480" w:hanging="180"/>
      </w:pPr>
    </w:lvl>
  </w:abstractNum>
  <w:abstractNum w:abstractNumId="87" w15:restartNumberingAfterBreak="0">
    <w:nsid w:val="34ED1B8E"/>
    <w:multiLevelType w:val="hybridMultilevel"/>
    <w:tmpl w:val="78BA0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5775512"/>
    <w:multiLevelType w:val="hybridMultilevel"/>
    <w:tmpl w:val="934C66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3584556C"/>
    <w:multiLevelType w:val="hybridMultilevel"/>
    <w:tmpl w:val="CB704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6365E3B"/>
    <w:multiLevelType w:val="hybridMultilevel"/>
    <w:tmpl w:val="5DBA46B8"/>
    <w:lvl w:ilvl="0" w:tplc="530433FC">
      <w:start w:val="1"/>
      <w:numFmt w:val="lowerLetter"/>
      <w:lvlText w:val="%1."/>
      <w:lvlJc w:val="left"/>
      <w:pPr>
        <w:ind w:left="720" w:hanging="360"/>
      </w:pPr>
    </w:lvl>
    <w:lvl w:ilvl="1" w:tplc="A574BBC6">
      <w:start w:val="1"/>
      <w:numFmt w:val="lowerLetter"/>
      <w:lvlText w:val="%2."/>
      <w:lvlJc w:val="left"/>
      <w:pPr>
        <w:ind w:left="1440" w:hanging="360"/>
      </w:pPr>
    </w:lvl>
    <w:lvl w:ilvl="2" w:tplc="0F56BA42">
      <w:start w:val="1"/>
      <w:numFmt w:val="lowerRoman"/>
      <w:lvlText w:val="%3."/>
      <w:lvlJc w:val="right"/>
      <w:pPr>
        <w:ind w:left="2160" w:hanging="180"/>
      </w:pPr>
    </w:lvl>
    <w:lvl w:ilvl="3" w:tplc="FA1ED824">
      <w:start w:val="1"/>
      <w:numFmt w:val="decimal"/>
      <w:lvlText w:val="%4."/>
      <w:lvlJc w:val="left"/>
      <w:pPr>
        <w:ind w:left="2880" w:hanging="360"/>
      </w:pPr>
    </w:lvl>
    <w:lvl w:ilvl="4" w:tplc="9ED25A2E">
      <w:start w:val="1"/>
      <w:numFmt w:val="lowerLetter"/>
      <w:lvlText w:val="%5."/>
      <w:lvlJc w:val="left"/>
      <w:pPr>
        <w:ind w:left="3600" w:hanging="360"/>
      </w:pPr>
    </w:lvl>
    <w:lvl w:ilvl="5" w:tplc="216C8082">
      <w:start w:val="1"/>
      <w:numFmt w:val="lowerRoman"/>
      <w:lvlText w:val="%6."/>
      <w:lvlJc w:val="right"/>
      <w:pPr>
        <w:ind w:left="4320" w:hanging="180"/>
      </w:pPr>
    </w:lvl>
    <w:lvl w:ilvl="6" w:tplc="8054895A">
      <w:start w:val="1"/>
      <w:numFmt w:val="decimal"/>
      <w:lvlText w:val="%7."/>
      <w:lvlJc w:val="left"/>
      <w:pPr>
        <w:ind w:left="5040" w:hanging="360"/>
      </w:pPr>
    </w:lvl>
    <w:lvl w:ilvl="7" w:tplc="DFE4A7B6">
      <w:start w:val="1"/>
      <w:numFmt w:val="lowerLetter"/>
      <w:lvlText w:val="%8."/>
      <w:lvlJc w:val="left"/>
      <w:pPr>
        <w:ind w:left="5760" w:hanging="360"/>
      </w:pPr>
    </w:lvl>
    <w:lvl w:ilvl="8" w:tplc="77E0673A">
      <w:start w:val="1"/>
      <w:numFmt w:val="lowerRoman"/>
      <w:lvlText w:val="%9."/>
      <w:lvlJc w:val="right"/>
      <w:pPr>
        <w:ind w:left="6480" w:hanging="180"/>
      </w:pPr>
    </w:lvl>
  </w:abstractNum>
  <w:abstractNum w:abstractNumId="91" w15:restartNumberingAfterBreak="0">
    <w:nsid w:val="36C25F7A"/>
    <w:multiLevelType w:val="hybridMultilevel"/>
    <w:tmpl w:val="3B9ADC66"/>
    <w:lvl w:ilvl="0" w:tplc="E384EA26">
      <w:numFmt w:val="bullet"/>
      <w:lvlText w:val=""/>
      <w:lvlJc w:val="left"/>
      <w:pPr>
        <w:ind w:left="537" w:hanging="360"/>
      </w:pPr>
      <w:rPr>
        <w:rFonts w:ascii="Symbol" w:eastAsia="Symbol" w:hAnsi="Symbol" w:cs="Symbol" w:hint="default"/>
        <w:w w:val="99"/>
        <w:sz w:val="20"/>
        <w:szCs w:val="20"/>
        <w:lang w:val="en-US" w:eastAsia="en-US" w:bidi="ar-SA"/>
      </w:rPr>
    </w:lvl>
    <w:lvl w:ilvl="1" w:tplc="6A025296">
      <w:numFmt w:val="bullet"/>
      <w:lvlText w:val="•"/>
      <w:lvlJc w:val="left"/>
      <w:pPr>
        <w:ind w:left="765" w:hanging="360"/>
      </w:pPr>
      <w:rPr>
        <w:lang w:val="en-US" w:eastAsia="en-US" w:bidi="ar-SA"/>
      </w:rPr>
    </w:lvl>
    <w:lvl w:ilvl="2" w:tplc="B1BAB28A">
      <w:numFmt w:val="bullet"/>
      <w:lvlText w:val="•"/>
      <w:lvlJc w:val="left"/>
      <w:pPr>
        <w:ind w:left="991" w:hanging="360"/>
      </w:pPr>
      <w:rPr>
        <w:lang w:val="en-US" w:eastAsia="en-US" w:bidi="ar-SA"/>
      </w:rPr>
    </w:lvl>
    <w:lvl w:ilvl="3" w:tplc="0862E206">
      <w:numFmt w:val="bullet"/>
      <w:lvlText w:val="•"/>
      <w:lvlJc w:val="left"/>
      <w:pPr>
        <w:ind w:left="1216" w:hanging="360"/>
      </w:pPr>
      <w:rPr>
        <w:lang w:val="en-US" w:eastAsia="en-US" w:bidi="ar-SA"/>
      </w:rPr>
    </w:lvl>
    <w:lvl w:ilvl="4" w:tplc="8A324288">
      <w:numFmt w:val="bullet"/>
      <w:lvlText w:val="•"/>
      <w:lvlJc w:val="left"/>
      <w:pPr>
        <w:ind w:left="1442" w:hanging="360"/>
      </w:pPr>
      <w:rPr>
        <w:lang w:val="en-US" w:eastAsia="en-US" w:bidi="ar-SA"/>
      </w:rPr>
    </w:lvl>
    <w:lvl w:ilvl="5" w:tplc="D590B0CC">
      <w:numFmt w:val="bullet"/>
      <w:lvlText w:val="•"/>
      <w:lvlJc w:val="left"/>
      <w:pPr>
        <w:ind w:left="1667" w:hanging="360"/>
      </w:pPr>
      <w:rPr>
        <w:lang w:val="en-US" w:eastAsia="en-US" w:bidi="ar-SA"/>
      </w:rPr>
    </w:lvl>
    <w:lvl w:ilvl="6" w:tplc="325AEBF0">
      <w:numFmt w:val="bullet"/>
      <w:lvlText w:val="•"/>
      <w:lvlJc w:val="left"/>
      <w:pPr>
        <w:ind w:left="1893" w:hanging="360"/>
      </w:pPr>
      <w:rPr>
        <w:lang w:val="en-US" w:eastAsia="en-US" w:bidi="ar-SA"/>
      </w:rPr>
    </w:lvl>
    <w:lvl w:ilvl="7" w:tplc="17406C14">
      <w:numFmt w:val="bullet"/>
      <w:lvlText w:val="•"/>
      <w:lvlJc w:val="left"/>
      <w:pPr>
        <w:ind w:left="2118" w:hanging="360"/>
      </w:pPr>
      <w:rPr>
        <w:lang w:val="en-US" w:eastAsia="en-US" w:bidi="ar-SA"/>
      </w:rPr>
    </w:lvl>
    <w:lvl w:ilvl="8" w:tplc="D5EC770C">
      <w:numFmt w:val="bullet"/>
      <w:lvlText w:val="•"/>
      <w:lvlJc w:val="left"/>
      <w:pPr>
        <w:ind w:left="2344" w:hanging="360"/>
      </w:pPr>
      <w:rPr>
        <w:lang w:val="en-US" w:eastAsia="en-US" w:bidi="ar-SA"/>
      </w:rPr>
    </w:lvl>
  </w:abstractNum>
  <w:abstractNum w:abstractNumId="92" w15:restartNumberingAfterBreak="0">
    <w:nsid w:val="36ED69BD"/>
    <w:multiLevelType w:val="hybridMultilevel"/>
    <w:tmpl w:val="761A6288"/>
    <w:lvl w:ilvl="0" w:tplc="03CE4ED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3718C118"/>
    <w:multiLevelType w:val="hybridMultilevel"/>
    <w:tmpl w:val="680035C2"/>
    <w:lvl w:ilvl="0" w:tplc="BE8471DA">
      <w:start w:val="1"/>
      <w:numFmt w:val="bullet"/>
      <w:lvlText w:val=""/>
      <w:lvlJc w:val="left"/>
      <w:pPr>
        <w:ind w:left="720" w:hanging="360"/>
      </w:pPr>
      <w:rPr>
        <w:rFonts w:ascii="Symbol" w:hAnsi="Symbol" w:hint="default"/>
      </w:rPr>
    </w:lvl>
    <w:lvl w:ilvl="1" w:tplc="5B82FB3A">
      <w:start w:val="1"/>
      <w:numFmt w:val="bullet"/>
      <w:lvlText w:val="o"/>
      <w:lvlJc w:val="left"/>
      <w:pPr>
        <w:ind w:left="1440" w:hanging="360"/>
      </w:pPr>
      <w:rPr>
        <w:rFonts w:ascii="Courier New" w:hAnsi="Courier New" w:hint="default"/>
      </w:rPr>
    </w:lvl>
    <w:lvl w:ilvl="2" w:tplc="ADA076B4">
      <w:start w:val="1"/>
      <w:numFmt w:val="bullet"/>
      <w:lvlText w:val=""/>
      <w:lvlJc w:val="left"/>
      <w:pPr>
        <w:ind w:left="2160" w:hanging="360"/>
      </w:pPr>
      <w:rPr>
        <w:rFonts w:ascii="Wingdings" w:hAnsi="Wingdings" w:hint="default"/>
      </w:rPr>
    </w:lvl>
    <w:lvl w:ilvl="3" w:tplc="643604A8">
      <w:start w:val="1"/>
      <w:numFmt w:val="bullet"/>
      <w:lvlText w:val=""/>
      <w:lvlJc w:val="left"/>
      <w:pPr>
        <w:ind w:left="2880" w:hanging="360"/>
      </w:pPr>
      <w:rPr>
        <w:rFonts w:ascii="Symbol" w:hAnsi="Symbol" w:hint="default"/>
      </w:rPr>
    </w:lvl>
    <w:lvl w:ilvl="4" w:tplc="FABCABDC">
      <w:start w:val="1"/>
      <w:numFmt w:val="bullet"/>
      <w:lvlText w:val="o"/>
      <w:lvlJc w:val="left"/>
      <w:pPr>
        <w:ind w:left="3600" w:hanging="360"/>
      </w:pPr>
      <w:rPr>
        <w:rFonts w:ascii="Courier New" w:hAnsi="Courier New" w:hint="default"/>
      </w:rPr>
    </w:lvl>
    <w:lvl w:ilvl="5" w:tplc="951E405E">
      <w:start w:val="1"/>
      <w:numFmt w:val="bullet"/>
      <w:lvlText w:val=""/>
      <w:lvlJc w:val="left"/>
      <w:pPr>
        <w:ind w:left="4320" w:hanging="360"/>
      </w:pPr>
      <w:rPr>
        <w:rFonts w:ascii="Wingdings" w:hAnsi="Wingdings" w:hint="default"/>
      </w:rPr>
    </w:lvl>
    <w:lvl w:ilvl="6" w:tplc="B17A02FA">
      <w:start w:val="1"/>
      <w:numFmt w:val="bullet"/>
      <w:lvlText w:val=""/>
      <w:lvlJc w:val="left"/>
      <w:pPr>
        <w:ind w:left="5040" w:hanging="360"/>
      </w:pPr>
      <w:rPr>
        <w:rFonts w:ascii="Symbol" w:hAnsi="Symbol" w:hint="default"/>
      </w:rPr>
    </w:lvl>
    <w:lvl w:ilvl="7" w:tplc="8CECD5E2">
      <w:start w:val="1"/>
      <w:numFmt w:val="bullet"/>
      <w:lvlText w:val="o"/>
      <w:lvlJc w:val="left"/>
      <w:pPr>
        <w:ind w:left="5760" w:hanging="360"/>
      </w:pPr>
      <w:rPr>
        <w:rFonts w:ascii="Courier New" w:hAnsi="Courier New" w:hint="default"/>
      </w:rPr>
    </w:lvl>
    <w:lvl w:ilvl="8" w:tplc="DAEC2912">
      <w:start w:val="1"/>
      <w:numFmt w:val="bullet"/>
      <w:lvlText w:val=""/>
      <w:lvlJc w:val="left"/>
      <w:pPr>
        <w:ind w:left="6480" w:hanging="360"/>
      </w:pPr>
      <w:rPr>
        <w:rFonts w:ascii="Wingdings" w:hAnsi="Wingdings" w:hint="default"/>
      </w:rPr>
    </w:lvl>
  </w:abstractNum>
  <w:abstractNum w:abstractNumId="94" w15:restartNumberingAfterBreak="0">
    <w:nsid w:val="37AF7B89"/>
    <w:multiLevelType w:val="hybridMultilevel"/>
    <w:tmpl w:val="375084A8"/>
    <w:lvl w:ilvl="0" w:tplc="1809000D">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5" w15:restartNumberingAfterBreak="0">
    <w:nsid w:val="37C666EE"/>
    <w:multiLevelType w:val="hybridMultilevel"/>
    <w:tmpl w:val="F36E85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38D17C1F"/>
    <w:multiLevelType w:val="hybridMultilevel"/>
    <w:tmpl w:val="FFEEE65E"/>
    <w:lvl w:ilvl="0" w:tplc="517EBFC8">
      <w:numFmt w:val="bullet"/>
      <w:lvlText w:val=""/>
      <w:lvlJc w:val="left"/>
      <w:pPr>
        <w:ind w:left="468" w:hanging="361"/>
      </w:pPr>
      <w:rPr>
        <w:rFonts w:ascii="Symbol" w:eastAsia="Symbol" w:hAnsi="Symbol" w:cs="Symbol" w:hint="default"/>
        <w:w w:val="99"/>
        <w:sz w:val="20"/>
        <w:szCs w:val="20"/>
        <w:lang w:val="en-US" w:eastAsia="en-US" w:bidi="ar-SA"/>
      </w:rPr>
    </w:lvl>
    <w:lvl w:ilvl="1" w:tplc="FECC8D30">
      <w:numFmt w:val="bullet"/>
      <w:lvlText w:val="•"/>
      <w:lvlJc w:val="left"/>
      <w:pPr>
        <w:ind w:left="669" w:hanging="361"/>
      </w:pPr>
      <w:rPr>
        <w:rFonts w:hint="default"/>
        <w:lang w:val="en-US" w:eastAsia="en-US" w:bidi="ar-SA"/>
      </w:rPr>
    </w:lvl>
    <w:lvl w:ilvl="2" w:tplc="F9E435EA">
      <w:numFmt w:val="bullet"/>
      <w:lvlText w:val="•"/>
      <w:lvlJc w:val="left"/>
      <w:pPr>
        <w:ind w:left="878" w:hanging="361"/>
      </w:pPr>
      <w:rPr>
        <w:rFonts w:hint="default"/>
        <w:lang w:val="en-US" w:eastAsia="en-US" w:bidi="ar-SA"/>
      </w:rPr>
    </w:lvl>
    <w:lvl w:ilvl="3" w:tplc="D472D152">
      <w:numFmt w:val="bullet"/>
      <w:lvlText w:val="•"/>
      <w:lvlJc w:val="left"/>
      <w:pPr>
        <w:ind w:left="1087" w:hanging="361"/>
      </w:pPr>
      <w:rPr>
        <w:rFonts w:hint="default"/>
        <w:lang w:val="en-US" w:eastAsia="en-US" w:bidi="ar-SA"/>
      </w:rPr>
    </w:lvl>
    <w:lvl w:ilvl="4" w:tplc="DF626EF4">
      <w:numFmt w:val="bullet"/>
      <w:lvlText w:val="•"/>
      <w:lvlJc w:val="left"/>
      <w:pPr>
        <w:ind w:left="1296" w:hanging="361"/>
      </w:pPr>
      <w:rPr>
        <w:rFonts w:hint="default"/>
        <w:lang w:val="en-US" w:eastAsia="en-US" w:bidi="ar-SA"/>
      </w:rPr>
    </w:lvl>
    <w:lvl w:ilvl="5" w:tplc="26B8C4FE">
      <w:numFmt w:val="bullet"/>
      <w:lvlText w:val="•"/>
      <w:lvlJc w:val="left"/>
      <w:pPr>
        <w:ind w:left="1505" w:hanging="361"/>
      </w:pPr>
      <w:rPr>
        <w:rFonts w:hint="default"/>
        <w:lang w:val="en-US" w:eastAsia="en-US" w:bidi="ar-SA"/>
      </w:rPr>
    </w:lvl>
    <w:lvl w:ilvl="6" w:tplc="E9A4F280">
      <w:numFmt w:val="bullet"/>
      <w:lvlText w:val="•"/>
      <w:lvlJc w:val="left"/>
      <w:pPr>
        <w:ind w:left="1714" w:hanging="361"/>
      </w:pPr>
      <w:rPr>
        <w:rFonts w:hint="default"/>
        <w:lang w:val="en-US" w:eastAsia="en-US" w:bidi="ar-SA"/>
      </w:rPr>
    </w:lvl>
    <w:lvl w:ilvl="7" w:tplc="D68C4BD6">
      <w:numFmt w:val="bullet"/>
      <w:lvlText w:val="•"/>
      <w:lvlJc w:val="left"/>
      <w:pPr>
        <w:ind w:left="1923" w:hanging="361"/>
      </w:pPr>
      <w:rPr>
        <w:rFonts w:hint="default"/>
        <w:lang w:val="en-US" w:eastAsia="en-US" w:bidi="ar-SA"/>
      </w:rPr>
    </w:lvl>
    <w:lvl w:ilvl="8" w:tplc="D1F8B038">
      <w:numFmt w:val="bullet"/>
      <w:lvlText w:val="•"/>
      <w:lvlJc w:val="left"/>
      <w:pPr>
        <w:ind w:left="2132" w:hanging="361"/>
      </w:pPr>
      <w:rPr>
        <w:rFonts w:hint="default"/>
        <w:lang w:val="en-US" w:eastAsia="en-US" w:bidi="ar-SA"/>
      </w:rPr>
    </w:lvl>
  </w:abstractNum>
  <w:abstractNum w:abstractNumId="97" w15:restartNumberingAfterBreak="0">
    <w:nsid w:val="398267D9"/>
    <w:multiLevelType w:val="hybridMultilevel"/>
    <w:tmpl w:val="5EBCEB7A"/>
    <w:lvl w:ilvl="0" w:tplc="4DA2C3E4">
      <w:start w:val="1"/>
      <w:numFmt w:val="decimal"/>
      <w:lvlText w:val="%1)"/>
      <w:lvlJc w:val="left"/>
      <w:pPr>
        <w:ind w:left="469" w:hanging="360"/>
      </w:pPr>
      <w:rPr>
        <w:rFonts w:ascii="Times New Roman" w:eastAsia="Times New Roman" w:hAnsi="Times New Roman" w:cs="Times New Roman" w:hint="default"/>
        <w:spacing w:val="0"/>
        <w:w w:val="99"/>
        <w:sz w:val="20"/>
        <w:szCs w:val="20"/>
        <w:lang w:val="en-US" w:eastAsia="en-US" w:bidi="ar-SA"/>
      </w:rPr>
    </w:lvl>
    <w:lvl w:ilvl="1" w:tplc="85C08CC0">
      <w:numFmt w:val="bullet"/>
      <w:lvlText w:val="•"/>
      <w:lvlJc w:val="left"/>
      <w:pPr>
        <w:ind w:left="697" w:hanging="360"/>
      </w:pPr>
      <w:rPr>
        <w:lang w:val="en-US" w:eastAsia="en-US" w:bidi="ar-SA"/>
      </w:rPr>
    </w:lvl>
    <w:lvl w:ilvl="2" w:tplc="0A90AA44">
      <w:numFmt w:val="bullet"/>
      <w:lvlText w:val="•"/>
      <w:lvlJc w:val="left"/>
      <w:pPr>
        <w:ind w:left="935" w:hanging="360"/>
      </w:pPr>
      <w:rPr>
        <w:lang w:val="en-US" w:eastAsia="en-US" w:bidi="ar-SA"/>
      </w:rPr>
    </w:lvl>
    <w:lvl w:ilvl="3" w:tplc="A836A5A4">
      <w:numFmt w:val="bullet"/>
      <w:lvlText w:val="•"/>
      <w:lvlJc w:val="left"/>
      <w:pPr>
        <w:ind w:left="1172" w:hanging="360"/>
      </w:pPr>
      <w:rPr>
        <w:lang w:val="en-US" w:eastAsia="en-US" w:bidi="ar-SA"/>
      </w:rPr>
    </w:lvl>
    <w:lvl w:ilvl="4" w:tplc="005C41C0">
      <w:numFmt w:val="bullet"/>
      <w:lvlText w:val="•"/>
      <w:lvlJc w:val="left"/>
      <w:pPr>
        <w:ind w:left="1410" w:hanging="360"/>
      </w:pPr>
      <w:rPr>
        <w:lang w:val="en-US" w:eastAsia="en-US" w:bidi="ar-SA"/>
      </w:rPr>
    </w:lvl>
    <w:lvl w:ilvl="5" w:tplc="B360002A">
      <w:numFmt w:val="bullet"/>
      <w:lvlText w:val="•"/>
      <w:lvlJc w:val="left"/>
      <w:pPr>
        <w:ind w:left="1648" w:hanging="360"/>
      </w:pPr>
      <w:rPr>
        <w:lang w:val="en-US" w:eastAsia="en-US" w:bidi="ar-SA"/>
      </w:rPr>
    </w:lvl>
    <w:lvl w:ilvl="6" w:tplc="C4928FEA">
      <w:numFmt w:val="bullet"/>
      <w:lvlText w:val="•"/>
      <w:lvlJc w:val="left"/>
      <w:pPr>
        <w:ind w:left="1885" w:hanging="360"/>
      </w:pPr>
      <w:rPr>
        <w:lang w:val="en-US" w:eastAsia="en-US" w:bidi="ar-SA"/>
      </w:rPr>
    </w:lvl>
    <w:lvl w:ilvl="7" w:tplc="96662F44">
      <w:numFmt w:val="bullet"/>
      <w:lvlText w:val="•"/>
      <w:lvlJc w:val="left"/>
      <w:pPr>
        <w:ind w:left="2123" w:hanging="360"/>
      </w:pPr>
      <w:rPr>
        <w:lang w:val="en-US" w:eastAsia="en-US" w:bidi="ar-SA"/>
      </w:rPr>
    </w:lvl>
    <w:lvl w:ilvl="8" w:tplc="D42AD59C">
      <w:numFmt w:val="bullet"/>
      <w:lvlText w:val="•"/>
      <w:lvlJc w:val="left"/>
      <w:pPr>
        <w:ind w:left="2360" w:hanging="360"/>
      </w:pPr>
      <w:rPr>
        <w:lang w:val="en-US" w:eastAsia="en-US" w:bidi="ar-SA"/>
      </w:rPr>
    </w:lvl>
  </w:abstractNum>
  <w:abstractNum w:abstractNumId="98" w15:restartNumberingAfterBreak="0">
    <w:nsid w:val="3A25694B"/>
    <w:multiLevelType w:val="hybridMultilevel"/>
    <w:tmpl w:val="85BE431C"/>
    <w:lvl w:ilvl="0" w:tplc="D4A0A35A">
      <w:numFmt w:val="bullet"/>
      <w:lvlText w:val=""/>
      <w:lvlJc w:val="left"/>
      <w:pPr>
        <w:ind w:left="1274" w:hanging="360"/>
      </w:pPr>
      <w:rPr>
        <w:rFonts w:ascii="Symbol" w:eastAsia="Symbol" w:hAnsi="Symbol" w:cs="Symbol" w:hint="default"/>
        <w:w w:val="99"/>
        <w:sz w:val="20"/>
        <w:szCs w:val="20"/>
        <w:lang w:val="en-US" w:eastAsia="en-US" w:bidi="ar-SA"/>
      </w:rPr>
    </w:lvl>
    <w:lvl w:ilvl="1" w:tplc="63FC41B8">
      <w:numFmt w:val="bullet"/>
      <w:lvlText w:val="•"/>
      <w:lvlJc w:val="left"/>
      <w:pPr>
        <w:ind w:left="1558" w:hanging="360"/>
      </w:pPr>
      <w:rPr>
        <w:rFonts w:hint="default"/>
        <w:lang w:val="en-US" w:eastAsia="en-US" w:bidi="ar-SA"/>
      </w:rPr>
    </w:lvl>
    <w:lvl w:ilvl="2" w:tplc="93C469E6">
      <w:numFmt w:val="bullet"/>
      <w:lvlText w:val="•"/>
      <w:lvlJc w:val="left"/>
      <w:pPr>
        <w:ind w:left="1837" w:hanging="360"/>
      </w:pPr>
      <w:rPr>
        <w:rFonts w:hint="default"/>
        <w:lang w:val="en-US" w:eastAsia="en-US" w:bidi="ar-SA"/>
      </w:rPr>
    </w:lvl>
    <w:lvl w:ilvl="3" w:tplc="3726FCFA">
      <w:numFmt w:val="bullet"/>
      <w:lvlText w:val="•"/>
      <w:lvlJc w:val="left"/>
      <w:pPr>
        <w:ind w:left="2115" w:hanging="360"/>
      </w:pPr>
      <w:rPr>
        <w:rFonts w:hint="default"/>
        <w:lang w:val="en-US" w:eastAsia="en-US" w:bidi="ar-SA"/>
      </w:rPr>
    </w:lvl>
    <w:lvl w:ilvl="4" w:tplc="A620C38C">
      <w:numFmt w:val="bullet"/>
      <w:lvlText w:val="•"/>
      <w:lvlJc w:val="left"/>
      <w:pPr>
        <w:ind w:left="2394" w:hanging="360"/>
      </w:pPr>
      <w:rPr>
        <w:rFonts w:hint="default"/>
        <w:lang w:val="en-US" w:eastAsia="en-US" w:bidi="ar-SA"/>
      </w:rPr>
    </w:lvl>
    <w:lvl w:ilvl="5" w:tplc="881AEB14">
      <w:numFmt w:val="bullet"/>
      <w:lvlText w:val="•"/>
      <w:lvlJc w:val="left"/>
      <w:pPr>
        <w:ind w:left="2673" w:hanging="360"/>
      </w:pPr>
      <w:rPr>
        <w:rFonts w:hint="default"/>
        <w:lang w:val="en-US" w:eastAsia="en-US" w:bidi="ar-SA"/>
      </w:rPr>
    </w:lvl>
    <w:lvl w:ilvl="6" w:tplc="11B21B8C">
      <w:numFmt w:val="bullet"/>
      <w:lvlText w:val="•"/>
      <w:lvlJc w:val="left"/>
      <w:pPr>
        <w:ind w:left="2951" w:hanging="360"/>
      </w:pPr>
      <w:rPr>
        <w:rFonts w:hint="default"/>
        <w:lang w:val="en-US" w:eastAsia="en-US" w:bidi="ar-SA"/>
      </w:rPr>
    </w:lvl>
    <w:lvl w:ilvl="7" w:tplc="3DCAC4C8">
      <w:numFmt w:val="bullet"/>
      <w:lvlText w:val="•"/>
      <w:lvlJc w:val="left"/>
      <w:pPr>
        <w:ind w:left="3230" w:hanging="360"/>
      </w:pPr>
      <w:rPr>
        <w:rFonts w:hint="default"/>
        <w:lang w:val="en-US" w:eastAsia="en-US" w:bidi="ar-SA"/>
      </w:rPr>
    </w:lvl>
    <w:lvl w:ilvl="8" w:tplc="AE44082C">
      <w:numFmt w:val="bullet"/>
      <w:lvlText w:val="•"/>
      <w:lvlJc w:val="left"/>
      <w:pPr>
        <w:ind w:left="3508" w:hanging="360"/>
      </w:pPr>
      <w:rPr>
        <w:rFonts w:hint="default"/>
        <w:lang w:val="en-US" w:eastAsia="en-US" w:bidi="ar-SA"/>
      </w:rPr>
    </w:lvl>
  </w:abstractNum>
  <w:abstractNum w:abstractNumId="99" w15:restartNumberingAfterBreak="0">
    <w:nsid w:val="3A9F1A84"/>
    <w:multiLevelType w:val="hybridMultilevel"/>
    <w:tmpl w:val="DD36DCAA"/>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00" w15:restartNumberingAfterBreak="0">
    <w:nsid w:val="3AFD474D"/>
    <w:multiLevelType w:val="hybridMultilevel"/>
    <w:tmpl w:val="11BA6386"/>
    <w:lvl w:ilvl="0" w:tplc="69A42A96">
      <w:numFmt w:val="bullet"/>
      <w:lvlText w:val=""/>
      <w:lvlJc w:val="left"/>
      <w:pPr>
        <w:ind w:left="471" w:hanging="360"/>
      </w:pPr>
      <w:rPr>
        <w:rFonts w:ascii="Symbol" w:eastAsia="Symbol" w:hAnsi="Symbol" w:cs="Symbol" w:hint="default"/>
        <w:w w:val="99"/>
        <w:sz w:val="20"/>
        <w:szCs w:val="20"/>
        <w:lang w:val="en-US" w:eastAsia="en-US" w:bidi="ar-SA"/>
      </w:rPr>
    </w:lvl>
    <w:lvl w:ilvl="1" w:tplc="04C8E788">
      <w:numFmt w:val="bullet"/>
      <w:lvlText w:val="•"/>
      <w:lvlJc w:val="left"/>
      <w:pPr>
        <w:ind w:left="970" w:hanging="360"/>
      </w:pPr>
      <w:rPr>
        <w:rFonts w:hint="default"/>
        <w:lang w:val="en-US" w:eastAsia="en-US" w:bidi="ar-SA"/>
      </w:rPr>
    </w:lvl>
    <w:lvl w:ilvl="2" w:tplc="04D22B92">
      <w:numFmt w:val="bullet"/>
      <w:lvlText w:val="•"/>
      <w:lvlJc w:val="left"/>
      <w:pPr>
        <w:ind w:left="1461" w:hanging="360"/>
      </w:pPr>
      <w:rPr>
        <w:rFonts w:hint="default"/>
        <w:lang w:val="en-US" w:eastAsia="en-US" w:bidi="ar-SA"/>
      </w:rPr>
    </w:lvl>
    <w:lvl w:ilvl="3" w:tplc="D462675C">
      <w:numFmt w:val="bullet"/>
      <w:lvlText w:val="•"/>
      <w:lvlJc w:val="left"/>
      <w:pPr>
        <w:ind w:left="1951" w:hanging="360"/>
      </w:pPr>
      <w:rPr>
        <w:rFonts w:hint="default"/>
        <w:lang w:val="en-US" w:eastAsia="en-US" w:bidi="ar-SA"/>
      </w:rPr>
    </w:lvl>
    <w:lvl w:ilvl="4" w:tplc="B156C52C">
      <w:numFmt w:val="bullet"/>
      <w:lvlText w:val="•"/>
      <w:lvlJc w:val="left"/>
      <w:pPr>
        <w:ind w:left="2442" w:hanging="360"/>
      </w:pPr>
      <w:rPr>
        <w:rFonts w:hint="default"/>
        <w:lang w:val="en-US" w:eastAsia="en-US" w:bidi="ar-SA"/>
      </w:rPr>
    </w:lvl>
    <w:lvl w:ilvl="5" w:tplc="C36EDD66">
      <w:numFmt w:val="bullet"/>
      <w:lvlText w:val="•"/>
      <w:lvlJc w:val="left"/>
      <w:pPr>
        <w:ind w:left="2933" w:hanging="360"/>
      </w:pPr>
      <w:rPr>
        <w:rFonts w:hint="default"/>
        <w:lang w:val="en-US" w:eastAsia="en-US" w:bidi="ar-SA"/>
      </w:rPr>
    </w:lvl>
    <w:lvl w:ilvl="6" w:tplc="1750A812">
      <w:numFmt w:val="bullet"/>
      <w:lvlText w:val="•"/>
      <w:lvlJc w:val="left"/>
      <w:pPr>
        <w:ind w:left="3423" w:hanging="360"/>
      </w:pPr>
      <w:rPr>
        <w:rFonts w:hint="default"/>
        <w:lang w:val="en-US" w:eastAsia="en-US" w:bidi="ar-SA"/>
      </w:rPr>
    </w:lvl>
    <w:lvl w:ilvl="7" w:tplc="3D08CB12">
      <w:numFmt w:val="bullet"/>
      <w:lvlText w:val="•"/>
      <w:lvlJc w:val="left"/>
      <w:pPr>
        <w:ind w:left="3914" w:hanging="360"/>
      </w:pPr>
      <w:rPr>
        <w:rFonts w:hint="default"/>
        <w:lang w:val="en-US" w:eastAsia="en-US" w:bidi="ar-SA"/>
      </w:rPr>
    </w:lvl>
    <w:lvl w:ilvl="8" w:tplc="14BA7F30">
      <w:numFmt w:val="bullet"/>
      <w:lvlText w:val="•"/>
      <w:lvlJc w:val="left"/>
      <w:pPr>
        <w:ind w:left="4404" w:hanging="360"/>
      </w:pPr>
      <w:rPr>
        <w:rFonts w:hint="default"/>
        <w:lang w:val="en-US" w:eastAsia="en-US" w:bidi="ar-SA"/>
      </w:rPr>
    </w:lvl>
  </w:abstractNum>
  <w:abstractNum w:abstractNumId="101" w15:restartNumberingAfterBreak="0">
    <w:nsid w:val="3B544D46"/>
    <w:multiLevelType w:val="hybridMultilevel"/>
    <w:tmpl w:val="B328AF36"/>
    <w:lvl w:ilvl="0" w:tplc="013256C2">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2" w15:restartNumberingAfterBreak="0">
    <w:nsid w:val="3B75C249"/>
    <w:multiLevelType w:val="hybridMultilevel"/>
    <w:tmpl w:val="FFFFFFFF"/>
    <w:lvl w:ilvl="0" w:tplc="AD287610">
      <w:start w:val="1"/>
      <w:numFmt w:val="bullet"/>
      <w:lvlText w:val=""/>
      <w:lvlJc w:val="left"/>
      <w:pPr>
        <w:ind w:left="720" w:hanging="360"/>
      </w:pPr>
      <w:rPr>
        <w:rFonts w:ascii="Symbol" w:hAnsi="Symbol" w:hint="default"/>
      </w:rPr>
    </w:lvl>
    <w:lvl w:ilvl="1" w:tplc="B1BADAF0">
      <w:start w:val="1"/>
      <w:numFmt w:val="bullet"/>
      <w:lvlText w:val="o"/>
      <w:lvlJc w:val="left"/>
      <w:pPr>
        <w:ind w:left="1440" w:hanging="360"/>
      </w:pPr>
      <w:rPr>
        <w:rFonts w:ascii="Courier New" w:hAnsi="Courier New" w:hint="default"/>
      </w:rPr>
    </w:lvl>
    <w:lvl w:ilvl="2" w:tplc="B7443158">
      <w:start w:val="1"/>
      <w:numFmt w:val="bullet"/>
      <w:lvlText w:val=""/>
      <w:lvlJc w:val="left"/>
      <w:pPr>
        <w:ind w:left="2160" w:hanging="360"/>
      </w:pPr>
      <w:rPr>
        <w:rFonts w:ascii="Wingdings" w:hAnsi="Wingdings" w:hint="default"/>
      </w:rPr>
    </w:lvl>
    <w:lvl w:ilvl="3" w:tplc="7764A47A">
      <w:start w:val="1"/>
      <w:numFmt w:val="bullet"/>
      <w:lvlText w:val=""/>
      <w:lvlJc w:val="left"/>
      <w:pPr>
        <w:ind w:left="2880" w:hanging="360"/>
      </w:pPr>
      <w:rPr>
        <w:rFonts w:ascii="Symbol" w:hAnsi="Symbol" w:hint="default"/>
      </w:rPr>
    </w:lvl>
    <w:lvl w:ilvl="4" w:tplc="6C36D4E4">
      <w:start w:val="1"/>
      <w:numFmt w:val="bullet"/>
      <w:lvlText w:val="o"/>
      <w:lvlJc w:val="left"/>
      <w:pPr>
        <w:ind w:left="3600" w:hanging="360"/>
      </w:pPr>
      <w:rPr>
        <w:rFonts w:ascii="Courier New" w:hAnsi="Courier New" w:hint="default"/>
      </w:rPr>
    </w:lvl>
    <w:lvl w:ilvl="5" w:tplc="D2D49A8C">
      <w:start w:val="1"/>
      <w:numFmt w:val="bullet"/>
      <w:lvlText w:val=""/>
      <w:lvlJc w:val="left"/>
      <w:pPr>
        <w:ind w:left="4320" w:hanging="360"/>
      </w:pPr>
      <w:rPr>
        <w:rFonts w:ascii="Wingdings" w:hAnsi="Wingdings" w:hint="default"/>
      </w:rPr>
    </w:lvl>
    <w:lvl w:ilvl="6" w:tplc="8214B958">
      <w:start w:val="1"/>
      <w:numFmt w:val="bullet"/>
      <w:lvlText w:val=""/>
      <w:lvlJc w:val="left"/>
      <w:pPr>
        <w:ind w:left="5040" w:hanging="360"/>
      </w:pPr>
      <w:rPr>
        <w:rFonts w:ascii="Symbol" w:hAnsi="Symbol" w:hint="default"/>
      </w:rPr>
    </w:lvl>
    <w:lvl w:ilvl="7" w:tplc="DACA322E">
      <w:start w:val="1"/>
      <w:numFmt w:val="bullet"/>
      <w:lvlText w:val="o"/>
      <w:lvlJc w:val="left"/>
      <w:pPr>
        <w:ind w:left="5760" w:hanging="360"/>
      </w:pPr>
      <w:rPr>
        <w:rFonts w:ascii="Courier New" w:hAnsi="Courier New" w:hint="default"/>
      </w:rPr>
    </w:lvl>
    <w:lvl w:ilvl="8" w:tplc="94343BA6">
      <w:start w:val="1"/>
      <w:numFmt w:val="bullet"/>
      <w:lvlText w:val=""/>
      <w:lvlJc w:val="left"/>
      <w:pPr>
        <w:ind w:left="6480" w:hanging="360"/>
      </w:pPr>
      <w:rPr>
        <w:rFonts w:ascii="Wingdings" w:hAnsi="Wingdings" w:hint="default"/>
      </w:rPr>
    </w:lvl>
  </w:abstractNum>
  <w:abstractNum w:abstractNumId="103" w15:restartNumberingAfterBreak="0">
    <w:nsid w:val="3B9033B6"/>
    <w:multiLevelType w:val="hybridMultilevel"/>
    <w:tmpl w:val="D6DC4A48"/>
    <w:lvl w:ilvl="0" w:tplc="FBC44CE4">
      <w:start w:val="1"/>
      <w:numFmt w:val="decimal"/>
      <w:lvlText w:val="%1."/>
      <w:lvlJc w:val="left"/>
      <w:pPr>
        <w:ind w:left="104" w:hanging="333"/>
      </w:pPr>
      <w:rPr>
        <w:rFonts w:ascii="Times New Roman" w:eastAsia="Calibri" w:hAnsi="Times New Roman" w:cs="Times New Roman" w:hint="default"/>
        <w:w w:val="100"/>
        <w:sz w:val="20"/>
        <w:szCs w:val="20"/>
        <w:lang w:val="en-US" w:eastAsia="en-US" w:bidi="ar-SA"/>
      </w:rPr>
    </w:lvl>
    <w:lvl w:ilvl="1" w:tplc="87E843E0">
      <w:numFmt w:val="bullet"/>
      <w:lvlText w:val="•"/>
      <w:lvlJc w:val="left"/>
      <w:pPr>
        <w:ind w:left="628" w:hanging="333"/>
      </w:pPr>
      <w:rPr>
        <w:rFonts w:hint="default"/>
        <w:lang w:val="en-US" w:eastAsia="en-US" w:bidi="ar-SA"/>
      </w:rPr>
    </w:lvl>
    <w:lvl w:ilvl="2" w:tplc="357A0150">
      <w:numFmt w:val="bullet"/>
      <w:lvlText w:val="•"/>
      <w:lvlJc w:val="left"/>
      <w:pPr>
        <w:ind w:left="1157" w:hanging="333"/>
      </w:pPr>
      <w:rPr>
        <w:rFonts w:hint="default"/>
        <w:lang w:val="en-US" w:eastAsia="en-US" w:bidi="ar-SA"/>
      </w:rPr>
    </w:lvl>
    <w:lvl w:ilvl="3" w:tplc="B0CAE506">
      <w:numFmt w:val="bullet"/>
      <w:lvlText w:val="•"/>
      <w:lvlJc w:val="left"/>
      <w:pPr>
        <w:ind w:left="1686" w:hanging="333"/>
      </w:pPr>
      <w:rPr>
        <w:rFonts w:hint="default"/>
        <w:lang w:val="en-US" w:eastAsia="en-US" w:bidi="ar-SA"/>
      </w:rPr>
    </w:lvl>
    <w:lvl w:ilvl="4" w:tplc="C024BC32">
      <w:numFmt w:val="bullet"/>
      <w:lvlText w:val="•"/>
      <w:lvlJc w:val="left"/>
      <w:pPr>
        <w:ind w:left="2215" w:hanging="333"/>
      </w:pPr>
      <w:rPr>
        <w:rFonts w:hint="default"/>
        <w:lang w:val="en-US" w:eastAsia="en-US" w:bidi="ar-SA"/>
      </w:rPr>
    </w:lvl>
    <w:lvl w:ilvl="5" w:tplc="4148FC68">
      <w:numFmt w:val="bullet"/>
      <w:lvlText w:val="•"/>
      <w:lvlJc w:val="left"/>
      <w:pPr>
        <w:ind w:left="2744" w:hanging="333"/>
      </w:pPr>
      <w:rPr>
        <w:rFonts w:hint="default"/>
        <w:lang w:val="en-US" w:eastAsia="en-US" w:bidi="ar-SA"/>
      </w:rPr>
    </w:lvl>
    <w:lvl w:ilvl="6" w:tplc="E6E6C1CC">
      <w:numFmt w:val="bullet"/>
      <w:lvlText w:val="•"/>
      <w:lvlJc w:val="left"/>
      <w:pPr>
        <w:ind w:left="3272" w:hanging="333"/>
      </w:pPr>
      <w:rPr>
        <w:rFonts w:hint="default"/>
        <w:lang w:val="en-US" w:eastAsia="en-US" w:bidi="ar-SA"/>
      </w:rPr>
    </w:lvl>
    <w:lvl w:ilvl="7" w:tplc="509CE88E">
      <w:numFmt w:val="bullet"/>
      <w:lvlText w:val="•"/>
      <w:lvlJc w:val="left"/>
      <w:pPr>
        <w:ind w:left="3801" w:hanging="333"/>
      </w:pPr>
      <w:rPr>
        <w:rFonts w:hint="default"/>
        <w:lang w:val="en-US" w:eastAsia="en-US" w:bidi="ar-SA"/>
      </w:rPr>
    </w:lvl>
    <w:lvl w:ilvl="8" w:tplc="2F343918">
      <w:numFmt w:val="bullet"/>
      <w:lvlText w:val="•"/>
      <w:lvlJc w:val="left"/>
      <w:pPr>
        <w:ind w:left="4330" w:hanging="333"/>
      </w:pPr>
      <w:rPr>
        <w:rFonts w:hint="default"/>
        <w:lang w:val="en-US" w:eastAsia="en-US" w:bidi="ar-SA"/>
      </w:rPr>
    </w:lvl>
  </w:abstractNum>
  <w:abstractNum w:abstractNumId="104" w15:restartNumberingAfterBreak="0">
    <w:nsid w:val="3BFC7C97"/>
    <w:multiLevelType w:val="hybridMultilevel"/>
    <w:tmpl w:val="09E02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3C014382"/>
    <w:multiLevelType w:val="hybridMultilevel"/>
    <w:tmpl w:val="1BFE3690"/>
    <w:lvl w:ilvl="0" w:tplc="AFB68A68">
      <w:start w:val="1"/>
      <w:numFmt w:val="decimal"/>
      <w:lvlText w:val="%1."/>
      <w:lvlJc w:val="left"/>
      <w:pPr>
        <w:ind w:left="466" w:hanging="360"/>
      </w:pPr>
      <w:rPr>
        <w:rFonts w:ascii="Times New Roman" w:eastAsia="Times New Roman" w:hAnsi="Times New Roman" w:cs="Times New Roman" w:hint="default"/>
        <w:spacing w:val="0"/>
        <w:w w:val="99"/>
        <w:sz w:val="20"/>
        <w:szCs w:val="20"/>
        <w:lang w:val="en-US" w:eastAsia="en-US" w:bidi="ar-SA"/>
      </w:rPr>
    </w:lvl>
    <w:lvl w:ilvl="1" w:tplc="46C08FCA">
      <w:start w:val="1"/>
      <w:numFmt w:val="lowerLetter"/>
      <w:lvlText w:val="(%2)"/>
      <w:lvlJc w:val="left"/>
      <w:pPr>
        <w:ind w:left="826" w:hanging="360"/>
      </w:pPr>
      <w:rPr>
        <w:rFonts w:ascii="Times New Roman" w:eastAsia="Times New Roman" w:hAnsi="Times New Roman" w:cs="Times New Roman" w:hint="default"/>
        <w:w w:val="99"/>
        <w:sz w:val="20"/>
        <w:szCs w:val="20"/>
        <w:lang w:val="en-US" w:eastAsia="en-US" w:bidi="ar-SA"/>
      </w:rPr>
    </w:lvl>
    <w:lvl w:ilvl="2" w:tplc="C00066EE">
      <w:numFmt w:val="bullet"/>
      <w:lvlText w:val="•"/>
      <w:lvlJc w:val="left"/>
      <w:pPr>
        <w:ind w:left="1327" w:hanging="360"/>
      </w:pPr>
      <w:rPr>
        <w:rFonts w:hint="default"/>
        <w:lang w:val="en-US" w:eastAsia="en-US" w:bidi="ar-SA"/>
      </w:rPr>
    </w:lvl>
    <w:lvl w:ilvl="3" w:tplc="517EA678">
      <w:numFmt w:val="bullet"/>
      <w:lvlText w:val="•"/>
      <w:lvlJc w:val="left"/>
      <w:pPr>
        <w:ind w:left="1835" w:hanging="360"/>
      </w:pPr>
      <w:rPr>
        <w:rFonts w:hint="default"/>
        <w:lang w:val="en-US" w:eastAsia="en-US" w:bidi="ar-SA"/>
      </w:rPr>
    </w:lvl>
    <w:lvl w:ilvl="4" w:tplc="F8C67F12">
      <w:numFmt w:val="bullet"/>
      <w:lvlText w:val="•"/>
      <w:lvlJc w:val="left"/>
      <w:pPr>
        <w:ind w:left="2342" w:hanging="360"/>
      </w:pPr>
      <w:rPr>
        <w:rFonts w:hint="default"/>
        <w:lang w:val="en-US" w:eastAsia="en-US" w:bidi="ar-SA"/>
      </w:rPr>
    </w:lvl>
    <w:lvl w:ilvl="5" w:tplc="5046E78E">
      <w:numFmt w:val="bullet"/>
      <w:lvlText w:val="•"/>
      <w:lvlJc w:val="left"/>
      <w:pPr>
        <w:ind w:left="2850" w:hanging="360"/>
      </w:pPr>
      <w:rPr>
        <w:rFonts w:hint="default"/>
        <w:lang w:val="en-US" w:eastAsia="en-US" w:bidi="ar-SA"/>
      </w:rPr>
    </w:lvl>
    <w:lvl w:ilvl="6" w:tplc="D6A8A384">
      <w:numFmt w:val="bullet"/>
      <w:lvlText w:val="•"/>
      <w:lvlJc w:val="left"/>
      <w:pPr>
        <w:ind w:left="3357" w:hanging="360"/>
      </w:pPr>
      <w:rPr>
        <w:rFonts w:hint="default"/>
        <w:lang w:val="en-US" w:eastAsia="en-US" w:bidi="ar-SA"/>
      </w:rPr>
    </w:lvl>
    <w:lvl w:ilvl="7" w:tplc="73F618C6">
      <w:numFmt w:val="bullet"/>
      <w:lvlText w:val="•"/>
      <w:lvlJc w:val="left"/>
      <w:pPr>
        <w:ind w:left="3865" w:hanging="360"/>
      </w:pPr>
      <w:rPr>
        <w:rFonts w:hint="default"/>
        <w:lang w:val="en-US" w:eastAsia="en-US" w:bidi="ar-SA"/>
      </w:rPr>
    </w:lvl>
    <w:lvl w:ilvl="8" w:tplc="D354DDF4">
      <w:numFmt w:val="bullet"/>
      <w:lvlText w:val="•"/>
      <w:lvlJc w:val="left"/>
      <w:pPr>
        <w:ind w:left="4372" w:hanging="360"/>
      </w:pPr>
      <w:rPr>
        <w:rFonts w:hint="default"/>
        <w:lang w:val="en-US" w:eastAsia="en-US" w:bidi="ar-SA"/>
      </w:rPr>
    </w:lvl>
  </w:abstractNum>
  <w:abstractNum w:abstractNumId="106" w15:restartNumberingAfterBreak="0">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107" w15:restartNumberingAfterBreak="0">
    <w:nsid w:val="3CF722FC"/>
    <w:multiLevelType w:val="hybridMultilevel"/>
    <w:tmpl w:val="CB0C0EC0"/>
    <w:lvl w:ilvl="0" w:tplc="BE708744">
      <w:numFmt w:val="bullet"/>
      <w:lvlText w:val="-"/>
      <w:lvlJc w:val="left"/>
      <w:pPr>
        <w:ind w:left="720" w:hanging="360"/>
      </w:pPr>
      <w:rPr>
        <w:rFonts w:ascii="Times New Roman" w:eastAsiaTheme="minorHAnsi"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3D4C5560"/>
    <w:multiLevelType w:val="hybridMultilevel"/>
    <w:tmpl w:val="FFFFFFFF"/>
    <w:lvl w:ilvl="0" w:tplc="E6ACE3BE">
      <w:numFmt w:val="none"/>
      <w:lvlText w:val=""/>
      <w:lvlJc w:val="left"/>
      <w:pPr>
        <w:tabs>
          <w:tab w:val="num" w:pos="360"/>
        </w:tabs>
      </w:pPr>
    </w:lvl>
    <w:lvl w:ilvl="1" w:tplc="AEDE0EFE">
      <w:start w:val="1"/>
      <w:numFmt w:val="lowerLetter"/>
      <w:lvlText w:val="%2."/>
      <w:lvlJc w:val="left"/>
      <w:pPr>
        <w:ind w:left="1440" w:hanging="360"/>
      </w:pPr>
    </w:lvl>
    <w:lvl w:ilvl="2" w:tplc="8E0490DE">
      <w:start w:val="1"/>
      <w:numFmt w:val="lowerRoman"/>
      <w:lvlText w:val="%3."/>
      <w:lvlJc w:val="right"/>
      <w:pPr>
        <w:ind w:left="2160" w:hanging="180"/>
      </w:pPr>
    </w:lvl>
    <w:lvl w:ilvl="3" w:tplc="1A7A0F36">
      <w:start w:val="1"/>
      <w:numFmt w:val="decimal"/>
      <w:lvlText w:val="%4."/>
      <w:lvlJc w:val="left"/>
      <w:pPr>
        <w:ind w:left="2880" w:hanging="360"/>
      </w:pPr>
    </w:lvl>
    <w:lvl w:ilvl="4" w:tplc="D4E4C5B4">
      <w:start w:val="1"/>
      <w:numFmt w:val="lowerLetter"/>
      <w:lvlText w:val="%5."/>
      <w:lvlJc w:val="left"/>
      <w:pPr>
        <w:ind w:left="3600" w:hanging="360"/>
      </w:pPr>
    </w:lvl>
    <w:lvl w:ilvl="5" w:tplc="FD2AD176">
      <w:start w:val="1"/>
      <w:numFmt w:val="lowerRoman"/>
      <w:lvlText w:val="%6."/>
      <w:lvlJc w:val="right"/>
      <w:pPr>
        <w:ind w:left="4320" w:hanging="180"/>
      </w:pPr>
    </w:lvl>
    <w:lvl w:ilvl="6" w:tplc="1252532C">
      <w:start w:val="1"/>
      <w:numFmt w:val="decimal"/>
      <w:lvlText w:val="%7."/>
      <w:lvlJc w:val="left"/>
      <w:pPr>
        <w:ind w:left="5040" w:hanging="360"/>
      </w:pPr>
    </w:lvl>
    <w:lvl w:ilvl="7" w:tplc="50728948">
      <w:start w:val="1"/>
      <w:numFmt w:val="lowerLetter"/>
      <w:lvlText w:val="%8."/>
      <w:lvlJc w:val="left"/>
      <w:pPr>
        <w:ind w:left="5760" w:hanging="360"/>
      </w:pPr>
    </w:lvl>
    <w:lvl w:ilvl="8" w:tplc="022CD3CC">
      <w:start w:val="1"/>
      <w:numFmt w:val="lowerRoman"/>
      <w:lvlText w:val="%9."/>
      <w:lvlJc w:val="right"/>
      <w:pPr>
        <w:ind w:left="6480" w:hanging="180"/>
      </w:pPr>
    </w:lvl>
  </w:abstractNum>
  <w:abstractNum w:abstractNumId="109" w15:restartNumberingAfterBreak="0">
    <w:nsid w:val="3DB203CB"/>
    <w:multiLevelType w:val="hybridMultilevel"/>
    <w:tmpl w:val="899ED642"/>
    <w:lvl w:ilvl="0" w:tplc="ED28BBB2">
      <w:start w:val="2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15:restartNumberingAfterBreak="0">
    <w:nsid w:val="3F002A16"/>
    <w:multiLevelType w:val="hybridMultilevel"/>
    <w:tmpl w:val="562C371E"/>
    <w:lvl w:ilvl="0" w:tplc="EF22B40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0680C35"/>
    <w:multiLevelType w:val="hybridMultilevel"/>
    <w:tmpl w:val="D7F43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2" w15:restartNumberingAfterBreak="0">
    <w:nsid w:val="416CA7E5"/>
    <w:multiLevelType w:val="hybridMultilevel"/>
    <w:tmpl w:val="FFFFFFFF"/>
    <w:lvl w:ilvl="0" w:tplc="9F6EECB2">
      <w:start w:val="1"/>
      <w:numFmt w:val="bullet"/>
      <w:lvlText w:val=""/>
      <w:lvlJc w:val="left"/>
      <w:pPr>
        <w:ind w:left="720" w:hanging="360"/>
      </w:pPr>
      <w:rPr>
        <w:rFonts w:ascii="Symbol" w:hAnsi="Symbol" w:hint="default"/>
      </w:rPr>
    </w:lvl>
    <w:lvl w:ilvl="1" w:tplc="FE9C6FB8">
      <w:start w:val="1"/>
      <w:numFmt w:val="bullet"/>
      <w:lvlText w:val="-"/>
      <w:lvlJc w:val="left"/>
      <w:pPr>
        <w:ind w:left="1440" w:hanging="360"/>
      </w:pPr>
      <w:rPr>
        <w:rFonts w:ascii="Calibri" w:hAnsi="Calibri" w:hint="default"/>
      </w:rPr>
    </w:lvl>
    <w:lvl w:ilvl="2" w:tplc="45E83F08">
      <w:start w:val="1"/>
      <w:numFmt w:val="bullet"/>
      <w:lvlText w:val=""/>
      <w:lvlJc w:val="left"/>
      <w:pPr>
        <w:ind w:left="2160" w:hanging="360"/>
      </w:pPr>
      <w:rPr>
        <w:rFonts w:ascii="Wingdings" w:hAnsi="Wingdings" w:hint="default"/>
      </w:rPr>
    </w:lvl>
    <w:lvl w:ilvl="3" w:tplc="8F8683E4">
      <w:start w:val="1"/>
      <w:numFmt w:val="bullet"/>
      <w:lvlText w:val=""/>
      <w:lvlJc w:val="left"/>
      <w:pPr>
        <w:ind w:left="2880" w:hanging="360"/>
      </w:pPr>
      <w:rPr>
        <w:rFonts w:ascii="Symbol" w:hAnsi="Symbol" w:hint="default"/>
      </w:rPr>
    </w:lvl>
    <w:lvl w:ilvl="4" w:tplc="69C8A7BC">
      <w:start w:val="1"/>
      <w:numFmt w:val="bullet"/>
      <w:lvlText w:val="o"/>
      <w:lvlJc w:val="left"/>
      <w:pPr>
        <w:ind w:left="3600" w:hanging="360"/>
      </w:pPr>
      <w:rPr>
        <w:rFonts w:ascii="Courier New" w:hAnsi="Courier New" w:hint="default"/>
      </w:rPr>
    </w:lvl>
    <w:lvl w:ilvl="5" w:tplc="5D7CDDFC">
      <w:start w:val="1"/>
      <w:numFmt w:val="bullet"/>
      <w:lvlText w:val=""/>
      <w:lvlJc w:val="left"/>
      <w:pPr>
        <w:ind w:left="4320" w:hanging="360"/>
      </w:pPr>
      <w:rPr>
        <w:rFonts w:ascii="Wingdings" w:hAnsi="Wingdings" w:hint="default"/>
      </w:rPr>
    </w:lvl>
    <w:lvl w:ilvl="6" w:tplc="CABAB4A6">
      <w:start w:val="1"/>
      <w:numFmt w:val="bullet"/>
      <w:lvlText w:val=""/>
      <w:lvlJc w:val="left"/>
      <w:pPr>
        <w:ind w:left="5040" w:hanging="360"/>
      </w:pPr>
      <w:rPr>
        <w:rFonts w:ascii="Symbol" w:hAnsi="Symbol" w:hint="default"/>
      </w:rPr>
    </w:lvl>
    <w:lvl w:ilvl="7" w:tplc="F586CE2C">
      <w:start w:val="1"/>
      <w:numFmt w:val="bullet"/>
      <w:lvlText w:val="o"/>
      <w:lvlJc w:val="left"/>
      <w:pPr>
        <w:ind w:left="5760" w:hanging="360"/>
      </w:pPr>
      <w:rPr>
        <w:rFonts w:ascii="Courier New" w:hAnsi="Courier New" w:hint="default"/>
      </w:rPr>
    </w:lvl>
    <w:lvl w:ilvl="8" w:tplc="1E66B1DA">
      <w:start w:val="1"/>
      <w:numFmt w:val="bullet"/>
      <w:lvlText w:val=""/>
      <w:lvlJc w:val="left"/>
      <w:pPr>
        <w:ind w:left="6480" w:hanging="360"/>
      </w:pPr>
      <w:rPr>
        <w:rFonts w:ascii="Wingdings" w:hAnsi="Wingdings" w:hint="default"/>
      </w:rPr>
    </w:lvl>
  </w:abstractNum>
  <w:abstractNum w:abstractNumId="113" w15:restartNumberingAfterBreak="0">
    <w:nsid w:val="41A76494"/>
    <w:multiLevelType w:val="hybridMultilevel"/>
    <w:tmpl w:val="AFAE4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15:restartNumberingAfterBreak="0">
    <w:nsid w:val="420034E5"/>
    <w:multiLevelType w:val="hybridMultilevel"/>
    <w:tmpl w:val="DE5CF4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43DF79A4"/>
    <w:multiLevelType w:val="hybridMultilevel"/>
    <w:tmpl w:val="D47899C4"/>
    <w:lvl w:ilvl="0" w:tplc="6D26C0F8">
      <w:numFmt w:val="bullet"/>
      <w:lvlText w:val=""/>
      <w:lvlJc w:val="left"/>
      <w:pPr>
        <w:ind w:left="692" w:hanging="360"/>
      </w:pPr>
      <w:rPr>
        <w:rFonts w:ascii="Symbol" w:eastAsia="Symbol" w:hAnsi="Symbol" w:cs="Symbol" w:hint="default"/>
        <w:w w:val="99"/>
        <w:sz w:val="20"/>
        <w:szCs w:val="20"/>
        <w:lang w:val="en-US" w:eastAsia="en-US" w:bidi="ar-SA"/>
      </w:rPr>
    </w:lvl>
    <w:lvl w:ilvl="1" w:tplc="7AC68D4C">
      <w:numFmt w:val="bullet"/>
      <w:lvlText w:val="•"/>
      <w:lvlJc w:val="left"/>
      <w:pPr>
        <w:ind w:left="978" w:hanging="360"/>
      </w:pPr>
      <w:rPr>
        <w:rFonts w:hint="default"/>
        <w:lang w:val="en-US" w:eastAsia="en-US" w:bidi="ar-SA"/>
      </w:rPr>
    </w:lvl>
    <w:lvl w:ilvl="2" w:tplc="0F521B50">
      <w:numFmt w:val="bullet"/>
      <w:lvlText w:val="•"/>
      <w:lvlJc w:val="left"/>
      <w:pPr>
        <w:ind w:left="1257" w:hanging="360"/>
      </w:pPr>
      <w:rPr>
        <w:rFonts w:hint="default"/>
        <w:lang w:val="en-US" w:eastAsia="en-US" w:bidi="ar-SA"/>
      </w:rPr>
    </w:lvl>
    <w:lvl w:ilvl="3" w:tplc="2CE23E64">
      <w:numFmt w:val="bullet"/>
      <w:lvlText w:val="•"/>
      <w:lvlJc w:val="left"/>
      <w:pPr>
        <w:ind w:left="1535" w:hanging="360"/>
      </w:pPr>
      <w:rPr>
        <w:rFonts w:hint="default"/>
        <w:lang w:val="en-US" w:eastAsia="en-US" w:bidi="ar-SA"/>
      </w:rPr>
    </w:lvl>
    <w:lvl w:ilvl="4" w:tplc="EE9EBDF4">
      <w:numFmt w:val="bullet"/>
      <w:lvlText w:val="•"/>
      <w:lvlJc w:val="left"/>
      <w:pPr>
        <w:ind w:left="1814" w:hanging="360"/>
      </w:pPr>
      <w:rPr>
        <w:rFonts w:hint="default"/>
        <w:lang w:val="en-US" w:eastAsia="en-US" w:bidi="ar-SA"/>
      </w:rPr>
    </w:lvl>
    <w:lvl w:ilvl="5" w:tplc="E0DCD87C">
      <w:numFmt w:val="bullet"/>
      <w:lvlText w:val="•"/>
      <w:lvlJc w:val="left"/>
      <w:pPr>
        <w:ind w:left="2093" w:hanging="360"/>
      </w:pPr>
      <w:rPr>
        <w:rFonts w:hint="default"/>
        <w:lang w:val="en-US" w:eastAsia="en-US" w:bidi="ar-SA"/>
      </w:rPr>
    </w:lvl>
    <w:lvl w:ilvl="6" w:tplc="B656A572">
      <w:numFmt w:val="bullet"/>
      <w:lvlText w:val="•"/>
      <w:lvlJc w:val="left"/>
      <w:pPr>
        <w:ind w:left="2371" w:hanging="360"/>
      </w:pPr>
      <w:rPr>
        <w:rFonts w:hint="default"/>
        <w:lang w:val="en-US" w:eastAsia="en-US" w:bidi="ar-SA"/>
      </w:rPr>
    </w:lvl>
    <w:lvl w:ilvl="7" w:tplc="8DF0A5E6">
      <w:numFmt w:val="bullet"/>
      <w:lvlText w:val="•"/>
      <w:lvlJc w:val="left"/>
      <w:pPr>
        <w:ind w:left="2650" w:hanging="360"/>
      </w:pPr>
      <w:rPr>
        <w:rFonts w:hint="default"/>
        <w:lang w:val="en-US" w:eastAsia="en-US" w:bidi="ar-SA"/>
      </w:rPr>
    </w:lvl>
    <w:lvl w:ilvl="8" w:tplc="EA1E0C44">
      <w:numFmt w:val="bullet"/>
      <w:lvlText w:val="•"/>
      <w:lvlJc w:val="left"/>
      <w:pPr>
        <w:ind w:left="2928" w:hanging="360"/>
      </w:pPr>
      <w:rPr>
        <w:rFonts w:hint="default"/>
        <w:lang w:val="en-US" w:eastAsia="en-US" w:bidi="ar-SA"/>
      </w:rPr>
    </w:lvl>
  </w:abstractNum>
  <w:abstractNum w:abstractNumId="116" w15:restartNumberingAfterBreak="0">
    <w:nsid w:val="43F67B33"/>
    <w:multiLevelType w:val="hybridMultilevel"/>
    <w:tmpl w:val="1DE2AF94"/>
    <w:lvl w:ilvl="0" w:tplc="692E8C8C">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117" w15:restartNumberingAfterBreak="0">
    <w:nsid w:val="44C5A17C"/>
    <w:multiLevelType w:val="hybridMultilevel"/>
    <w:tmpl w:val="2A9897DC"/>
    <w:lvl w:ilvl="0" w:tplc="4B0439D2">
      <w:start w:val="1"/>
      <w:numFmt w:val="bullet"/>
      <w:lvlText w:val="·"/>
      <w:lvlJc w:val="left"/>
      <w:pPr>
        <w:ind w:left="720" w:hanging="360"/>
      </w:pPr>
      <w:rPr>
        <w:rFonts w:ascii="Symbol" w:hAnsi="Symbol" w:hint="default"/>
      </w:rPr>
    </w:lvl>
    <w:lvl w:ilvl="1" w:tplc="089EF9DC">
      <w:start w:val="1"/>
      <w:numFmt w:val="bullet"/>
      <w:lvlText w:val="o"/>
      <w:lvlJc w:val="left"/>
      <w:pPr>
        <w:ind w:left="1440" w:hanging="360"/>
      </w:pPr>
      <w:rPr>
        <w:rFonts w:ascii="Courier New" w:hAnsi="Courier New" w:hint="default"/>
      </w:rPr>
    </w:lvl>
    <w:lvl w:ilvl="2" w:tplc="F3081A02">
      <w:start w:val="1"/>
      <w:numFmt w:val="bullet"/>
      <w:lvlText w:val=""/>
      <w:lvlJc w:val="left"/>
      <w:pPr>
        <w:ind w:left="2160" w:hanging="360"/>
      </w:pPr>
      <w:rPr>
        <w:rFonts w:ascii="Wingdings" w:hAnsi="Wingdings" w:hint="default"/>
      </w:rPr>
    </w:lvl>
    <w:lvl w:ilvl="3" w:tplc="46300D6C">
      <w:start w:val="1"/>
      <w:numFmt w:val="bullet"/>
      <w:lvlText w:val=""/>
      <w:lvlJc w:val="left"/>
      <w:pPr>
        <w:ind w:left="2880" w:hanging="360"/>
      </w:pPr>
      <w:rPr>
        <w:rFonts w:ascii="Symbol" w:hAnsi="Symbol" w:hint="default"/>
      </w:rPr>
    </w:lvl>
    <w:lvl w:ilvl="4" w:tplc="4BA202DE">
      <w:start w:val="1"/>
      <w:numFmt w:val="bullet"/>
      <w:lvlText w:val="o"/>
      <w:lvlJc w:val="left"/>
      <w:pPr>
        <w:ind w:left="3600" w:hanging="360"/>
      </w:pPr>
      <w:rPr>
        <w:rFonts w:ascii="Courier New" w:hAnsi="Courier New" w:hint="default"/>
      </w:rPr>
    </w:lvl>
    <w:lvl w:ilvl="5" w:tplc="43D814E8">
      <w:start w:val="1"/>
      <w:numFmt w:val="bullet"/>
      <w:lvlText w:val=""/>
      <w:lvlJc w:val="left"/>
      <w:pPr>
        <w:ind w:left="4320" w:hanging="360"/>
      </w:pPr>
      <w:rPr>
        <w:rFonts w:ascii="Wingdings" w:hAnsi="Wingdings" w:hint="default"/>
      </w:rPr>
    </w:lvl>
    <w:lvl w:ilvl="6" w:tplc="562AF964">
      <w:start w:val="1"/>
      <w:numFmt w:val="bullet"/>
      <w:lvlText w:val=""/>
      <w:lvlJc w:val="left"/>
      <w:pPr>
        <w:ind w:left="5040" w:hanging="360"/>
      </w:pPr>
      <w:rPr>
        <w:rFonts w:ascii="Symbol" w:hAnsi="Symbol" w:hint="default"/>
      </w:rPr>
    </w:lvl>
    <w:lvl w:ilvl="7" w:tplc="29169C0E">
      <w:start w:val="1"/>
      <w:numFmt w:val="bullet"/>
      <w:lvlText w:val="o"/>
      <w:lvlJc w:val="left"/>
      <w:pPr>
        <w:ind w:left="5760" w:hanging="360"/>
      </w:pPr>
      <w:rPr>
        <w:rFonts w:ascii="Courier New" w:hAnsi="Courier New" w:hint="default"/>
      </w:rPr>
    </w:lvl>
    <w:lvl w:ilvl="8" w:tplc="63FC3C12">
      <w:start w:val="1"/>
      <w:numFmt w:val="bullet"/>
      <w:lvlText w:val=""/>
      <w:lvlJc w:val="left"/>
      <w:pPr>
        <w:ind w:left="6480" w:hanging="360"/>
      </w:pPr>
      <w:rPr>
        <w:rFonts w:ascii="Wingdings" w:hAnsi="Wingdings" w:hint="default"/>
      </w:rPr>
    </w:lvl>
  </w:abstractNum>
  <w:abstractNum w:abstractNumId="118" w15:restartNumberingAfterBreak="0">
    <w:nsid w:val="45965C38"/>
    <w:multiLevelType w:val="hybridMultilevel"/>
    <w:tmpl w:val="10980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5C84C09"/>
    <w:multiLevelType w:val="hybridMultilevel"/>
    <w:tmpl w:val="38522252"/>
    <w:lvl w:ilvl="0" w:tplc="D084FA28">
      <w:start w:val="3"/>
      <w:numFmt w:val="lowerLetter"/>
      <w:lvlText w:val="(%1)"/>
      <w:lvlJc w:val="left"/>
      <w:pPr>
        <w:ind w:left="920" w:hanging="360"/>
      </w:pPr>
      <w:rPr>
        <w:rFonts w:ascii="Times New Roman" w:eastAsia="Times New Roman" w:hAnsi="Times New Roman" w:cs="Times New Roman" w:hint="default"/>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5EC3E53"/>
    <w:multiLevelType w:val="hybridMultilevel"/>
    <w:tmpl w:val="A81239AC"/>
    <w:lvl w:ilvl="0" w:tplc="C3A0523C">
      <w:start w:val="1"/>
      <w:numFmt w:val="bullet"/>
      <w:pStyle w:val="ListParagraph"/>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15:restartNumberingAfterBreak="0">
    <w:nsid w:val="48330643"/>
    <w:multiLevelType w:val="hybridMultilevel"/>
    <w:tmpl w:val="B23EAA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48663927"/>
    <w:multiLevelType w:val="hybridMultilevel"/>
    <w:tmpl w:val="2616614C"/>
    <w:lvl w:ilvl="0" w:tplc="228A529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48790CB6"/>
    <w:multiLevelType w:val="hybridMultilevel"/>
    <w:tmpl w:val="A6D4B9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496B5778"/>
    <w:multiLevelType w:val="hybridMultilevel"/>
    <w:tmpl w:val="8A00AB4A"/>
    <w:lvl w:ilvl="0" w:tplc="9F68E0DA">
      <w:start w:val="3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5" w15:restartNumberingAfterBreak="0">
    <w:nsid w:val="49AFB811"/>
    <w:multiLevelType w:val="hybridMultilevel"/>
    <w:tmpl w:val="FFFFFFFF"/>
    <w:lvl w:ilvl="0" w:tplc="101C56E2">
      <w:start w:val="1"/>
      <w:numFmt w:val="bullet"/>
      <w:lvlText w:val="-"/>
      <w:lvlJc w:val="left"/>
      <w:pPr>
        <w:ind w:left="720" w:hanging="360"/>
      </w:pPr>
      <w:rPr>
        <w:rFonts w:ascii="Symbol" w:hAnsi="Symbol" w:hint="default"/>
      </w:rPr>
    </w:lvl>
    <w:lvl w:ilvl="1" w:tplc="9E3E5610">
      <w:start w:val="1"/>
      <w:numFmt w:val="bullet"/>
      <w:lvlText w:val="o"/>
      <w:lvlJc w:val="left"/>
      <w:pPr>
        <w:ind w:left="1440" w:hanging="360"/>
      </w:pPr>
      <w:rPr>
        <w:rFonts w:ascii="Courier New" w:hAnsi="Courier New" w:hint="default"/>
      </w:rPr>
    </w:lvl>
    <w:lvl w:ilvl="2" w:tplc="095EC6CE">
      <w:start w:val="1"/>
      <w:numFmt w:val="bullet"/>
      <w:lvlText w:val=""/>
      <w:lvlJc w:val="left"/>
      <w:pPr>
        <w:ind w:left="2160" w:hanging="360"/>
      </w:pPr>
      <w:rPr>
        <w:rFonts w:ascii="Wingdings" w:hAnsi="Wingdings" w:hint="default"/>
      </w:rPr>
    </w:lvl>
    <w:lvl w:ilvl="3" w:tplc="565EB388">
      <w:start w:val="1"/>
      <w:numFmt w:val="bullet"/>
      <w:lvlText w:val=""/>
      <w:lvlJc w:val="left"/>
      <w:pPr>
        <w:ind w:left="2880" w:hanging="360"/>
      </w:pPr>
      <w:rPr>
        <w:rFonts w:ascii="Symbol" w:hAnsi="Symbol" w:hint="default"/>
      </w:rPr>
    </w:lvl>
    <w:lvl w:ilvl="4" w:tplc="E3F24896">
      <w:start w:val="1"/>
      <w:numFmt w:val="bullet"/>
      <w:lvlText w:val="o"/>
      <w:lvlJc w:val="left"/>
      <w:pPr>
        <w:ind w:left="3600" w:hanging="360"/>
      </w:pPr>
      <w:rPr>
        <w:rFonts w:ascii="Courier New" w:hAnsi="Courier New" w:hint="default"/>
      </w:rPr>
    </w:lvl>
    <w:lvl w:ilvl="5" w:tplc="1B74880A">
      <w:start w:val="1"/>
      <w:numFmt w:val="bullet"/>
      <w:lvlText w:val=""/>
      <w:lvlJc w:val="left"/>
      <w:pPr>
        <w:ind w:left="4320" w:hanging="360"/>
      </w:pPr>
      <w:rPr>
        <w:rFonts w:ascii="Wingdings" w:hAnsi="Wingdings" w:hint="default"/>
      </w:rPr>
    </w:lvl>
    <w:lvl w:ilvl="6" w:tplc="8202F6A6">
      <w:start w:val="1"/>
      <w:numFmt w:val="bullet"/>
      <w:lvlText w:val=""/>
      <w:lvlJc w:val="left"/>
      <w:pPr>
        <w:ind w:left="5040" w:hanging="360"/>
      </w:pPr>
      <w:rPr>
        <w:rFonts w:ascii="Symbol" w:hAnsi="Symbol" w:hint="default"/>
      </w:rPr>
    </w:lvl>
    <w:lvl w:ilvl="7" w:tplc="E0BE58BA">
      <w:start w:val="1"/>
      <w:numFmt w:val="bullet"/>
      <w:lvlText w:val="o"/>
      <w:lvlJc w:val="left"/>
      <w:pPr>
        <w:ind w:left="5760" w:hanging="360"/>
      </w:pPr>
      <w:rPr>
        <w:rFonts w:ascii="Courier New" w:hAnsi="Courier New" w:hint="default"/>
      </w:rPr>
    </w:lvl>
    <w:lvl w:ilvl="8" w:tplc="3A32ED5C">
      <w:start w:val="1"/>
      <w:numFmt w:val="bullet"/>
      <w:lvlText w:val=""/>
      <w:lvlJc w:val="left"/>
      <w:pPr>
        <w:ind w:left="6480" w:hanging="360"/>
      </w:pPr>
      <w:rPr>
        <w:rFonts w:ascii="Wingdings" w:hAnsi="Wingdings" w:hint="default"/>
      </w:rPr>
    </w:lvl>
  </w:abstractNum>
  <w:abstractNum w:abstractNumId="126" w15:restartNumberingAfterBreak="0">
    <w:nsid w:val="4A3A5E90"/>
    <w:multiLevelType w:val="hybridMultilevel"/>
    <w:tmpl w:val="782ED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A89E23B"/>
    <w:multiLevelType w:val="hybridMultilevel"/>
    <w:tmpl w:val="EC8688BA"/>
    <w:lvl w:ilvl="0" w:tplc="AC94328E">
      <w:start w:val="1"/>
      <w:numFmt w:val="bullet"/>
      <w:lvlText w:val=""/>
      <w:lvlJc w:val="left"/>
      <w:pPr>
        <w:ind w:left="720" w:hanging="360"/>
      </w:pPr>
      <w:rPr>
        <w:rFonts w:ascii="Symbol" w:hAnsi="Symbol" w:hint="default"/>
      </w:rPr>
    </w:lvl>
    <w:lvl w:ilvl="1" w:tplc="C49889C8">
      <w:start w:val="1"/>
      <w:numFmt w:val="bullet"/>
      <w:lvlText w:val="o"/>
      <w:lvlJc w:val="left"/>
      <w:pPr>
        <w:ind w:left="1440" w:hanging="360"/>
      </w:pPr>
      <w:rPr>
        <w:rFonts w:ascii="Courier New" w:hAnsi="Courier New" w:hint="default"/>
      </w:rPr>
    </w:lvl>
    <w:lvl w:ilvl="2" w:tplc="28B4F8D6">
      <w:start w:val="1"/>
      <w:numFmt w:val="bullet"/>
      <w:lvlText w:val=""/>
      <w:lvlJc w:val="left"/>
      <w:pPr>
        <w:ind w:left="2160" w:hanging="360"/>
      </w:pPr>
      <w:rPr>
        <w:rFonts w:ascii="Wingdings" w:hAnsi="Wingdings" w:hint="default"/>
      </w:rPr>
    </w:lvl>
    <w:lvl w:ilvl="3" w:tplc="B22004E0">
      <w:start w:val="1"/>
      <w:numFmt w:val="bullet"/>
      <w:lvlText w:val=""/>
      <w:lvlJc w:val="left"/>
      <w:pPr>
        <w:ind w:left="2880" w:hanging="360"/>
      </w:pPr>
      <w:rPr>
        <w:rFonts w:ascii="Symbol" w:hAnsi="Symbol" w:hint="default"/>
      </w:rPr>
    </w:lvl>
    <w:lvl w:ilvl="4" w:tplc="48E633E2">
      <w:start w:val="1"/>
      <w:numFmt w:val="bullet"/>
      <w:lvlText w:val="o"/>
      <w:lvlJc w:val="left"/>
      <w:pPr>
        <w:ind w:left="3600" w:hanging="360"/>
      </w:pPr>
      <w:rPr>
        <w:rFonts w:ascii="Courier New" w:hAnsi="Courier New" w:hint="default"/>
      </w:rPr>
    </w:lvl>
    <w:lvl w:ilvl="5" w:tplc="F036F574">
      <w:start w:val="1"/>
      <w:numFmt w:val="bullet"/>
      <w:lvlText w:val=""/>
      <w:lvlJc w:val="left"/>
      <w:pPr>
        <w:ind w:left="4320" w:hanging="360"/>
      </w:pPr>
      <w:rPr>
        <w:rFonts w:ascii="Wingdings" w:hAnsi="Wingdings" w:hint="default"/>
      </w:rPr>
    </w:lvl>
    <w:lvl w:ilvl="6" w:tplc="15162A96">
      <w:start w:val="1"/>
      <w:numFmt w:val="bullet"/>
      <w:lvlText w:val=""/>
      <w:lvlJc w:val="left"/>
      <w:pPr>
        <w:ind w:left="5040" w:hanging="360"/>
      </w:pPr>
      <w:rPr>
        <w:rFonts w:ascii="Symbol" w:hAnsi="Symbol" w:hint="default"/>
      </w:rPr>
    </w:lvl>
    <w:lvl w:ilvl="7" w:tplc="3CC271C8">
      <w:start w:val="1"/>
      <w:numFmt w:val="bullet"/>
      <w:lvlText w:val="o"/>
      <w:lvlJc w:val="left"/>
      <w:pPr>
        <w:ind w:left="5760" w:hanging="360"/>
      </w:pPr>
      <w:rPr>
        <w:rFonts w:ascii="Courier New" w:hAnsi="Courier New" w:hint="default"/>
      </w:rPr>
    </w:lvl>
    <w:lvl w:ilvl="8" w:tplc="76A4142A">
      <w:start w:val="1"/>
      <w:numFmt w:val="bullet"/>
      <w:lvlText w:val=""/>
      <w:lvlJc w:val="left"/>
      <w:pPr>
        <w:ind w:left="6480" w:hanging="360"/>
      </w:pPr>
      <w:rPr>
        <w:rFonts w:ascii="Wingdings" w:hAnsi="Wingdings" w:hint="default"/>
      </w:rPr>
    </w:lvl>
  </w:abstractNum>
  <w:abstractNum w:abstractNumId="128" w15:restartNumberingAfterBreak="0">
    <w:nsid w:val="4AB30C22"/>
    <w:multiLevelType w:val="hybridMultilevel"/>
    <w:tmpl w:val="F6D605AA"/>
    <w:lvl w:ilvl="0" w:tplc="B1F4513A">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129" w15:restartNumberingAfterBreak="0">
    <w:nsid w:val="4AD04CDE"/>
    <w:multiLevelType w:val="hybridMultilevel"/>
    <w:tmpl w:val="238E75DA"/>
    <w:lvl w:ilvl="0" w:tplc="3C3ACEF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AF844C6"/>
    <w:multiLevelType w:val="hybridMultilevel"/>
    <w:tmpl w:val="FFFFFFFF"/>
    <w:lvl w:ilvl="0" w:tplc="C2468472">
      <w:start w:val="1"/>
      <w:numFmt w:val="bullet"/>
      <w:lvlText w:val=""/>
      <w:lvlJc w:val="left"/>
      <w:pPr>
        <w:ind w:left="720" w:hanging="360"/>
      </w:pPr>
      <w:rPr>
        <w:rFonts w:ascii="Symbol" w:hAnsi="Symbol" w:hint="default"/>
      </w:rPr>
    </w:lvl>
    <w:lvl w:ilvl="1" w:tplc="AAA408BC">
      <w:start w:val="1"/>
      <w:numFmt w:val="bullet"/>
      <w:lvlText w:val="o"/>
      <w:lvlJc w:val="left"/>
      <w:pPr>
        <w:ind w:left="1440" w:hanging="360"/>
      </w:pPr>
      <w:rPr>
        <w:rFonts w:ascii="Courier New" w:hAnsi="Courier New" w:hint="default"/>
      </w:rPr>
    </w:lvl>
    <w:lvl w:ilvl="2" w:tplc="59E2C012">
      <w:start w:val="1"/>
      <w:numFmt w:val="bullet"/>
      <w:lvlText w:val=""/>
      <w:lvlJc w:val="left"/>
      <w:pPr>
        <w:ind w:left="2160" w:hanging="360"/>
      </w:pPr>
      <w:rPr>
        <w:rFonts w:ascii="Wingdings" w:hAnsi="Wingdings" w:hint="default"/>
      </w:rPr>
    </w:lvl>
    <w:lvl w:ilvl="3" w:tplc="2DD0FFB6">
      <w:start w:val="1"/>
      <w:numFmt w:val="bullet"/>
      <w:lvlText w:val=""/>
      <w:lvlJc w:val="left"/>
      <w:pPr>
        <w:ind w:left="2880" w:hanging="360"/>
      </w:pPr>
      <w:rPr>
        <w:rFonts w:ascii="Symbol" w:hAnsi="Symbol" w:hint="default"/>
      </w:rPr>
    </w:lvl>
    <w:lvl w:ilvl="4" w:tplc="91C82D64">
      <w:start w:val="1"/>
      <w:numFmt w:val="bullet"/>
      <w:lvlText w:val="o"/>
      <w:lvlJc w:val="left"/>
      <w:pPr>
        <w:ind w:left="3600" w:hanging="360"/>
      </w:pPr>
      <w:rPr>
        <w:rFonts w:ascii="Courier New" w:hAnsi="Courier New" w:hint="default"/>
      </w:rPr>
    </w:lvl>
    <w:lvl w:ilvl="5" w:tplc="A104A8C6">
      <w:start w:val="1"/>
      <w:numFmt w:val="bullet"/>
      <w:lvlText w:val=""/>
      <w:lvlJc w:val="left"/>
      <w:pPr>
        <w:ind w:left="4320" w:hanging="360"/>
      </w:pPr>
      <w:rPr>
        <w:rFonts w:ascii="Wingdings" w:hAnsi="Wingdings" w:hint="default"/>
      </w:rPr>
    </w:lvl>
    <w:lvl w:ilvl="6" w:tplc="4906CD8E">
      <w:start w:val="1"/>
      <w:numFmt w:val="bullet"/>
      <w:lvlText w:val=""/>
      <w:lvlJc w:val="left"/>
      <w:pPr>
        <w:ind w:left="5040" w:hanging="360"/>
      </w:pPr>
      <w:rPr>
        <w:rFonts w:ascii="Symbol" w:hAnsi="Symbol" w:hint="default"/>
      </w:rPr>
    </w:lvl>
    <w:lvl w:ilvl="7" w:tplc="7290899E">
      <w:start w:val="1"/>
      <w:numFmt w:val="bullet"/>
      <w:lvlText w:val="o"/>
      <w:lvlJc w:val="left"/>
      <w:pPr>
        <w:ind w:left="5760" w:hanging="360"/>
      </w:pPr>
      <w:rPr>
        <w:rFonts w:ascii="Courier New" w:hAnsi="Courier New" w:hint="default"/>
      </w:rPr>
    </w:lvl>
    <w:lvl w:ilvl="8" w:tplc="16ECC588">
      <w:start w:val="1"/>
      <w:numFmt w:val="bullet"/>
      <w:lvlText w:val=""/>
      <w:lvlJc w:val="left"/>
      <w:pPr>
        <w:ind w:left="6480" w:hanging="360"/>
      </w:pPr>
      <w:rPr>
        <w:rFonts w:ascii="Wingdings" w:hAnsi="Wingdings" w:hint="default"/>
      </w:rPr>
    </w:lvl>
  </w:abstractNum>
  <w:abstractNum w:abstractNumId="131" w15:restartNumberingAfterBreak="0">
    <w:nsid w:val="4B4A1E36"/>
    <w:multiLevelType w:val="hybridMultilevel"/>
    <w:tmpl w:val="DDEA0ED4"/>
    <w:lvl w:ilvl="0" w:tplc="2BA25EE4">
      <w:start w:val="1"/>
      <w:numFmt w:val="bullet"/>
      <w:lvlText w:val=""/>
      <w:lvlJc w:val="left"/>
      <w:pPr>
        <w:ind w:left="1069" w:hanging="360"/>
      </w:pPr>
      <w:rPr>
        <w:rFonts w:ascii="Symbol" w:hAnsi="Symbol" w:hint="default"/>
      </w:rPr>
    </w:lvl>
    <w:lvl w:ilvl="1" w:tplc="18090003">
      <w:start w:val="1"/>
      <w:numFmt w:val="bullet"/>
      <w:lvlText w:val="o"/>
      <w:lvlJc w:val="left"/>
      <w:pPr>
        <w:ind w:left="1789" w:hanging="360"/>
      </w:pPr>
      <w:rPr>
        <w:rFonts w:ascii="Courier New" w:hAnsi="Courier New" w:cs="Courier New" w:hint="default"/>
      </w:rPr>
    </w:lvl>
    <w:lvl w:ilvl="2" w:tplc="18090005" w:tentative="1">
      <w:start w:val="1"/>
      <w:numFmt w:val="bullet"/>
      <w:lvlText w:val=""/>
      <w:lvlJc w:val="left"/>
      <w:pPr>
        <w:ind w:left="2509" w:hanging="360"/>
      </w:pPr>
      <w:rPr>
        <w:rFonts w:ascii="Wingdings" w:hAnsi="Wingdings" w:hint="default"/>
      </w:rPr>
    </w:lvl>
    <w:lvl w:ilvl="3" w:tplc="18090001" w:tentative="1">
      <w:start w:val="1"/>
      <w:numFmt w:val="bullet"/>
      <w:lvlText w:val=""/>
      <w:lvlJc w:val="left"/>
      <w:pPr>
        <w:ind w:left="3229" w:hanging="360"/>
      </w:pPr>
      <w:rPr>
        <w:rFonts w:ascii="Symbol" w:hAnsi="Symbol" w:hint="default"/>
      </w:rPr>
    </w:lvl>
    <w:lvl w:ilvl="4" w:tplc="18090003" w:tentative="1">
      <w:start w:val="1"/>
      <w:numFmt w:val="bullet"/>
      <w:lvlText w:val="o"/>
      <w:lvlJc w:val="left"/>
      <w:pPr>
        <w:ind w:left="3949" w:hanging="360"/>
      </w:pPr>
      <w:rPr>
        <w:rFonts w:ascii="Courier New" w:hAnsi="Courier New" w:cs="Courier New" w:hint="default"/>
      </w:rPr>
    </w:lvl>
    <w:lvl w:ilvl="5" w:tplc="18090005" w:tentative="1">
      <w:start w:val="1"/>
      <w:numFmt w:val="bullet"/>
      <w:lvlText w:val=""/>
      <w:lvlJc w:val="left"/>
      <w:pPr>
        <w:ind w:left="4669" w:hanging="360"/>
      </w:pPr>
      <w:rPr>
        <w:rFonts w:ascii="Wingdings" w:hAnsi="Wingdings" w:hint="default"/>
      </w:rPr>
    </w:lvl>
    <w:lvl w:ilvl="6" w:tplc="18090001" w:tentative="1">
      <w:start w:val="1"/>
      <w:numFmt w:val="bullet"/>
      <w:lvlText w:val=""/>
      <w:lvlJc w:val="left"/>
      <w:pPr>
        <w:ind w:left="5389" w:hanging="360"/>
      </w:pPr>
      <w:rPr>
        <w:rFonts w:ascii="Symbol" w:hAnsi="Symbol" w:hint="default"/>
      </w:rPr>
    </w:lvl>
    <w:lvl w:ilvl="7" w:tplc="18090003" w:tentative="1">
      <w:start w:val="1"/>
      <w:numFmt w:val="bullet"/>
      <w:lvlText w:val="o"/>
      <w:lvlJc w:val="left"/>
      <w:pPr>
        <w:ind w:left="6109" w:hanging="360"/>
      </w:pPr>
      <w:rPr>
        <w:rFonts w:ascii="Courier New" w:hAnsi="Courier New" w:cs="Courier New" w:hint="default"/>
      </w:rPr>
    </w:lvl>
    <w:lvl w:ilvl="8" w:tplc="18090005" w:tentative="1">
      <w:start w:val="1"/>
      <w:numFmt w:val="bullet"/>
      <w:lvlText w:val=""/>
      <w:lvlJc w:val="left"/>
      <w:pPr>
        <w:ind w:left="6829" w:hanging="360"/>
      </w:pPr>
      <w:rPr>
        <w:rFonts w:ascii="Wingdings" w:hAnsi="Wingdings" w:hint="default"/>
      </w:rPr>
    </w:lvl>
  </w:abstractNum>
  <w:abstractNum w:abstractNumId="132" w15:restartNumberingAfterBreak="0">
    <w:nsid w:val="4B5548DD"/>
    <w:multiLevelType w:val="hybridMultilevel"/>
    <w:tmpl w:val="9912EB2E"/>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3" w15:restartNumberingAfterBreak="0">
    <w:nsid w:val="4BCE522B"/>
    <w:multiLevelType w:val="hybridMultilevel"/>
    <w:tmpl w:val="1BE6B4F8"/>
    <w:lvl w:ilvl="0" w:tplc="43A45BE0">
      <w:start w:val="1"/>
      <w:numFmt w:val="decimal"/>
      <w:lvlText w:val="%1."/>
      <w:lvlJc w:val="left"/>
      <w:pPr>
        <w:ind w:left="960" w:hanging="850"/>
      </w:pPr>
      <w:rPr>
        <w:rFonts w:ascii="Times New Roman" w:eastAsia="Times New Roman" w:hAnsi="Times New Roman" w:cs="Times New Roman" w:hint="default"/>
        <w:spacing w:val="0"/>
        <w:w w:val="99"/>
        <w:sz w:val="20"/>
        <w:szCs w:val="20"/>
        <w:lang w:val="en-US" w:eastAsia="en-US" w:bidi="ar-SA"/>
      </w:rPr>
    </w:lvl>
    <w:lvl w:ilvl="1" w:tplc="0F9ACD40">
      <w:start w:val="1"/>
      <w:numFmt w:val="lowerLetter"/>
      <w:lvlText w:val="(%2)"/>
      <w:lvlJc w:val="left"/>
      <w:pPr>
        <w:ind w:left="1812" w:hanging="850"/>
      </w:pPr>
      <w:rPr>
        <w:rFonts w:ascii="Times New Roman" w:eastAsia="Times New Roman" w:hAnsi="Times New Roman" w:cs="Times New Roman" w:hint="default"/>
        <w:w w:val="100"/>
        <w:sz w:val="22"/>
        <w:szCs w:val="22"/>
        <w:lang w:val="en-US" w:eastAsia="en-US" w:bidi="ar-SA"/>
      </w:rPr>
    </w:lvl>
    <w:lvl w:ilvl="2" w:tplc="9E3ABA3C">
      <w:numFmt w:val="bullet"/>
      <w:lvlText w:val="•"/>
      <w:lvlJc w:val="left"/>
      <w:pPr>
        <w:ind w:left="2216" w:hanging="850"/>
      </w:pPr>
      <w:rPr>
        <w:rFonts w:hint="default"/>
        <w:lang w:val="en-US" w:eastAsia="en-US" w:bidi="ar-SA"/>
      </w:rPr>
    </w:lvl>
    <w:lvl w:ilvl="3" w:tplc="28CA3C88">
      <w:numFmt w:val="bullet"/>
      <w:lvlText w:val="•"/>
      <w:lvlJc w:val="left"/>
      <w:pPr>
        <w:ind w:left="2612" w:hanging="850"/>
      </w:pPr>
      <w:rPr>
        <w:rFonts w:hint="default"/>
        <w:lang w:val="en-US" w:eastAsia="en-US" w:bidi="ar-SA"/>
      </w:rPr>
    </w:lvl>
    <w:lvl w:ilvl="4" w:tplc="8E249F56">
      <w:numFmt w:val="bullet"/>
      <w:lvlText w:val="•"/>
      <w:lvlJc w:val="left"/>
      <w:pPr>
        <w:ind w:left="3009" w:hanging="850"/>
      </w:pPr>
      <w:rPr>
        <w:rFonts w:hint="default"/>
        <w:lang w:val="en-US" w:eastAsia="en-US" w:bidi="ar-SA"/>
      </w:rPr>
    </w:lvl>
    <w:lvl w:ilvl="5" w:tplc="29506C5A">
      <w:numFmt w:val="bullet"/>
      <w:lvlText w:val="•"/>
      <w:lvlJc w:val="left"/>
      <w:pPr>
        <w:ind w:left="3405" w:hanging="850"/>
      </w:pPr>
      <w:rPr>
        <w:rFonts w:hint="default"/>
        <w:lang w:val="en-US" w:eastAsia="en-US" w:bidi="ar-SA"/>
      </w:rPr>
    </w:lvl>
    <w:lvl w:ilvl="6" w:tplc="1BEA515C">
      <w:numFmt w:val="bullet"/>
      <w:lvlText w:val="•"/>
      <w:lvlJc w:val="left"/>
      <w:pPr>
        <w:ind w:left="3802" w:hanging="850"/>
      </w:pPr>
      <w:rPr>
        <w:rFonts w:hint="default"/>
        <w:lang w:val="en-US" w:eastAsia="en-US" w:bidi="ar-SA"/>
      </w:rPr>
    </w:lvl>
    <w:lvl w:ilvl="7" w:tplc="A8823162">
      <w:numFmt w:val="bullet"/>
      <w:lvlText w:val="•"/>
      <w:lvlJc w:val="left"/>
      <w:pPr>
        <w:ind w:left="4198" w:hanging="850"/>
      </w:pPr>
      <w:rPr>
        <w:rFonts w:hint="default"/>
        <w:lang w:val="en-US" w:eastAsia="en-US" w:bidi="ar-SA"/>
      </w:rPr>
    </w:lvl>
    <w:lvl w:ilvl="8" w:tplc="E05A7012">
      <w:numFmt w:val="bullet"/>
      <w:lvlText w:val="•"/>
      <w:lvlJc w:val="left"/>
      <w:pPr>
        <w:ind w:left="4595" w:hanging="850"/>
      </w:pPr>
      <w:rPr>
        <w:rFonts w:hint="default"/>
        <w:lang w:val="en-US" w:eastAsia="en-US" w:bidi="ar-SA"/>
      </w:rPr>
    </w:lvl>
  </w:abstractNum>
  <w:abstractNum w:abstractNumId="134" w15:restartNumberingAfterBreak="0">
    <w:nsid w:val="4C1C1B73"/>
    <w:multiLevelType w:val="hybridMultilevel"/>
    <w:tmpl w:val="843A274E"/>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4D087B69"/>
    <w:multiLevelType w:val="hybridMultilevel"/>
    <w:tmpl w:val="0ABE82B0"/>
    <w:lvl w:ilvl="0" w:tplc="1BE0AED6">
      <w:start w:val="1"/>
      <w:numFmt w:val="bullet"/>
      <w:lvlText w:val=""/>
      <w:lvlJc w:val="left"/>
      <w:pPr>
        <w:ind w:left="720" w:hanging="360"/>
      </w:pPr>
      <w:rPr>
        <w:rFonts w:ascii="Symbol" w:hAnsi="Symbol" w:hint="default"/>
      </w:rPr>
    </w:lvl>
    <w:lvl w:ilvl="1" w:tplc="D090A51A">
      <w:start w:val="1"/>
      <w:numFmt w:val="bullet"/>
      <w:lvlText w:val="o"/>
      <w:lvlJc w:val="left"/>
      <w:pPr>
        <w:ind w:left="1440" w:hanging="360"/>
      </w:pPr>
      <w:rPr>
        <w:rFonts w:ascii="Courier New" w:hAnsi="Courier New" w:hint="default"/>
      </w:rPr>
    </w:lvl>
    <w:lvl w:ilvl="2" w:tplc="607E37DE">
      <w:start w:val="1"/>
      <w:numFmt w:val="bullet"/>
      <w:lvlText w:val=""/>
      <w:lvlJc w:val="left"/>
      <w:pPr>
        <w:ind w:left="2160" w:hanging="360"/>
      </w:pPr>
      <w:rPr>
        <w:rFonts w:ascii="Wingdings" w:hAnsi="Wingdings" w:hint="default"/>
      </w:rPr>
    </w:lvl>
    <w:lvl w:ilvl="3" w:tplc="CA689D90">
      <w:start w:val="1"/>
      <w:numFmt w:val="bullet"/>
      <w:lvlText w:val=""/>
      <w:lvlJc w:val="left"/>
      <w:pPr>
        <w:ind w:left="2880" w:hanging="360"/>
      </w:pPr>
      <w:rPr>
        <w:rFonts w:ascii="Symbol" w:hAnsi="Symbol" w:hint="default"/>
      </w:rPr>
    </w:lvl>
    <w:lvl w:ilvl="4" w:tplc="0A4A0DB2">
      <w:start w:val="1"/>
      <w:numFmt w:val="bullet"/>
      <w:lvlText w:val="o"/>
      <w:lvlJc w:val="left"/>
      <w:pPr>
        <w:ind w:left="3600" w:hanging="360"/>
      </w:pPr>
      <w:rPr>
        <w:rFonts w:ascii="Courier New" w:hAnsi="Courier New" w:hint="default"/>
      </w:rPr>
    </w:lvl>
    <w:lvl w:ilvl="5" w:tplc="D7AA2AF8">
      <w:start w:val="1"/>
      <w:numFmt w:val="bullet"/>
      <w:lvlText w:val=""/>
      <w:lvlJc w:val="left"/>
      <w:pPr>
        <w:ind w:left="4320" w:hanging="360"/>
      </w:pPr>
      <w:rPr>
        <w:rFonts w:ascii="Wingdings" w:hAnsi="Wingdings" w:hint="default"/>
      </w:rPr>
    </w:lvl>
    <w:lvl w:ilvl="6" w:tplc="B4F6F3E2">
      <w:start w:val="1"/>
      <w:numFmt w:val="bullet"/>
      <w:lvlText w:val=""/>
      <w:lvlJc w:val="left"/>
      <w:pPr>
        <w:ind w:left="5040" w:hanging="360"/>
      </w:pPr>
      <w:rPr>
        <w:rFonts w:ascii="Symbol" w:hAnsi="Symbol" w:hint="default"/>
      </w:rPr>
    </w:lvl>
    <w:lvl w:ilvl="7" w:tplc="CC383A66">
      <w:start w:val="1"/>
      <w:numFmt w:val="bullet"/>
      <w:lvlText w:val="o"/>
      <w:lvlJc w:val="left"/>
      <w:pPr>
        <w:ind w:left="5760" w:hanging="360"/>
      </w:pPr>
      <w:rPr>
        <w:rFonts w:ascii="Courier New" w:hAnsi="Courier New" w:hint="default"/>
      </w:rPr>
    </w:lvl>
    <w:lvl w:ilvl="8" w:tplc="C2C0D0DA">
      <w:start w:val="1"/>
      <w:numFmt w:val="bullet"/>
      <w:lvlText w:val=""/>
      <w:lvlJc w:val="left"/>
      <w:pPr>
        <w:ind w:left="6480" w:hanging="360"/>
      </w:pPr>
      <w:rPr>
        <w:rFonts w:ascii="Wingdings" w:hAnsi="Wingdings" w:hint="default"/>
      </w:rPr>
    </w:lvl>
  </w:abstractNum>
  <w:abstractNum w:abstractNumId="136" w15:restartNumberingAfterBreak="0">
    <w:nsid w:val="4D144F85"/>
    <w:multiLevelType w:val="hybridMultilevel"/>
    <w:tmpl w:val="E7C63CB0"/>
    <w:lvl w:ilvl="0" w:tplc="BBA05C7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4D7B758C"/>
    <w:multiLevelType w:val="hybridMultilevel"/>
    <w:tmpl w:val="EF4A6AC8"/>
    <w:lvl w:ilvl="0" w:tplc="0C6CE77A">
      <w:start w:val="1"/>
      <w:numFmt w:val="bullet"/>
      <w:lvlText w:val=""/>
      <w:lvlJc w:val="left"/>
      <w:pPr>
        <w:ind w:left="720" w:hanging="360"/>
      </w:pPr>
      <w:rPr>
        <w:rFonts w:ascii="Symbol" w:hAnsi="Symbol" w:hint="default"/>
      </w:rPr>
    </w:lvl>
    <w:lvl w:ilvl="1" w:tplc="C1C66D96">
      <w:start w:val="1"/>
      <w:numFmt w:val="bullet"/>
      <w:lvlText w:val="o"/>
      <w:lvlJc w:val="left"/>
      <w:pPr>
        <w:ind w:left="1440" w:hanging="360"/>
      </w:pPr>
      <w:rPr>
        <w:rFonts w:ascii="Courier New" w:hAnsi="Courier New" w:hint="default"/>
      </w:rPr>
    </w:lvl>
    <w:lvl w:ilvl="2" w:tplc="9D9A991C">
      <w:start w:val="1"/>
      <w:numFmt w:val="bullet"/>
      <w:lvlText w:val=""/>
      <w:lvlJc w:val="left"/>
      <w:pPr>
        <w:ind w:left="2160" w:hanging="360"/>
      </w:pPr>
      <w:rPr>
        <w:rFonts w:ascii="Wingdings" w:hAnsi="Wingdings" w:hint="default"/>
      </w:rPr>
    </w:lvl>
    <w:lvl w:ilvl="3" w:tplc="396C69A4">
      <w:start w:val="1"/>
      <w:numFmt w:val="bullet"/>
      <w:lvlText w:val=""/>
      <w:lvlJc w:val="left"/>
      <w:pPr>
        <w:ind w:left="2880" w:hanging="360"/>
      </w:pPr>
      <w:rPr>
        <w:rFonts w:ascii="Symbol" w:hAnsi="Symbol" w:hint="default"/>
      </w:rPr>
    </w:lvl>
    <w:lvl w:ilvl="4" w:tplc="1642364E">
      <w:start w:val="1"/>
      <w:numFmt w:val="bullet"/>
      <w:lvlText w:val="o"/>
      <w:lvlJc w:val="left"/>
      <w:pPr>
        <w:ind w:left="3600" w:hanging="360"/>
      </w:pPr>
      <w:rPr>
        <w:rFonts w:ascii="Courier New" w:hAnsi="Courier New" w:hint="default"/>
      </w:rPr>
    </w:lvl>
    <w:lvl w:ilvl="5" w:tplc="CAACB756">
      <w:start w:val="1"/>
      <w:numFmt w:val="bullet"/>
      <w:lvlText w:val=""/>
      <w:lvlJc w:val="left"/>
      <w:pPr>
        <w:ind w:left="4320" w:hanging="360"/>
      </w:pPr>
      <w:rPr>
        <w:rFonts w:ascii="Wingdings" w:hAnsi="Wingdings" w:hint="default"/>
      </w:rPr>
    </w:lvl>
    <w:lvl w:ilvl="6" w:tplc="0AC0BBF4">
      <w:start w:val="1"/>
      <w:numFmt w:val="bullet"/>
      <w:lvlText w:val=""/>
      <w:lvlJc w:val="left"/>
      <w:pPr>
        <w:ind w:left="5040" w:hanging="360"/>
      </w:pPr>
      <w:rPr>
        <w:rFonts w:ascii="Symbol" w:hAnsi="Symbol" w:hint="default"/>
      </w:rPr>
    </w:lvl>
    <w:lvl w:ilvl="7" w:tplc="0C1870A8">
      <w:start w:val="1"/>
      <w:numFmt w:val="bullet"/>
      <w:lvlText w:val="o"/>
      <w:lvlJc w:val="left"/>
      <w:pPr>
        <w:ind w:left="5760" w:hanging="360"/>
      </w:pPr>
      <w:rPr>
        <w:rFonts w:ascii="Courier New" w:hAnsi="Courier New" w:hint="default"/>
      </w:rPr>
    </w:lvl>
    <w:lvl w:ilvl="8" w:tplc="4BF2FF06">
      <w:start w:val="1"/>
      <w:numFmt w:val="bullet"/>
      <w:lvlText w:val=""/>
      <w:lvlJc w:val="left"/>
      <w:pPr>
        <w:ind w:left="6480" w:hanging="360"/>
      </w:pPr>
      <w:rPr>
        <w:rFonts w:ascii="Wingdings" w:hAnsi="Wingdings" w:hint="default"/>
      </w:rPr>
    </w:lvl>
  </w:abstractNum>
  <w:abstractNum w:abstractNumId="138" w15:restartNumberingAfterBreak="0">
    <w:nsid w:val="4D9B691B"/>
    <w:multiLevelType w:val="hybridMultilevel"/>
    <w:tmpl w:val="9E3E5D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4DB0A5CF"/>
    <w:multiLevelType w:val="hybridMultilevel"/>
    <w:tmpl w:val="F1C46DC0"/>
    <w:lvl w:ilvl="0" w:tplc="D5FE0446">
      <w:start w:val="1"/>
      <w:numFmt w:val="bullet"/>
      <w:lvlText w:val=""/>
      <w:lvlJc w:val="left"/>
      <w:pPr>
        <w:ind w:left="720" w:hanging="360"/>
      </w:pPr>
      <w:rPr>
        <w:rFonts w:ascii="Symbol" w:hAnsi="Symbol" w:hint="default"/>
      </w:rPr>
    </w:lvl>
    <w:lvl w:ilvl="1" w:tplc="5B3ECA4C">
      <w:start w:val="1"/>
      <w:numFmt w:val="bullet"/>
      <w:lvlText w:val="o"/>
      <w:lvlJc w:val="left"/>
      <w:pPr>
        <w:ind w:left="1440" w:hanging="360"/>
      </w:pPr>
      <w:rPr>
        <w:rFonts w:ascii="Courier New" w:hAnsi="Courier New" w:hint="default"/>
      </w:rPr>
    </w:lvl>
    <w:lvl w:ilvl="2" w:tplc="430ECC62">
      <w:start w:val="1"/>
      <w:numFmt w:val="bullet"/>
      <w:lvlText w:val=""/>
      <w:lvlJc w:val="left"/>
      <w:pPr>
        <w:ind w:left="2160" w:hanging="360"/>
      </w:pPr>
      <w:rPr>
        <w:rFonts w:ascii="Wingdings" w:hAnsi="Wingdings" w:hint="default"/>
      </w:rPr>
    </w:lvl>
    <w:lvl w:ilvl="3" w:tplc="68747FB8">
      <w:start w:val="1"/>
      <w:numFmt w:val="bullet"/>
      <w:lvlText w:val=""/>
      <w:lvlJc w:val="left"/>
      <w:pPr>
        <w:ind w:left="2880" w:hanging="360"/>
      </w:pPr>
      <w:rPr>
        <w:rFonts w:ascii="Symbol" w:hAnsi="Symbol" w:hint="default"/>
      </w:rPr>
    </w:lvl>
    <w:lvl w:ilvl="4" w:tplc="24AAEE2E">
      <w:start w:val="1"/>
      <w:numFmt w:val="bullet"/>
      <w:lvlText w:val="o"/>
      <w:lvlJc w:val="left"/>
      <w:pPr>
        <w:ind w:left="3600" w:hanging="360"/>
      </w:pPr>
      <w:rPr>
        <w:rFonts w:ascii="Courier New" w:hAnsi="Courier New" w:hint="default"/>
      </w:rPr>
    </w:lvl>
    <w:lvl w:ilvl="5" w:tplc="1BA620B6">
      <w:start w:val="1"/>
      <w:numFmt w:val="bullet"/>
      <w:lvlText w:val=""/>
      <w:lvlJc w:val="left"/>
      <w:pPr>
        <w:ind w:left="4320" w:hanging="360"/>
      </w:pPr>
      <w:rPr>
        <w:rFonts w:ascii="Wingdings" w:hAnsi="Wingdings" w:hint="default"/>
      </w:rPr>
    </w:lvl>
    <w:lvl w:ilvl="6" w:tplc="2EC0E4E6">
      <w:start w:val="1"/>
      <w:numFmt w:val="bullet"/>
      <w:lvlText w:val=""/>
      <w:lvlJc w:val="left"/>
      <w:pPr>
        <w:ind w:left="5040" w:hanging="360"/>
      </w:pPr>
      <w:rPr>
        <w:rFonts w:ascii="Symbol" w:hAnsi="Symbol" w:hint="default"/>
      </w:rPr>
    </w:lvl>
    <w:lvl w:ilvl="7" w:tplc="F6EA1DAE">
      <w:start w:val="1"/>
      <w:numFmt w:val="bullet"/>
      <w:lvlText w:val="o"/>
      <w:lvlJc w:val="left"/>
      <w:pPr>
        <w:ind w:left="5760" w:hanging="360"/>
      </w:pPr>
      <w:rPr>
        <w:rFonts w:ascii="Courier New" w:hAnsi="Courier New" w:hint="default"/>
      </w:rPr>
    </w:lvl>
    <w:lvl w:ilvl="8" w:tplc="EA3A7272">
      <w:start w:val="1"/>
      <w:numFmt w:val="bullet"/>
      <w:lvlText w:val=""/>
      <w:lvlJc w:val="left"/>
      <w:pPr>
        <w:ind w:left="6480" w:hanging="360"/>
      </w:pPr>
      <w:rPr>
        <w:rFonts w:ascii="Wingdings" w:hAnsi="Wingdings" w:hint="default"/>
      </w:rPr>
    </w:lvl>
  </w:abstractNum>
  <w:abstractNum w:abstractNumId="140" w15:restartNumberingAfterBreak="0">
    <w:nsid w:val="4F2A3442"/>
    <w:multiLevelType w:val="hybridMultilevel"/>
    <w:tmpl w:val="1E981B46"/>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1" w15:restartNumberingAfterBreak="0">
    <w:nsid w:val="4FF947C9"/>
    <w:multiLevelType w:val="hybridMultilevel"/>
    <w:tmpl w:val="4C8E7202"/>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2" w15:restartNumberingAfterBreak="0">
    <w:nsid w:val="50CE4016"/>
    <w:multiLevelType w:val="hybridMultilevel"/>
    <w:tmpl w:val="9BAA627C"/>
    <w:lvl w:ilvl="0" w:tplc="61989B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2D04AE1"/>
    <w:multiLevelType w:val="hybridMultilevel"/>
    <w:tmpl w:val="D69EFE9C"/>
    <w:lvl w:ilvl="0" w:tplc="1809000D">
      <w:start w:val="1"/>
      <w:numFmt w:val="bullet"/>
      <w:lvlText w:val=""/>
      <w:lvlJc w:val="left"/>
      <w:pPr>
        <w:ind w:left="1353"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52F671EC"/>
    <w:multiLevelType w:val="hybridMultilevel"/>
    <w:tmpl w:val="85CEAD34"/>
    <w:lvl w:ilvl="0" w:tplc="E88C090C">
      <w:start w:val="3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5" w15:restartNumberingAfterBreak="0">
    <w:nsid w:val="532CAD0C"/>
    <w:multiLevelType w:val="hybridMultilevel"/>
    <w:tmpl w:val="FFFFFFFF"/>
    <w:lvl w:ilvl="0" w:tplc="7CBCB694">
      <w:start w:val="1"/>
      <w:numFmt w:val="bullet"/>
      <w:lvlText w:val=""/>
      <w:lvlJc w:val="left"/>
      <w:pPr>
        <w:ind w:left="720" w:hanging="360"/>
      </w:pPr>
      <w:rPr>
        <w:rFonts w:ascii="Symbol" w:hAnsi="Symbol" w:hint="default"/>
      </w:rPr>
    </w:lvl>
    <w:lvl w:ilvl="1" w:tplc="E7B841EE">
      <w:start w:val="1"/>
      <w:numFmt w:val="bullet"/>
      <w:lvlText w:val="o"/>
      <w:lvlJc w:val="left"/>
      <w:pPr>
        <w:ind w:left="1440" w:hanging="360"/>
      </w:pPr>
      <w:rPr>
        <w:rFonts w:ascii="Courier New" w:hAnsi="Courier New" w:hint="default"/>
      </w:rPr>
    </w:lvl>
    <w:lvl w:ilvl="2" w:tplc="DCE83184">
      <w:start w:val="1"/>
      <w:numFmt w:val="bullet"/>
      <w:lvlText w:val=""/>
      <w:lvlJc w:val="left"/>
      <w:pPr>
        <w:ind w:left="2160" w:hanging="360"/>
      </w:pPr>
      <w:rPr>
        <w:rFonts w:ascii="Wingdings" w:hAnsi="Wingdings" w:hint="default"/>
      </w:rPr>
    </w:lvl>
    <w:lvl w:ilvl="3" w:tplc="216C940C">
      <w:start w:val="1"/>
      <w:numFmt w:val="bullet"/>
      <w:lvlText w:val=""/>
      <w:lvlJc w:val="left"/>
      <w:pPr>
        <w:ind w:left="2880" w:hanging="360"/>
      </w:pPr>
      <w:rPr>
        <w:rFonts w:ascii="Symbol" w:hAnsi="Symbol" w:hint="default"/>
      </w:rPr>
    </w:lvl>
    <w:lvl w:ilvl="4" w:tplc="F5BCE336">
      <w:start w:val="1"/>
      <w:numFmt w:val="bullet"/>
      <w:lvlText w:val="o"/>
      <w:lvlJc w:val="left"/>
      <w:pPr>
        <w:ind w:left="3600" w:hanging="360"/>
      </w:pPr>
      <w:rPr>
        <w:rFonts w:ascii="Courier New" w:hAnsi="Courier New" w:hint="default"/>
      </w:rPr>
    </w:lvl>
    <w:lvl w:ilvl="5" w:tplc="3704217E">
      <w:start w:val="1"/>
      <w:numFmt w:val="bullet"/>
      <w:lvlText w:val=""/>
      <w:lvlJc w:val="left"/>
      <w:pPr>
        <w:ind w:left="4320" w:hanging="360"/>
      </w:pPr>
      <w:rPr>
        <w:rFonts w:ascii="Wingdings" w:hAnsi="Wingdings" w:hint="default"/>
      </w:rPr>
    </w:lvl>
    <w:lvl w:ilvl="6" w:tplc="55C4D848">
      <w:start w:val="1"/>
      <w:numFmt w:val="bullet"/>
      <w:lvlText w:val=""/>
      <w:lvlJc w:val="left"/>
      <w:pPr>
        <w:ind w:left="5040" w:hanging="360"/>
      </w:pPr>
      <w:rPr>
        <w:rFonts w:ascii="Symbol" w:hAnsi="Symbol" w:hint="default"/>
      </w:rPr>
    </w:lvl>
    <w:lvl w:ilvl="7" w:tplc="BE94BC3A">
      <w:start w:val="1"/>
      <w:numFmt w:val="bullet"/>
      <w:lvlText w:val="o"/>
      <w:lvlJc w:val="left"/>
      <w:pPr>
        <w:ind w:left="5760" w:hanging="360"/>
      </w:pPr>
      <w:rPr>
        <w:rFonts w:ascii="Courier New" w:hAnsi="Courier New" w:hint="default"/>
      </w:rPr>
    </w:lvl>
    <w:lvl w:ilvl="8" w:tplc="A2809808">
      <w:start w:val="1"/>
      <w:numFmt w:val="bullet"/>
      <w:lvlText w:val=""/>
      <w:lvlJc w:val="left"/>
      <w:pPr>
        <w:ind w:left="6480" w:hanging="360"/>
      </w:pPr>
      <w:rPr>
        <w:rFonts w:ascii="Wingdings" w:hAnsi="Wingdings" w:hint="default"/>
      </w:rPr>
    </w:lvl>
  </w:abstractNum>
  <w:abstractNum w:abstractNumId="146" w15:restartNumberingAfterBreak="0">
    <w:nsid w:val="53773CC1"/>
    <w:multiLevelType w:val="hybridMultilevel"/>
    <w:tmpl w:val="DB4EE48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537A2FB7"/>
    <w:multiLevelType w:val="hybridMultilevel"/>
    <w:tmpl w:val="64EC0FAC"/>
    <w:lvl w:ilvl="0" w:tplc="9E8603C6">
      <w:start w:val="1"/>
      <w:numFmt w:val="decimal"/>
      <w:lvlText w:val="%1."/>
      <w:lvlJc w:val="left"/>
      <w:pPr>
        <w:ind w:left="420" w:hanging="360"/>
      </w:pPr>
      <w:rPr>
        <w:rFonts w:hint="default"/>
        <w:b/>
        <w:bCs/>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148" w15:restartNumberingAfterBreak="0">
    <w:nsid w:val="54DF44AD"/>
    <w:multiLevelType w:val="hybridMultilevel"/>
    <w:tmpl w:val="AEA43E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9" w15:restartNumberingAfterBreak="0">
    <w:nsid w:val="55A9E15D"/>
    <w:multiLevelType w:val="hybridMultilevel"/>
    <w:tmpl w:val="FFFFFFFF"/>
    <w:lvl w:ilvl="0" w:tplc="4C9C6A3E">
      <w:start w:val="1"/>
      <w:numFmt w:val="bullet"/>
      <w:lvlText w:val="-"/>
      <w:lvlJc w:val="left"/>
      <w:pPr>
        <w:ind w:left="720" w:hanging="360"/>
      </w:pPr>
      <w:rPr>
        <w:rFonts w:ascii="Calibri" w:hAnsi="Calibri" w:hint="default"/>
      </w:rPr>
    </w:lvl>
    <w:lvl w:ilvl="1" w:tplc="34FE7A02">
      <w:start w:val="1"/>
      <w:numFmt w:val="bullet"/>
      <w:lvlText w:val="o"/>
      <w:lvlJc w:val="left"/>
      <w:pPr>
        <w:ind w:left="1440" w:hanging="360"/>
      </w:pPr>
      <w:rPr>
        <w:rFonts w:ascii="Courier New" w:hAnsi="Courier New" w:hint="default"/>
      </w:rPr>
    </w:lvl>
    <w:lvl w:ilvl="2" w:tplc="014C16B8">
      <w:start w:val="1"/>
      <w:numFmt w:val="bullet"/>
      <w:lvlText w:val=""/>
      <w:lvlJc w:val="left"/>
      <w:pPr>
        <w:ind w:left="2160" w:hanging="360"/>
      </w:pPr>
      <w:rPr>
        <w:rFonts w:ascii="Wingdings" w:hAnsi="Wingdings" w:hint="default"/>
      </w:rPr>
    </w:lvl>
    <w:lvl w:ilvl="3" w:tplc="EF66E5D2">
      <w:start w:val="1"/>
      <w:numFmt w:val="bullet"/>
      <w:lvlText w:val=""/>
      <w:lvlJc w:val="left"/>
      <w:pPr>
        <w:ind w:left="2880" w:hanging="360"/>
      </w:pPr>
      <w:rPr>
        <w:rFonts w:ascii="Symbol" w:hAnsi="Symbol" w:hint="default"/>
      </w:rPr>
    </w:lvl>
    <w:lvl w:ilvl="4" w:tplc="6FC8CF9C">
      <w:start w:val="1"/>
      <w:numFmt w:val="bullet"/>
      <w:lvlText w:val="o"/>
      <w:lvlJc w:val="left"/>
      <w:pPr>
        <w:ind w:left="3600" w:hanging="360"/>
      </w:pPr>
      <w:rPr>
        <w:rFonts w:ascii="Courier New" w:hAnsi="Courier New" w:hint="default"/>
      </w:rPr>
    </w:lvl>
    <w:lvl w:ilvl="5" w:tplc="17BE48B0">
      <w:start w:val="1"/>
      <w:numFmt w:val="bullet"/>
      <w:lvlText w:val=""/>
      <w:lvlJc w:val="left"/>
      <w:pPr>
        <w:ind w:left="4320" w:hanging="360"/>
      </w:pPr>
      <w:rPr>
        <w:rFonts w:ascii="Wingdings" w:hAnsi="Wingdings" w:hint="default"/>
      </w:rPr>
    </w:lvl>
    <w:lvl w:ilvl="6" w:tplc="02DE5E7C">
      <w:start w:val="1"/>
      <w:numFmt w:val="bullet"/>
      <w:lvlText w:val=""/>
      <w:lvlJc w:val="left"/>
      <w:pPr>
        <w:ind w:left="5040" w:hanging="360"/>
      </w:pPr>
      <w:rPr>
        <w:rFonts w:ascii="Symbol" w:hAnsi="Symbol" w:hint="default"/>
      </w:rPr>
    </w:lvl>
    <w:lvl w:ilvl="7" w:tplc="19D4312A">
      <w:start w:val="1"/>
      <w:numFmt w:val="bullet"/>
      <w:lvlText w:val="o"/>
      <w:lvlJc w:val="left"/>
      <w:pPr>
        <w:ind w:left="5760" w:hanging="360"/>
      </w:pPr>
      <w:rPr>
        <w:rFonts w:ascii="Courier New" w:hAnsi="Courier New" w:hint="default"/>
      </w:rPr>
    </w:lvl>
    <w:lvl w:ilvl="8" w:tplc="63F8B57A">
      <w:start w:val="1"/>
      <w:numFmt w:val="bullet"/>
      <w:lvlText w:val=""/>
      <w:lvlJc w:val="left"/>
      <w:pPr>
        <w:ind w:left="6480" w:hanging="360"/>
      </w:pPr>
      <w:rPr>
        <w:rFonts w:ascii="Wingdings" w:hAnsi="Wingdings" w:hint="default"/>
      </w:rPr>
    </w:lvl>
  </w:abstractNum>
  <w:abstractNum w:abstractNumId="150" w15:restartNumberingAfterBreak="0">
    <w:nsid w:val="55BF52D1"/>
    <w:multiLevelType w:val="hybridMultilevel"/>
    <w:tmpl w:val="AF7A7D68"/>
    <w:lvl w:ilvl="0" w:tplc="04090001">
      <w:start w:val="1"/>
      <w:numFmt w:val="bullet"/>
      <w:lvlText w:val=""/>
      <w:lvlJc w:val="left"/>
      <w:pPr>
        <w:ind w:left="720" w:hanging="360"/>
      </w:pPr>
      <w:rPr>
        <w:rFonts w:ascii="Symbol" w:hAnsi="Symbol" w:hint="default"/>
      </w:rPr>
    </w:lvl>
    <w:lvl w:ilvl="1" w:tplc="A6C453F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6176C29"/>
    <w:multiLevelType w:val="hybridMultilevel"/>
    <w:tmpl w:val="2EFA7BA4"/>
    <w:lvl w:ilvl="0" w:tplc="A08A3766">
      <w:start w:val="1"/>
      <w:numFmt w:val="bullet"/>
      <w:lvlText w:val=""/>
      <w:lvlJc w:val="left"/>
      <w:pPr>
        <w:ind w:left="777" w:hanging="360"/>
      </w:pPr>
      <w:rPr>
        <w:rFonts w:ascii="Symbol" w:hAnsi="Symbol" w:hint="default"/>
      </w:rPr>
    </w:lvl>
    <w:lvl w:ilvl="1" w:tplc="18090003">
      <w:start w:val="1"/>
      <w:numFmt w:val="bullet"/>
      <w:lvlText w:val="o"/>
      <w:lvlJc w:val="left"/>
      <w:pPr>
        <w:ind w:left="1497" w:hanging="360"/>
      </w:pPr>
      <w:rPr>
        <w:rFonts w:ascii="Courier New" w:hAnsi="Courier New" w:cs="Courier New" w:hint="default"/>
      </w:rPr>
    </w:lvl>
    <w:lvl w:ilvl="2" w:tplc="18090005" w:tentative="1">
      <w:start w:val="1"/>
      <w:numFmt w:val="bullet"/>
      <w:lvlText w:val=""/>
      <w:lvlJc w:val="left"/>
      <w:pPr>
        <w:ind w:left="2217" w:hanging="360"/>
      </w:pPr>
      <w:rPr>
        <w:rFonts w:ascii="Wingdings" w:hAnsi="Wingdings" w:hint="default"/>
      </w:rPr>
    </w:lvl>
    <w:lvl w:ilvl="3" w:tplc="18090001" w:tentative="1">
      <w:start w:val="1"/>
      <w:numFmt w:val="bullet"/>
      <w:lvlText w:val=""/>
      <w:lvlJc w:val="left"/>
      <w:pPr>
        <w:ind w:left="2937" w:hanging="360"/>
      </w:pPr>
      <w:rPr>
        <w:rFonts w:ascii="Symbol" w:hAnsi="Symbol" w:hint="default"/>
      </w:rPr>
    </w:lvl>
    <w:lvl w:ilvl="4" w:tplc="18090003" w:tentative="1">
      <w:start w:val="1"/>
      <w:numFmt w:val="bullet"/>
      <w:lvlText w:val="o"/>
      <w:lvlJc w:val="left"/>
      <w:pPr>
        <w:ind w:left="3657" w:hanging="360"/>
      </w:pPr>
      <w:rPr>
        <w:rFonts w:ascii="Courier New" w:hAnsi="Courier New" w:cs="Courier New" w:hint="default"/>
      </w:rPr>
    </w:lvl>
    <w:lvl w:ilvl="5" w:tplc="18090005" w:tentative="1">
      <w:start w:val="1"/>
      <w:numFmt w:val="bullet"/>
      <w:lvlText w:val=""/>
      <w:lvlJc w:val="left"/>
      <w:pPr>
        <w:ind w:left="4377" w:hanging="360"/>
      </w:pPr>
      <w:rPr>
        <w:rFonts w:ascii="Wingdings" w:hAnsi="Wingdings" w:hint="default"/>
      </w:rPr>
    </w:lvl>
    <w:lvl w:ilvl="6" w:tplc="18090001" w:tentative="1">
      <w:start w:val="1"/>
      <w:numFmt w:val="bullet"/>
      <w:lvlText w:val=""/>
      <w:lvlJc w:val="left"/>
      <w:pPr>
        <w:ind w:left="5097" w:hanging="360"/>
      </w:pPr>
      <w:rPr>
        <w:rFonts w:ascii="Symbol" w:hAnsi="Symbol" w:hint="default"/>
      </w:rPr>
    </w:lvl>
    <w:lvl w:ilvl="7" w:tplc="18090003" w:tentative="1">
      <w:start w:val="1"/>
      <w:numFmt w:val="bullet"/>
      <w:lvlText w:val="o"/>
      <w:lvlJc w:val="left"/>
      <w:pPr>
        <w:ind w:left="5817" w:hanging="360"/>
      </w:pPr>
      <w:rPr>
        <w:rFonts w:ascii="Courier New" w:hAnsi="Courier New" w:cs="Courier New" w:hint="default"/>
      </w:rPr>
    </w:lvl>
    <w:lvl w:ilvl="8" w:tplc="18090005" w:tentative="1">
      <w:start w:val="1"/>
      <w:numFmt w:val="bullet"/>
      <w:lvlText w:val=""/>
      <w:lvlJc w:val="left"/>
      <w:pPr>
        <w:ind w:left="6537" w:hanging="360"/>
      </w:pPr>
      <w:rPr>
        <w:rFonts w:ascii="Wingdings" w:hAnsi="Wingdings" w:hint="default"/>
      </w:rPr>
    </w:lvl>
  </w:abstractNum>
  <w:abstractNum w:abstractNumId="152" w15:restartNumberingAfterBreak="0">
    <w:nsid w:val="56720B42"/>
    <w:multiLevelType w:val="hybridMultilevel"/>
    <w:tmpl w:val="7B70D448"/>
    <w:lvl w:ilvl="0" w:tplc="D6E6F188">
      <w:start w:val="29"/>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15:restartNumberingAfterBreak="0">
    <w:nsid w:val="575A6543"/>
    <w:multiLevelType w:val="hybridMultilevel"/>
    <w:tmpl w:val="048A7A28"/>
    <w:lvl w:ilvl="0" w:tplc="A6C453FA">
      <w:start w:val="2"/>
      <w:numFmt w:val="bullet"/>
      <w:lvlText w:val="–"/>
      <w:lvlJc w:val="left"/>
      <w:pPr>
        <w:ind w:left="720" w:hanging="360"/>
      </w:pPr>
      <w:rPr>
        <w:rFonts w:ascii="Times New Roman" w:eastAsia="Times New Roman" w:hAnsi="Times New Roman" w:cs="Times New Roman" w:hint="default"/>
      </w:rPr>
    </w:lvl>
    <w:lvl w:ilvl="1" w:tplc="A6C453F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8173A9F"/>
    <w:multiLevelType w:val="hybridMultilevel"/>
    <w:tmpl w:val="2FB4831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5" w15:restartNumberingAfterBreak="0">
    <w:nsid w:val="58632037"/>
    <w:multiLevelType w:val="hybridMultilevel"/>
    <w:tmpl w:val="31D08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12CC92E0">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597D496C"/>
    <w:multiLevelType w:val="hybridMultilevel"/>
    <w:tmpl w:val="F60241A0"/>
    <w:lvl w:ilvl="0" w:tplc="945C30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98104A2"/>
    <w:multiLevelType w:val="hybridMultilevel"/>
    <w:tmpl w:val="D360933A"/>
    <w:lvl w:ilvl="0" w:tplc="7ACC4C4C">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8" w15:restartNumberingAfterBreak="0">
    <w:nsid w:val="5A675FF4"/>
    <w:multiLevelType w:val="multilevel"/>
    <w:tmpl w:val="AA7E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B08F6D5"/>
    <w:multiLevelType w:val="hybridMultilevel"/>
    <w:tmpl w:val="FFFFFFFF"/>
    <w:lvl w:ilvl="0" w:tplc="9C28369C">
      <w:start w:val="1"/>
      <w:numFmt w:val="bullet"/>
      <w:lvlText w:val=""/>
      <w:lvlJc w:val="left"/>
      <w:pPr>
        <w:ind w:left="720" w:hanging="360"/>
      </w:pPr>
      <w:rPr>
        <w:rFonts w:ascii="Symbol" w:hAnsi="Symbol" w:hint="default"/>
      </w:rPr>
    </w:lvl>
    <w:lvl w:ilvl="1" w:tplc="7332AF0A">
      <w:start w:val="1"/>
      <w:numFmt w:val="bullet"/>
      <w:lvlText w:val="o"/>
      <w:lvlJc w:val="left"/>
      <w:pPr>
        <w:ind w:left="1440" w:hanging="360"/>
      </w:pPr>
      <w:rPr>
        <w:rFonts w:ascii="Courier New" w:hAnsi="Courier New" w:hint="default"/>
      </w:rPr>
    </w:lvl>
    <w:lvl w:ilvl="2" w:tplc="A8487500">
      <w:start w:val="1"/>
      <w:numFmt w:val="bullet"/>
      <w:lvlText w:val=""/>
      <w:lvlJc w:val="left"/>
      <w:pPr>
        <w:ind w:left="2160" w:hanging="360"/>
      </w:pPr>
      <w:rPr>
        <w:rFonts w:ascii="Wingdings" w:hAnsi="Wingdings" w:hint="default"/>
      </w:rPr>
    </w:lvl>
    <w:lvl w:ilvl="3" w:tplc="DCFC593E">
      <w:start w:val="1"/>
      <w:numFmt w:val="bullet"/>
      <w:lvlText w:val=""/>
      <w:lvlJc w:val="left"/>
      <w:pPr>
        <w:ind w:left="2880" w:hanging="360"/>
      </w:pPr>
      <w:rPr>
        <w:rFonts w:ascii="Symbol" w:hAnsi="Symbol" w:hint="default"/>
      </w:rPr>
    </w:lvl>
    <w:lvl w:ilvl="4" w:tplc="085AAF8E">
      <w:start w:val="1"/>
      <w:numFmt w:val="bullet"/>
      <w:lvlText w:val="o"/>
      <w:lvlJc w:val="left"/>
      <w:pPr>
        <w:ind w:left="3600" w:hanging="360"/>
      </w:pPr>
      <w:rPr>
        <w:rFonts w:ascii="Courier New" w:hAnsi="Courier New" w:hint="default"/>
      </w:rPr>
    </w:lvl>
    <w:lvl w:ilvl="5" w:tplc="4ADC334A">
      <w:start w:val="1"/>
      <w:numFmt w:val="bullet"/>
      <w:lvlText w:val=""/>
      <w:lvlJc w:val="left"/>
      <w:pPr>
        <w:ind w:left="4320" w:hanging="360"/>
      </w:pPr>
      <w:rPr>
        <w:rFonts w:ascii="Wingdings" w:hAnsi="Wingdings" w:hint="default"/>
      </w:rPr>
    </w:lvl>
    <w:lvl w:ilvl="6" w:tplc="EBA26708">
      <w:start w:val="1"/>
      <w:numFmt w:val="bullet"/>
      <w:lvlText w:val=""/>
      <w:lvlJc w:val="left"/>
      <w:pPr>
        <w:ind w:left="5040" w:hanging="360"/>
      </w:pPr>
      <w:rPr>
        <w:rFonts w:ascii="Symbol" w:hAnsi="Symbol" w:hint="default"/>
      </w:rPr>
    </w:lvl>
    <w:lvl w:ilvl="7" w:tplc="18C6C224">
      <w:start w:val="1"/>
      <w:numFmt w:val="bullet"/>
      <w:lvlText w:val="o"/>
      <w:lvlJc w:val="left"/>
      <w:pPr>
        <w:ind w:left="5760" w:hanging="360"/>
      </w:pPr>
      <w:rPr>
        <w:rFonts w:ascii="Courier New" w:hAnsi="Courier New" w:hint="default"/>
      </w:rPr>
    </w:lvl>
    <w:lvl w:ilvl="8" w:tplc="61E03E36">
      <w:start w:val="1"/>
      <w:numFmt w:val="bullet"/>
      <w:lvlText w:val=""/>
      <w:lvlJc w:val="left"/>
      <w:pPr>
        <w:ind w:left="6480" w:hanging="360"/>
      </w:pPr>
      <w:rPr>
        <w:rFonts w:ascii="Wingdings" w:hAnsi="Wingdings" w:hint="default"/>
      </w:rPr>
    </w:lvl>
  </w:abstractNum>
  <w:abstractNum w:abstractNumId="160" w15:restartNumberingAfterBreak="0">
    <w:nsid w:val="5B3430BF"/>
    <w:multiLevelType w:val="hybridMultilevel"/>
    <w:tmpl w:val="827C596C"/>
    <w:lvl w:ilvl="0" w:tplc="ED28BBB2">
      <w:start w:val="2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1" w15:restartNumberingAfterBreak="0">
    <w:nsid w:val="5E21667E"/>
    <w:multiLevelType w:val="hybridMultilevel"/>
    <w:tmpl w:val="68B66582"/>
    <w:lvl w:ilvl="0" w:tplc="BEE6187C">
      <w:numFmt w:val="bullet"/>
      <w:lvlText w:val=""/>
      <w:lvlJc w:val="left"/>
      <w:pPr>
        <w:ind w:left="465" w:hanging="360"/>
      </w:pPr>
      <w:rPr>
        <w:rFonts w:ascii="Symbol" w:eastAsia="Symbol" w:hAnsi="Symbol" w:cs="Symbol" w:hint="default"/>
        <w:w w:val="99"/>
        <w:sz w:val="20"/>
        <w:szCs w:val="20"/>
        <w:lang w:val="en-US" w:eastAsia="en-US" w:bidi="ar-SA"/>
      </w:rPr>
    </w:lvl>
    <w:lvl w:ilvl="1" w:tplc="C846C408">
      <w:numFmt w:val="bullet"/>
      <w:lvlText w:val="•"/>
      <w:lvlJc w:val="left"/>
      <w:pPr>
        <w:ind w:left="952" w:hanging="360"/>
      </w:pPr>
      <w:rPr>
        <w:rFonts w:hint="default"/>
        <w:lang w:val="en-US" w:eastAsia="en-US" w:bidi="ar-SA"/>
      </w:rPr>
    </w:lvl>
    <w:lvl w:ilvl="2" w:tplc="FF3C3602">
      <w:numFmt w:val="bullet"/>
      <w:lvlText w:val="•"/>
      <w:lvlJc w:val="left"/>
      <w:pPr>
        <w:ind w:left="1445" w:hanging="360"/>
      </w:pPr>
      <w:rPr>
        <w:rFonts w:hint="default"/>
        <w:lang w:val="en-US" w:eastAsia="en-US" w:bidi="ar-SA"/>
      </w:rPr>
    </w:lvl>
    <w:lvl w:ilvl="3" w:tplc="6692871E">
      <w:numFmt w:val="bullet"/>
      <w:lvlText w:val="•"/>
      <w:lvlJc w:val="left"/>
      <w:pPr>
        <w:ind w:left="1938" w:hanging="360"/>
      </w:pPr>
      <w:rPr>
        <w:rFonts w:hint="default"/>
        <w:lang w:val="en-US" w:eastAsia="en-US" w:bidi="ar-SA"/>
      </w:rPr>
    </w:lvl>
    <w:lvl w:ilvl="4" w:tplc="2F2063CC">
      <w:numFmt w:val="bullet"/>
      <w:lvlText w:val="•"/>
      <w:lvlJc w:val="left"/>
      <w:pPr>
        <w:ind w:left="2431" w:hanging="360"/>
      </w:pPr>
      <w:rPr>
        <w:rFonts w:hint="default"/>
        <w:lang w:val="en-US" w:eastAsia="en-US" w:bidi="ar-SA"/>
      </w:rPr>
    </w:lvl>
    <w:lvl w:ilvl="5" w:tplc="0DFA85F0">
      <w:numFmt w:val="bullet"/>
      <w:lvlText w:val="•"/>
      <w:lvlJc w:val="left"/>
      <w:pPr>
        <w:ind w:left="2924" w:hanging="360"/>
      </w:pPr>
      <w:rPr>
        <w:rFonts w:hint="default"/>
        <w:lang w:val="en-US" w:eastAsia="en-US" w:bidi="ar-SA"/>
      </w:rPr>
    </w:lvl>
    <w:lvl w:ilvl="6" w:tplc="C3EE0788">
      <w:numFmt w:val="bullet"/>
      <w:lvlText w:val="•"/>
      <w:lvlJc w:val="left"/>
      <w:pPr>
        <w:ind w:left="3417" w:hanging="360"/>
      </w:pPr>
      <w:rPr>
        <w:rFonts w:hint="default"/>
        <w:lang w:val="en-US" w:eastAsia="en-US" w:bidi="ar-SA"/>
      </w:rPr>
    </w:lvl>
    <w:lvl w:ilvl="7" w:tplc="4C0E4C3E">
      <w:numFmt w:val="bullet"/>
      <w:lvlText w:val="•"/>
      <w:lvlJc w:val="left"/>
      <w:pPr>
        <w:ind w:left="3910" w:hanging="360"/>
      </w:pPr>
      <w:rPr>
        <w:rFonts w:hint="default"/>
        <w:lang w:val="en-US" w:eastAsia="en-US" w:bidi="ar-SA"/>
      </w:rPr>
    </w:lvl>
    <w:lvl w:ilvl="8" w:tplc="499C76C2">
      <w:numFmt w:val="bullet"/>
      <w:lvlText w:val="•"/>
      <w:lvlJc w:val="left"/>
      <w:pPr>
        <w:ind w:left="4403" w:hanging="360"/>
      </w:pPr>
      <w:rPr>
        <w:rFonts w:hint="default"/>
        <w:lang w:val="en-US" w:eastAsia="en-US" w:bidi="ar-SA"/>
      </w:rPr>
    </w:lvl>
  </w:abstractNum>
  <w:abstractNum w:abstractNumId="162" w15:restartNumberingAfterBreak="0">
    <w:nsid w:val="5F40777D"/>
    <w:multiLevelType w:val="hybridMultilevel"/>
    <w:tmpl w:val="6AEC480E"/>
    <w:lvl w:ilvl="0" w:tplc="A56C9E40">
      <w:numFmt w:val="bullet"/>
      <w:pStyle w:val="Bulletslevel2"/>
      <w:lvlText w:val="-"/>
      <w:lvlJc w:val="left"/>
      <w:pPr>
        <w:ind w:left="1287" w:hanging="360"/>
      </w:pPr>
      <w:rPr>
        <w:rFonts w:ascii="Calibri" w:eastAsiaTheme="minorHAnsi"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3" w15:restartNumberingAfterBreak="0">
    <w:nsid w:val="60417B33"/>
    <w:multiLevelType w:val="hybridMultilevel"/>
    <w:tmpl w:val="50D68020"/>
    <w:lvl w:ilvl="0" w:tplc="E7B25AB2">
      <w:start w:val="1"/>
      <w:numFmt w:val="decimal"/>
      <w:lvlText w:val="Tool #%1."/>
      <w:lvlJc w:val="left"/>
      <w:pPr>
        <w:ind w:left="7023" w:hanging="360"/>
      </w:pPr>
      <w:rPr>
        <w:rFonts w:ascii="Times New Roman Bold" w:hAnsi="Times New Roman Bold" w:hint="default"/>
        <w:b/>
        <w:i w:val="0"/>
        <w:caps/>
        <w:color w:val="948A54" w:themeColor="background2" w:themeShade="80"/>
        <w:sz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6057433F"/>
    <w:multiLevelType w:val="singleLevel"/>
    <w:tmpl w:val="3D5ECD48"/>
    <w:lvl w:ilvl="0">
      <w:start w:val="1"/>
      <w:numFmt w:val="bullet"/>
      <w:pStyle w:val="ListBullet"/>
      <w:lvlText w:val="–"/>
      <w:lvlJc w:val="left"/>
      <w:pPr>
        <w:tabs>
          <w:tab w:val="num" w:pos="765"/>
        </w:tabs>
        <w:ind w:left="765" w:hanging="283"/>
      </w:pPr>
      <w:rPr>
        <w:rFonts w:ascii="Times New Roman" w:hAnsi="Times New Roman"/>
      </w:rPr>
    </w:lvl>
  </w:abstractNum>
  <w:abstractNum w:abstractNumId="165" w15:restartNumberingAfterBreak="0">
    <w:nsid w:val="609E628C"/>
    <w:multiLevelType w:val="hybridMultilevel"/>
    <w:tmpl w:val="A08CB4F2"/>
    <w:lvl w:ilvl="0" w:tplc="5082DE08">
      <w:numFmt w:val="bullet"/>
      <w:lvlText w:val=""/>
      <w:lvlJc w:val="left"/>
      <w:pPr>
        <w:ind w:left="469" w:hanging="360"/>
      </w:pPr>
      <w:rPr>
        <w:rFonts w:ascii="Symbol" w:eastAsia="Symbol" w:hAnsi="Symbol" w:cs="Symbol" w:hint="default"/>
        <w:w w:val="99"/>
        <w:sz w:val="20"/>
        <w:szCs w:val="20"/>
        <w:lang w:val="en-US" w:eastAsia="en-US" w:bidi="ar-SA"/>
      </w:rPr>
    </w:lvl>
    <w:lvl w:ilvl="1" w:tplc="6F58E07E">
      <w:numFmt w:val="bullet"/>
      <w:lvlText w:val="•"/>
      <w:lvlJc w:val="left"/>
      <w:pPr>
        <w:ind w:left="697" w:hanging="360"/>
      </w:pPr>
      <w:rPr>
        <w:rFonts w:hint="default"/>
        <w:lang w:val="en-US" w:eastAsia="en-US" w:bidi="ar-SA"/>
      </w:rPr>
    </w:lvl>
    <w:lvl w:ilvl="2" w:tplc="C2E69EC6">
      <w:numFmt w:val="bullet"/>
      <w:lvlText w:val="•"/>
      <w:lvlJc w:val="left"/>
      <w:pPr>
        <w:ind w:left="935" w:hanging="360"/>
      </w:pPr>
      <w:rPr>
        <w:rFonts w:hint="default"/>
        <w:lang w:val="en-US" w:eastAsia="en-US" w:bidi="ar-SA"/>
      </w:rPr>
    </w:lvl>
    <w:lvl w:ilvl="3" w:tplc="8760123C">
      <w:numFmt w:val="bullet"/>
      <w:lvlText w:val="•"/>
      <w:lvlJc w:val="left"/>
      <w:pPr>
        <w:ind w:left="1172" w:hanging="360"/>
      </w:pPr>
      <w:rPr>
        <w:rFonts w:hint="default"/>
        <w:lang w:val="en-US" w:eastAsia="en-US" w:bidi="ar-SA"/>
      </w:rPr>
    </w:lvl>
    <w:lvl w:ilvl="4" w:tplc="01FC7236">
      <w:numFmt w:val="bullet"/>
      <w:lvlText w:val="•"/>
      <w:lvlJc w:val="left"/>
      <w:pPr>
        <w:ind w:left="1410" w:hanging="360"/>
      </w:pPr>
      <w:rPr>
        <w:rFonts w:hint="default"/>
        <w:lang w:val="en-US" w:eastAsia="en-US" w:bidi="ar-SA"/>
      </w:rPr>
    </w:lvl>
    <w:lvl w:ilvl="5" w:tplc="F682A03A">
      <w:numFmt w:val="bullet"/>
      <w:lvlText w:val="•"/>
      <w:lvlJc w:val="left"/>
      <w:pPr>
        <w:ind w:left="1648" w:hanging="360"/>
      </w:pPr>
      <w:rPr>
        <w:rFonts w:hint="default"/>
        <w:lang w:val="en-US" w:eastAsia="en-US" w:bidi="ar-SA"/>
      </w:rPr>
    </w:lvl>
    <w:lvl w:ilvl="6" w:tplc="63204FC6">
      <w:numFmt w:val="bullet"/>
      <w:lvlText w:val="•"/>
      <w:lvlJc w:val="left"/>
      <w:pPr>
        <w:ind w:left="1885" w:hanging="360"/>
      </w:pPr>
      <w:rPr>
        <w:rFonts w:hint="default"/>
        <w:lang w:val="en-US" w:eastAsia="en-US" w:bidi="ar-SA"/>
      </w:rPr>
    </w:lvl>
    <w:lvl w:ilvl="7" w:tplc="F04C47E6">
      <w:numFmt w:val="bullet"/>
      <w:lvlText w:val="•"/>
      <w:lvlJc w:val="left"/>
      <w:pPr>
        <w:ind w:left="2123" w:hanging="360"/>
      </w:pPr>
      <w:rPr>
        <w:rFonts w:hint="default"/>
        <w:lang w:val="en-US" w:eastAsia="en-US" w:bidi="ar-SA"/>
      </w:rPr>
    </w:lvl>
    <w:lvl w:ilvl="8" w:tplc="C14AE300">
      <w:numFmt w:val="bullet"/>
      <w:lvlText w:val="•"/>
      <w:lvlJc w:val="left"/>
      <w:pPr>
        <w:ind w:left="2360" w:hanging="360"/>
      </w:pPr>
      <w:rPr>
        <w:rFonts w:hint="default"/>
        <w:lang w:val="en-US" w:eastAsia="en-US" w:bidi="ar-SA"/>
      </w:rPr>
    </w:lvl>
  </w:abstractNum>
  <w:abstractNum w:abstractNumId="166" w15:restartNumberingAfterBreak="0">
    <w:nsid w:val="61570D6B"/>
    <w:multiLevelType w:val="multilevel"/>
    <w:tmpl w:val="6F92BC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7" w15:restartNumberingAfterBreak="0">
    <w:nsid w:val="617E95DE"/>
    <w:multiLevelType w:val="hybridMultilevel"/>
    <w:tmpl w:val="D6BEDB62"/>
    <w:lvl w:ilvl="0" w:tplc="D164A9FC">
      <w:start w:val="1"/>
      <w:numFmt w:val="bullet"/>
      <w:lvlText w:val=""/>
      <w:lvlJc w:val="left"/>
      <w:pPr>
        <w:ind w:left="720" w:hanging="360"/>
      </w:pPr>
      <w:rPr>
        <w:rFonts w:ascii="Symbol" w:hAnsi="Symbol" w:hint="default"/>
      </w:rPr>
    </w:lvl>
    <w:lvl w:ilvl="1" w:tplc="AE42C69A">
      <w:start w:val="1"/>
      <w:numFmt w:val="bullet"/>
      <w:lvlText w:val="o"/>
      <w:lvlJc w:val="left"/>
      <w:pPr>
        <w:ind w:left="1440" w:hanging="360"/>
      </w:pPr>
      <w:rPr>
        <w:rFonts w:ascii="Courier New" w:hAnsi="Courier New" w:hint="default"/>
      </w:rPr>
    </w:lvl>
    <w:lvl w:ilvl="2" w:tplc="7F568402">
      <w:start w:val="1"/>
      <w:numFmt w:val="bullet"/>
      <w:lvlText w:val=""/>
      <w:lvlJc w:val="left"/>
      <w:pPr>
        <w:ind w:left="2160" w:hanging="360"/>
      </w:pPr>
      <w:rPr>
        <w:rFonts w:ascii="Wingdings" w:hAnsi="Wingdings" w:hint="default"/>
      </w:rPr>
    </w:lvl>
    <w:lvl w:ilvl="3" w:tplc="BD480712">
      <w:start w:val="1"/>
      <w:numFmt w:val="bullet"/>
      <w:lvlText w:val=""/>
      <w:lvlJc w:val="left"/>
      <w:pPr>
        <w:ind w:left="2880" w:hanging="360"/>
      </w:pPr>
      <w:rPr>
        <w:rFonts w:ascii="Symbol" w:hAnsi="Symbol" w:hint="default"/>
      </w:rPr>
    </w:lvl>
    <w:lvl w:ilvl="4" w:tplc="B4FA554C">
      <w:start w:val="1"/>
      <w:numFmt w:val="bullet"/>
      <w:lvlText w:val="o"/>
      <w:lvlJc w:val="left"/>
      <w:pPr>
        <w:ind w:left="3600" w:hanging="360"/>
      </w:pPr>
      <w:rPr>
        <w:rFonts w:ascii="Courier New" w:hAnsi="Courier New" w:hint="default"/>
      </w:rPr>
    </w:lvl>
    <w:lvl w:ilvl="5" w:tplc="B07AA75E">
      <w:start w:val="1"/>
      <w:numFmt w:val="bullet"/>
      <w:lvlText w:val=""/>
      <w:lvlJc w:val="left"/>
      <w:pPr>
        <w:ind w:left="4320" w:hanging="360"/>
      </w:pPr>
      <w:rPr>
        <w:rFonts w:ascii="Wingdings" w:hAnsi="Wingdings" w:hint="default"/>
      </w:rPr>
    </w:lvl>
    <w:lvl w:ilvl="6" w:tplc="3CD62860">
      <w:start w:val="1"/>
      <w:numFmt w:val="bullet"/>
      <w:lvlText w:val=""/>
      <w:lvlJc w:val="left"/>
      <w:pPr>
        <w:ind w:left="5040" w:hanging="360"/>
      </w:pPr>
      <w:rPr>
        <w:rFonts w:ascii="Symbol" w:hAnsi="Symbol" w:hint="default"/>
      </w:rPr>
    </w:lvl>
    <w:lvl w:ilvl="7" w:tplc="3ABA6A40">
      <w:start w:val="1"/>
      <w:numFmt w:val="bullet"/>
      <w:lvlText w:val="o"/>
      <w:lvlJc w:val="left"/>
      <w:pPr>
        <w:ind w:left="5760" w:hanging="360"/>
      </w:pPr>
      <w:rPr>
        <w:rFonts w:ascii="Courier New" w:hAnsi="Courier New" w:hint="default"/>
      </w:rPr>
    </w:lvl>
    <w:lvl w:ilvl="8" w:tplc="7E1C84E0">
      <w:start w:val="1"/>
      <w:numFmt w:val="bullet"/>
      <w:lvlText w:val=""/>
      <w:lvlJc w:val="left"/>
      <w:pPr>
        <w:ind w:left="6480" w:hanging="360"/>
      </w:pPr>
      <w:rPr>
        <w:rFonts w:ascii="Wingdings" w:hAnsi="Wingdings" w:hint="default"/>
      </w:rPr>
    </w:lvl>
  </w:abstractNum>
  <w:abstractNum w:abstractNumId="168" w15:restartNumberingAfterBreak="0">
    <w:nsid w:val="61D97D6F"/>
    <w:multiLevelType w:val="hybridMultilevel"/>
    <w:tmpl w:val="C486EDF8"/>
    <w:lvl w:ilvl="0" w:tplc="FFA03114">
      <w:numFmt w:val="bullet"/>
      <w:lvlText w:val="-"/>
      <w:lvlJc w:val="left"/>
      <w:pPr>
        <w:ind w:left="224" w:hanging="116"/>
      </w:pPr>
      <w:rPr>
        <w:rFonts w:ascii="Times New Roman" w:eastAsia="Times New Roman" w:hAnsi="Times New Roman" w:cs="Times New Roman" w:hint="default"/>
        <w:color w:val="0462C1"/>
        <w:w w:val="99"/>
        <w:sz w:val="20"/>
        <w:szCs w:val="20"/>
        <w:u w:val="single" w:color="0462C1"/>
        <w:lang w:val="en-US" w:eastAsia="en-US" w:bidi="ar-SA"/>
      </w:rPr>
    </w:lvl>
    <w:lvl w:ilvl="1" w:tplc="4962C1AE">
      <w:numFmt w:val="bullet"/>
      <w:lvlText w:val="•"/>
      <w:lvlJc w:val="left"/>
      <w:pPr>
        <w:ind w:left="406" w:hanging="116"/>
      </w:pPr>
      <w:rPr>
        <w:rFonts w:hint="default"/>
        <w:lang w:val="en-US" w:eastAsia="en-US" w:bidi="ar-SA"/>
      </w:rPr>
    </w:lvl>
    <w:lvl w:ilvl="2" w:tplc="CE8C7160">
      <w:numFmt w:val="bullet"/>
      <w:lvlText w:val="•"/>
      <w:lvlJc w:val="left"/>
      <w:pPr>
        <w:ind w:left="593" w:hanging="116"/>
      </w:pPr>
      <w:rPr>
        <w:rFonts w:hint="default"/>
        <w:lang w:val="en-US" w:eastAsia="en-US" w:bidi="ar-SA"/>
      </w:rPr>
    </w:lvl>
    <w:lvl w:ilvl="3" w:tplc="DEB41CCC">
      <w:numFmt w:val="bullet"/>
      <w:lvlText w:val="•"/>
      <w:lvlJc w:val="left"/>
      <w:pPr>
        <w:ind w:left="779" w:hanging="116"/>
      </w:pPr>
      <w:rPr>
        <w:rFonts w:hint="default"/>
        <w:lang w:val="en-US" w:eastAsia="en-US" w:bidi="ar-SA"/>
      </w:rPr>
    </w:lvl>
    <w:lvl w:ilvl="4" w:tplc="45484B36">
      <w:numFmt w:val="bullet"/>
      <w:lvlText w:val="•"/>
      <w:lvlJc w:val="left"/>
      <w:pPr>
        <w:ind w:left="966" w:hanging="116"/>
      </w:pPr>
      <w:rPr>
        <w:rFonts w:hint="default"/>
        <w:lang w:val="en-US" w:eastAsia="en-US" w:bidi="ar-SA"/>
      </w:rPr>
    </w:lvl>
    <w:lvl w:ilvl="5" w:tplc="BF04B2E6">
      <w:numFmt w:val="bullet"/>
      <w:lvlText w:val="•"/>
      <w:lvlJc w:val="left"/>
      <w:pPr>
        <w:ind w:left="1152" w:hanging="116"/>
      </w:pPr>
      <w:rPr>
        <w:rFonts w:hint="default"/>
        <w:lang w:val="en-US" w:eastAsia="en-US" w:bidi="ar-SA"/>
      </w:rPr>
    </w:lvl>
    <w:lvl w:ilvl="6" w:tplc="CC1621DC">
      <w:numFmt w:val="bullet"/>
      <w:lvlText w:val="•"/>
      <w:lvlJc w:val="left"/>
      <w:pPr>
        <w:ind w:left="1339" w:hanging="116"/>
      </w:pPr>
      <w:rPr>
        <w:rFonts w:hint="default"/>
        <w:lang w:val="en-US" w:eastAsia="en-US" w:bidi="ar-SA"/>
      </w:rPr>
    </w:lvl>
    <w:lvl w:ilvl="7" w:tplc="5C28ED00">
      <w:numFmt w:val="bullet"/>
      <w:lvlText w:val="•"/>
      <w:lvlJc w:val="left"/>
      <w:pPr>
        <w:ind w:left="1525" w:hanging="116"/>
      </w:pPr>
      <w:rPr>
        <w:rFonts w:hint="default"/>
        <w:lang w:val="en-US" w:eastAsia="en-US" w:bidi="ar-SA"/>
      </w:rPr>
    </w:lvl>
    <w:lvl w:ilvl="8" w:tplc="B7748916">
      <w:numFmt w:val="bullet"/>
      <w:lvlText w:val="•"/>
      <w:lvlJc w:val="left"/>
      <w:pPr>
        <w:ind w:left="1712" w:hanging="116"/>
      </w:pPr>
      <w:rPr>
        <w:rFonts w:hint="default"/>
        <w:lang w:val="en-US" w:eastAsia="en-US" w:bidi="ar-SA"/>
      </w:rPr>
    </w:lvl>
  </w:abstractNum>
  <w:abstractNum w:abstractNumId="169" w15:restartNumberingAfterBreak="0">
    <w:nsid w:val="62D72DD4"/>
    <w:multiLevelType w:val="multilevel"/>
    <w:tmpl w:val="D4E6F9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3016EEE"/>
    <w:multiLevelType w:val="hybridMultilevel"/>
    <w:tmpl w:val="1E12F11A"/>
    <w:lvl w:ilvl="0" w:tplc="ED28BBB2">
      <w:start w:val="2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1" w15:restartNumberingAfterBreak="0">
    <w:nsid w:val="63201BEA"/>
    <w:multiLevelType w:val="hybridMultilevel"/>
    <w:tmpl w:val="1ED07102"/>
    <w:lvl w:ilvl="0" w:tplc="ED28BBB2">
      <w:start w:val="2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2" w15:restartNumberingAfterBreak="0">
    <w:nsid w:val="6340532B"/>
    <w:multiLevelType w:val="hybridMultilevel"/>
    <w:tmpl w:val="BCA000AE"/>
    <w:lvl w:ilvl="0" w:tplc="72FE08A6">
      <w:start w:val="1"/>
      <w:numFmt w:val="decimal"/>
      <w:lvlText w:val="%1."/>
      <w:lvlJc w:val="left"/>
      <w:pPr>
        <w:ind w:left="591" w:hanging="392"/>
      </w:pPr>
      <w:rPr>
        <w:rFonts w:ascii="Times New Roman" w:eastAsia="Times New Roman" w:hAnsi="Times New Roman" w:cs="Times New Roman" w:hint="default"/>
        <w:spacing w:val="0"/>
        <w:w w:val="99"/>
        <w:sz w:val="20"/>
        <w:szCs w:val="20"/>
        <w:lang w:val="en-US" w:eastAsia="en-US" w:bidi="ar-SA"/>
      </w:rPr>
    </w:lvl>
    <w:lvl w:ilvl="1" w:tplc="038EAA54">
      <w:start w:val="1"/>
      <w:numFmt w:val="lowerLetter"/>
      <w:lvlText w:val="(%2)"/>
      <w:lvlJc w:val="left"/>
      <w:pPr>
        <w:ind w:left="920" w:hanging="360"/>
      </w:pPr>
      <w:rPr>
        <w:rFonts w:ascii="Times New Roman" w:eastAsia="Times New Roman" w:hAnsi="Times New Roman" w:cs="Times New Roman" w:hint="default"/>
        <w:w w:val="99"/>
        <w:sz w:val="20"/>
        <w:szCs w:val="20"/>
        <w:lang w:val="en-US" w:eastAsia="en-US" w:bidi="ar-SA"/>
      </w:rPr>
    </w:lvl>
    <w:lvl w:ilvl="2" w:tplc="E0B4F016">
      <w:numFmt w:val="bullet"/>
      <w:lvlText w:val="•"/>
      <w:lvlJc w:val="left"/>
      <w:pPr>
        <w:ind w:left="1426" w:hanging="360"/>
      </w:pPr>
      <w:rPr>
        <w:rFonts w:hint="default"/>
        <w:lang w:val="en-US" w:eastAsia="en-US" w:bidi="ar-SA"/>
      </w:rPr>
    </w:lvl>
    <w:lvl w:ilvl="3" w:tplc="2E8625CE">
      <w:numFmt w:val="bullet"/>
      <w:lvlText w:val="•"/>
      <w:lvlJc w:val="left"/>
      <w:pPr>
        <w:ind w:left="1932" w:hanging="360"/>
      </w:pPr>
      <w:rPr>
        <w:rFonts w:hint="default"/>
        <w:lang w:val="en-US" w:eastAsia="en-US" w:bidi="ar-SA"/>
      </w:rPr>
    </w:lvl>
    <w:lvl w:ilvl="4" w:tplc="C75CA2B0">
      <w:numFmt w:val="bullet"/>
      <w:lvlText w:val="•"/>
      <w:lvlJc w:val="left"/>
      <w:pPr>
        <w:ind w:left="2439" w:hanging="360"/>
      </w:pPr>
      <w:rPr>
        <w:rFonts w:hint="default"/>
        <w:lang w:val="en-US" w:eastAsia="en-US" w:bidi="ar-SA"/>
      </w:rPr>
    </w:lvl>
    <w:lvl w:ilvl="5" w:tplc="D17076FE">
      <w:numFmt w:val="bullet"/>
      <w:lvlText w:val="•"/>
      <w:lvlJc w:val="left"/>
      <w:pPr>
        <w:ind w:left="2945" w:hanging="360"/>
      </w:pPr>
      <w:rPr>
        <w:rFonts w:hint="default"/>
        <w:lang w:val="en-US" w:eastAsia="en-US" w:bidi="ar-SA"/>
      </w:rPr>
    </w:lvl>
    <w:lvl w:ilvl="6" w:tplc="8DAEF244">
      <w:numFmt w:val="bullet"/>
      <w:lvlText w:val="•"/>
      <w:lvlJc w:val="left"/>
      <w:pPr>
        <w:ind w:left="3451" w:hanging="360"/>
      </w:pPr>
      <w:rPr>
        <w:rFonts w:hint="default"/>
        <w:lang w:val="en-US" w:eastAsia="en-US" w:bidi="ar-SA"/>
      </w:rPr>
    </w:lvl>
    <w:lvl w:ilvl="7" w:tplc="9FB444F8">
      <w:numFmt w:val="bullet"/>
      <w:lvlText w:val="•"/>
      <w:lvlJc w:val="left"/>
      <w:pPr>
        <w:ind w:left="3958" w:hanging="360"/>
      </w:pPr>
      <w:rPr>
        <w:rFonts w:hint="default"/>
        <w:lang w:val="en-US" w:eastAsia="en-US" w:bidi="ar-SA"/>
      </w:rPr>
    </w:lvl>
    <w:lvl w:ilvl="8" w:tplc="2BA81582">
      <w:numFmt w:val="bullet"/>
      <w:lvlText w:val="•"/>
      <w:lvlJc w:val="left"/>
      <w:pPr>
        <w:ind w:left="4464" w:hanging="360"/>
      </w:pPr>
      <w:rPr>
        <w:rFonts w:hint="default"/>
        <w:lang w:val="en-US" w:eastAsia="en-US" w:bidi="ar-SA"/>
      </w:rPr>
    </w:lvl>
  </w:abstractNum>
  <w:abstractNum w:abstractNumId="173" w15:restartNumberingAfterBreak="0">
    <w:nsid w:val="634F5358"/>
    <w:multiLevelType w:val="hybridMultilevel"/>
    <w:tmpl w:val="FFFFFFFF"/>
    <w:lvl w:ilvl="0" w:tplc="83FE076C">
      <w:start w:val="1"/>
      <w:numFmt w:val="bullet"/>
      <w:lvlText w:val=""/>
      <w:lvlJc w:val="left"/>
      <w:pPr>
        <w:ind w:left="720" w:hanging="360"/>
      </w:pPr>
      <w:rPr>
        <w:rFonts w:ascii="Symbol" w:hAnsi="Symbol" w:hint="default"/>
      </w:rPr>
    </w:lvl>
    <w:lvl w:ilvl="1" w:tplc="054C978C">
      <w:start w:val="1"/>
      <w:numFmt w:val="bullet"/>
      <w:lvlText w:val=""/>
      <w:lvlJc w:val="left"/>
      <w:pPr>
        <w:ind w:left="1440" w:hanging="360"/>
      </w:pPr>
      <w:rPr>
        <w:rFonts w:ascii="Symbol" w:hAnsi="Symbol" w:hint="default"/>
      </w:rPr>
    </w:lvl>
    <w:lvl w:ilvl="2" w:tplc="62F0FA9E">
      <w:start w:val="1"/>
      <w:numFmt w:val="bullet"/>
      <w:lvlText w:val=""/>
      <w:lvlJc w:val="left"/>
      <w:pPr>
        <w:ind w:left="2160" w:hanging="360"/>
      </w:pPr>
      <w:rPr>
        <w:rFonts w:ascii="Wingdings" w:hAnsi="Wingdings" w:hint="default"/>
      </w:rPr>
    </w:lvl>
    <w:lvl w:ilvl="3" w:tplc="0F0A5D3C">
      <w:start w:val="1"/>
      <w:numFmt w:val="bullet"/>
      <w:lvlText w:val=""/>
      <w:lvlJc w:val="left"/>
      <w:pPr>
        <w:ind w:left="2880" w:hanging="360"/>
      </w:pPr>
      <w:rPr>
        <w:rFonts w:ascii="Symbol" w:hAnsi="Symbol" w:hint="default"/>
      </w:rPr>
    </w:lvl>
    <w:lvl w:ilvl="4" w:tplc="3A402F74">
      <w:start w:val="1"/>
      <w:numFmt w:val="bullet"/>
      <w:lvlText w:val="o"/>
      <w:lvlJc w:val="left"/>
      <w:pPr>
        <w:ind w:left="3600" w:hanging="360"/>
      </w:pPr>
      <w:rPr>
        <w:rFonts w:ascii="Courier New" w:hAnsi="Courier New" w:hint="default"/>
      </w:rPr>
    </w:lvl>
    <w:lvl w:ilvl="5" w:tplc="E08846D6">
      <w:start w:val="1"/>
      <w:numFmt w:val="bullet"/>
      <w:lvlText w:val=""/>
      <w:lvlJc w:val="left"/>
      <w:pPr>
        <w:ind w:left="4320" w:hanging="360"/>
      </w:pPr>
      <w:rPr>
        <w:rFonts w:ascii="Wingdings" w:hAnsi="Wingdings" w:hint="default"/>
      </w:rPr>
    </w:lvl>
    <w:lvl w:ilvl="6" w:tplc="EAB6FE20">
      <w:start w:val="1"/>
      <w:numFmt w:val="bullet"/>
      <w:lvlText w:val=""/>
      <w:lvlJc w:val="left"/>
      <w:pPr>
        <w:ind w:left="5040" w:hanging="360"/>
      </w:pPr>
      <w:rPr>
        <w:rFonts w:ascii="Symbol" w:hAnsi="Symbol" w:hint="default"/>
      </w:rPr>
    </w:lvl>
    <w:lvl w:ilvl="7" w:tplc="B50E72AA">
      <w:start w:val="1"/>
      <w:numFmt w:val="bullet"/>
      <w:lvlText w:val="o"/>
      <w:lvlJc w:val="left"/>
      <w:pPr>
        <w:ind w:left="5760" w:hanging="360"/>
      </w:pPr>
      <w:rPr>
        <w:rFonts w:ascii="Courier New" w:hAnsi="Courier New" w:hint="default"/>
      </w:rPr>
    </w:lvl>
    <w:lvl w:ilvl="8" w:tplc="58B8E96E">
      <w:start w:val="1"/>
      <w:numFmt w:val="bullet"/>
      <w:lvlText w:val=""/>
      <w:lvlJc w:val="left"/>
      <w:pPr>
        <w:ind w:left="6480" w:hanging="360"/>
      </w:pPr>
      <w:rPr>
        <w:rFonts w:ascii="Wingdings" w:hAnsi="Wingdings" w:hint="default"/>
      </w:rPr>
    </w:lvl>
  </w:abstractNum>
  <w:abstractNum w:abstractNumId="174" w15:restartNumberingAfterBreak="0">
    <w:nsid w:val="64A5606D"/>
    <w:multiLevelType w:val="hybridMultilevel"/>
    <w:tmpl w:val="273EE5AE"/>
    <w:lvl w:ilvl="0" w:tplc="C54C8E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65F001EC"/>
    <w:multiLevelType w:val="hybridMultilevel"/>
    <w:tmpl w:val="453435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6" w15:restartNumberingAfterBreak="0">
    <w:nsid w:val="668EC7D7"/>
    <w:multiLevelType w:val="hybridMultilevel"/>
    <w:tmpl w:val="FFFFFFFF"/>
    <w:lvl w:ilvl="0" w:tplc="2D6AB91E">
      <w:start w:val="1"/>
      <w:numFmt w:val="bullet"/>
      <w:lvlText w:val=""/>
      <w:lvlJc w:val="left"/>
      <w:pPr>
        <w:ind w:left="720" w:hanging="360"/>
      </w:pPr>
      <w:rPr>
        <w:rFonts w:ascii="Symbol" w:hAnsi="Symbol" w:hint="default"/>
      </w:rPr>
    </w:lvl>
    <w:lvl w:ilvl="1" w:tplc="60DAFD0E">
      <w:start w:val="1"/>
      <w:numFmt w:val="bullet"/>
      <w:lvlText w:val="o"/>
      <w:lvlJc w:val="left"/>
      <w:pPr>
        <w:ind w:left="1440" w:hanging="360"/>
      </w:pPr>
      <w:rPr>
        <w:rFonts w:ascii="Courier New" w:hAnsi="Courier New" w:hint="default"/>
      </w:rPr>
    </w:lvl>
    <w:lvl w:ilvl="2" w:tplc="BABC4D9C">
      <w:start w:val="1"/>
      <w:numFmt w:val="bullet"/>
      <w:lvlText w:val=""/>
      <w:lvlJc w:val="left"/>
      <w:pPr>
        <w:ind w:left="2160" w:hanging="360"/>
      </w:pPr>
      <w:rPr>
        <w:rFonts w:ascii="Wingdings" w:hAnsi="Wingdings" w:hint="default"/>
      </w:rPr>
    </w:lvl>
    <w:lvl w:ilvl="3" w:tplc="DA881956">
      <w:start w:val="1"/>
      <w:numFmt w:val="bullet"/>
      <w:lvlText w:val=""/>
      <w:lvlJc w:val="left"/>
      <w:pPr>
        <w:ind w:left="2880" w:hanging="360"/>
      </w:pPr>
      <w:rPr>
        <w:rFonts w:ascii="Symbol" w:hAnsi="Symbol" w:hint="default"/>
      </w:rPr>
    </w:lvl>
    <w:lvl w:ilvl="4" w:tplc="5FA8489C">
      <w:start w:val="1"/>
      <w:numFmt w:val="bullet"/>
      <w:lvlText w:val="o"/>
      <w:lvlJc w:val="left"/>
      <w:pPr>
        <w:ind w:left="3600" w:hanging="360"/>
      </w:pPr>
      <w:rPr>
        <w:rFonts w:ascii="Courier New" w:hAnsi="Courier New" w:hint="default"/>
      </w:rPr>
    </w:lvl>
    <w:lvl w:ilvl="5" w:tplc="DE9CCABE">
      <w:start w:val="1"/>
      <w:numFmt w:val="bullet"/>
      <w:lvlText w:val=""/>
      <w:lvlJc w:val="left"/>
      <w:pPr>
        <w:ind w:left="4320" w:hanging="360"/>
      </w:pPr>
      <w:rPr>
        <w:rFonts w:ascii="Wingdings" w:hAnsi="Wingdings" w:hint="default"/>
      </w:rPr>
    </w:lvl>
    <w:lvl w:ilvl="6" w:tplc="701E9044">
      <w:start w:val="1"/>
      <w:numFmt w:val="bullet"/>
      <w:lvlText w:val=""/>
      <w:lvlJc w:val="left"/>
      <w:pPr>
        <w:ind w:left="5040" w:hanging="360"/>
      </w:pPr>
      <w:rPr>
        <w:rFonts w:ascii="Symbol" w:hAnsi="Symbol" w:hint="default"/>
      </w:rPr>
    </w:lvl>
    <w:lvl w:ilvl="7" w:tplc="17A8E442">
      <w:start w:val="1"/>
      <w:numFmt w:val="bullet"/>
      <w:lvlText w:val="o"/>
      <w:lvlJc w:val="left"/>
      <w:pPr>
        <w:ind w:left="5760" w:hanging="360"/>
      </w:pPr>
      <w:rPr>
        <w:rFonts w:ascii="Courier New" w:hAnsi="Courier New" w:hint="default"/>
      </w:rPr>
    </w:lvl>
    <w:lvl w:ilvl="8" w:tplc="54F822CE">
      <w:start w:val="1"/>
      <w:numFmt w:val="bullet"/>
      <w:lvlText w:val=""/>
      <w:lvlJc w:val="left"/>
      <w:pPr>
        <w:ind w:left="6480" w:hanging="360"/>
      </w:pPr>
      <w:rPr>
        <w:rFonts w:ascii="Wingdings" w:hAnsi="Wingdings" w:hint="default"/>
      </w:rPr>
    </w:lvl>
  </w:abstractNum>
  <w:abstractNum w:abstractNumId="177" w15:restartNumberingAfterBreak="0">
    <w:nsid w:val="6857313E"/>
    <w:multiLevelType w:val="hybridMultilevel"/>
    <w:tmpl w:val="97BA6970"/>
    <w:lvl w:ilvl="0" w:tplc="7486CD9A">
      <w:start w:val="1"/>
      <w:numFmt w:val="decimal"/>
      <w:lvlText w:val="%1."/>
      <w:lvlJc w:val="left"/>
      <w:pPr>
        <w:ind w:left="469" w:hanging="360"/>
      </w:pPr>
      <w:rPr>
        <w:rFonts w:ascii="Times New Roman" w:eastAsia="Times New Roman" w:hAnsi="Times New Roman" w:cs="Times New Roman" w:hint="default"/>
        <w:spacing w:val="0"/>
        <w:w w:val="99"/>
        <w:sz w:val="20"/>
        <w:szCs w:val="20"/>
        <w:lang w:val="en-US" w:eastAsia="en-US" w:bidi="ar-SA"/>
      </w:rPr>
    </w:lvl>
    <w:lvl w:ilvl="1" w:tplc="13261DFA">
      <w:start w:val="1"/>
      <w:numFmt w:val="lowerLetter"/>
      <w:lvlText w:val="(%2)"/>
      <w:lvlJc w:val="left"/>
      <w:pPr>
        <w:ind w:left="897" w:hanging="360"/>
      </w:pPr>
      <w:rPr>
        <w:rFonts w:ascii="Times New Roman" w:eastAsia="Times New Roman" w:hAnsi="Times New Roman" w:cs="Times New Roman" w:hint="default"/>
        <w:w w:val="99"/>
        <w:sz w:val="20"/>
        <w:szCs w:val="20"/>
        <w:lang w:val="en-US" w:eastAsia="en-US" w:bidi="ar-SA"/>
      </w:rPr>
    </w:lvl>
    <w:lvl w:ilvl="2" w:tplc="7F1E01A2">
      <w:numFmt w:val="bullet"/>
      <w:lvlText w:val="•"/>
      <w:lvlJc w:val="left"/>
      <w:pPr>
        <w:ind w:left="1398" w:hanging="360"/>
      </w:pPr>
      <w:rPr>
        <w:rFonts w:hint="default"/>
        <w:lang w:val="en-US" w:eastAsia="en-US" w:bidi="ar-SA"/>
      </w:rPr>
    </w:lvl>
    <w:lvl w:ilvl="3" w:tplc="F2F8B174">
      <w:numFmt w:val="bullet"/>
      <w:lvlText w:val="•"/>
      <w:lvlJc w:val="left"/>
      <w:pPr>
        <w:ind w:left="1897" w:hanging="360"/>
      </w:pPr>
      <w:rPr>
        <w:rFonts w:hint="default"/>
        <w:lang w:val="en-US" w:eastAsia="en-US" w:bidi="ar-SA"/>
      </w:rPr>
    </w:lvl>
    <w:lvl w:ilvl="4" w:tplc="2A8465FC">
      <w:numFmt w:val="bullet"/>
      <w:lvlText w:val="•"/>
      <w:lvlJc w:val="left"/>
      <w:pPr>
        <w:ind w:left="2396" w:hanging="360"/>
      </w:pPr>
      <w:rPr>
        <w:rFonts w:hint="default"/>
        <w:lang w:val="en-US" w:eastAsia="en-US" w:bidi="ar-SA"/>
      </w:rPr>
    </w:lvl>
    <w:lvl w:ilvl="5" w:tplc="FFBA2184">
      <w:numFmt w:val="bullet"/>
      <w:lvlText w:val="•"/>
      <w:lvlJc w:val="left"/>
      <w:pPr>
        <w:ind w:left="2894" w:hanging="360"/>
      </w:pPr>
      <w:rPr>
        <w:rFonts w:hint="default"/>
        <w:lang w:val="en-US" w:eastAsia="en-US" w:bidi="ar-SA"/>
      </w:rPr>
    </w:lvl>
    <w:lvl w:ilvl="6" w:tplc="2E18BD0E">
      <w:numFmt w:val="bullet"/>
      <w:lvlText w:val="•"/>
      <w:lvlJc w:val="left"/>
      <w:pPr>
        <w:ind w:left="3393" w:hanging="360"/>
      </w:pPr>
      <w:rPr>
        <w:rFonts w:hint="default"/>
        <w:lang w:val="en-US" w:eastAsia="en-US" w:bidi="ar-SA"/>
      </w:rPr>
    </w:lvl>
    <w:lvl w:ilvl="7" w:tplc="6526EB2C">
      <w:numFmt w:val="bullet"/>
      <w:lvlText w:val="•"/>
      <w:lvlJc w:val="left"/>
      <w:pPr>
        <w:ind w:left="3892" w:hanging="360"/>
      </w:pPr>
      <w:rPr>
        <w:rFonts w:hint="default"/>
        <w:lang w:val="en-US" w:eastAsia="en-US" w:bidi="ar-SA"/>
      </w:rPr>
    </w:lvl>
    <w:lvl w:ilvl="8" w:tplc="7E0E8352">
      <w:numFmt w:val="bullet"/>
      <w:lvlText w:val="•"/>
      <w:lvlJc w:val="left"/>
      <w:pPr>
        <w:ind w:left="4390" w:hanging="360"/>
      </w:pPr>
      <w:rPr>
        <w:rFonts w:hint="default"/>
        <w:lang w:val="en-US" w:eastAsia="en-US" w:bidi="ar-SA"/>
      </w:rPr>
    </w:lvl>
  </w:abstractNum>
  <w:abstractNum w:abstractNumId="178" w15:restartNumberingAfterBreak="0">
    <w:nsid w:val="688C143F"/>
    <w:multiLevelType w:val="hybridMultilevel"/>
    <w:tmpl w:val="CEDE9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9" w15:restartNumberingAfterBreak="0">
    <w:nsid w:val="68B12422"/>
    <w:multiLevelType w:val="hybridMultilevel"/>
    <w:tmpl w:val="6F9C12A0"/>
    <w:lvl w:ilvl="0" w:tplc="DA5CB0E6">
      <w:numFmt w:val="bullet"/>
      <w:lvlText w:val="-"/>
      <w:lvlJc w:val="left"/>
      <w:pPr>
        <w:ind w:left="720" w:hanging="360"/>
      </w:pPr>
      <w:rPr>
        <w:rFonts w:ascii="Times New Roman" w:eastAsiaTheme="minorHAnsi"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0" w15:restartNumberingAfterBreak="0">
    <w:nsid w:val="6912EC96"/>
    <w:multiLevelType w:val="hybridMultilevel"/>
    <w:tmpl w:val="FFFFFFFF"/>
    <w:lvl w:ilvl="0" w:tplc="3AE01334">
      <w:start w:val="1"/>
      <w:numFmt w:val="bullet"/>
      <w:lvlText w:val="-"/>
      <w:lvlJc w:val="left"/>
      <w:pPr>
        <w:ind w:left="720" w:hanging="360"/>
      </w:pPr>
      <w:rPr>
        <w:rFonts w:ascii="Calibri" w:hAnsi="Calibri" w:hint="default"/>
      </w:rPr>
    </w:lvl>
    <w:lvl w:ilvl="1" w:tplc="36E4520E">
      <w:start w:val="1"/>
      <w:numFmt w:val="bullet"/>
      <w:lvlText w:val="o"/>
      <w:lvlJc w:val="left"/>
      <w:pPr>
        <w:ind w:left="1440" w:hanging="360"/>
      </w:pPr>
      <w:rPr>
        <w:rFonts w:ascii="Courier New" w:hAnsi="Courier New" w:hint="default"/>
      </w:rPr>
    </w:lvl>
    <w:lvl w:ilvl="2" w:tplc="4C4A48BA">
      <w:start w:val="1"/>
      <w:numFmt w:val="bullet"/>
      <w:lvlText w:val=""/>
      <w:lvlJc w:val="left"/>
      <w:pPr>
        <w:ind w:left="2160" w:hanging="360"/>
      </w:pPr>
      <w:rPr>
        <w:rFonts w:ascii="Wingdings" w:hAnsi="Wingdings" w:hint="default"/>
      </w:rPr>
    </w:lvl>
    <w:lvl w:ilvl="3" w:tplc="9B8AAA6A">
      <w:start w:val="1"/>
      <w:numFmt w:val="bullet"/>
      <w:lvlText w:val=""/>
      <w:lvlJc w:val="left"/>
      <w:pPr>
        <w:ind w:left="2880" w:hanging="360"/>
      </w:pPr>
      <w:rPr>
        <w:rFonts w:ascii="Symbol" w:hAnsi="Symbol" w:hint="default"/>
      </w:rPr>
    </w:lvl>
    <w:lvl w:ilvl="4" w:tplc="42066AE4">
      <w:start w:val="1"/>
      <w:numFmt w:val="bullet"/>
      <w:lvlText w:val="o"/>
      <w:lvlJc w:val="left"/>
      <w:pPr>
        <w:ind w:left="3600" w:hanging="360"/>
      </w:pPr>
      <w:rPr>
        <w:rFonts w:ascii="Courier New" w:hAnsi="Courier New" w:hint="default"/>
      </w:rPr>
    </w:lvl>
    <w:lvl w:ilvl="5" w:tplc="195C39AA">
      <w:start w:val="1"/>
      <w:numFmt w:val="bullet"/>
      <w:lvlText w:val=""/>
      <w:lvlJc w:val="left"/>
      <w:pPr>
        <w:ind w:left="4320" w:hanging="360"/>
      </w:pPr>
      <w:rPr>
        <w:rFonts w:ascii="Wingdings" w:hAnsi="Wingdings" w:hint="default"/>
      </w:rPr>
    </w:lvl>
    <w:lvl w:ilvl="6" w:tplc="8C980FF6">
      <w:start w:val="1"/>
      <w:numFmt w:val="bullet"/>
      <w:lvlText w:val=""/>
      <w:lvlJc w:val="left"/>
      <w:pPr>
        <w:ind w:left="5040" w:hanging="360"/>
      </w:pPr>
      <w:rPr>
        <w:rFonts w:ascii="Symbol" w:hAnsi="Symbol" w:hint="default"/>
      </w:rPr>
    </w:lvl>
    <w:lvl w:ilvl="7" w:tplc="AAA2A3AE">
      <w:start w:val="1"/>
      <w:numFmt w:val="bullet"/>
      <w:lvlText w:val="o"/>
      <w:lvlJc w:val="left"/>
      <w:pPr>
        <w:ind w:left="5760" w:hanging="360"/>
      </w:pPr>
      <w:rPr>
        <w:rFonts w:ascii="Courier New" w:hAnsi="Courier New" w:hint="default"/>
      </w:rPr>
    </w:lvl>
    <w:lvl w:ilvl="8" w:tplc="CA4EC08C">
      <w:start w:val="1"/>
      <w:numFmt w:val="bullet"/>
      <w:lvlText w:val=""/>
      <w:lvlJc w:val="left"/>
      <w:pPr>
        <w:ind w:left="6480" w:hanging="360"/>
      </w:pPr>
      <w:rPr>
        <w:rFonts w:ascii="Wingdings" w:hAnsi="Wingdings" w:hint="default"/>
      </w:rPr>
    </w:lvl>
  </w:abstractNum>
  <w:abstractNum w:abstractNumId="181" w15:restartNumberingAfterBreak="0">
    <w:nsid w:val="6915ECA0"/>
    <w:multiLevelType w:val="hybridMultilevel"/>
    <w:tmpl w:val="D64A5C60"/>
    <w:lvl w:ilvl="0" w:tplc="5F1E7E48">
      <w:start w:val="1"/>
      <w:numFmt w:val="bullet"/>
      <w:lvlText w:val=""/>
      <w:lvlJc w:val="left"/>
      <w:pPr>
        <w:ind w:left="720" w:hanging="360"/>
      </w:pPr>
      <w:rPr>
        <w:rFonts w:ascii="Symbol" w:hAnsi="Symbol" w:hint="default"/>
      </w:rPr>
    </w:lvl>
    <w:lvl w:ilvl="1" w:tplc="FFA02AF2">
      <w:start w:val="1"/>
      <w:numFmt w:val="bullet"/>
      <w:lvlText w:val="o"/>
      <w:lvlJc w:val="left"/>
      <w:pPr>
        <w:ind w:left="1440" w:hanging="360"/>
      </w:pPr>
      <w:rPr>
        <w:rFonts w:ascii="Courier New" w:hAnsi="Courier New" w:hint="default"/>
      </w:rPr>
    </w:lvl>
    <w:lvl w:ilvl="2" w:tplc="EE54BFC0">
      <w:start w:val="1"/>
      <w:numFmt w:val="bullet"/>
      <w:lvlText w:val=""/>
      <w:lvlJc w:val="left"/>
      <w:pPr>
        <w:ind w:left="2160" w:hanging="360"/>
      </w:pPr>
      <w:rPr>
        <w:rFonts w:ascii="Wingdings" w:hAnsi="Wingdings" w:hint="default"/>
      </w:rPr>
    </w:lvl>
    <w:lvl w:ilvl="3" w:tplc="A2FACEF2">
      <w:start w:val="1"/>
      <w:numFmt w:val="bullet"/>
      <w:lvlText w:val=""/>
      <w:lvlJc w:val="left"/>
      <w:pPr>
        <w:ind w:left="2880" w:hanging="360"/>
      </w:pPr>
      <w:rPr>
        <w:rFonts w:ascii="Symbol" w:hAnsi="Symbol" w:hint="default"/>
      </w:rPr>
    </w:lvl>
    <w:lvl w:ilvl="4" w:tplc="B4C6944E">
      <w:start w:val="1"/>
      <w:numFmt w:val="bullet"/>
      <w:lvlText w:val="o"/>
      <w:lvlJc w:val="left"/>
      <w:pPr>
        <w:ind w:left="3600" w:hanging="360"/>
      </w:pPr>
      <w:rPr>
        <w:rFonts w:ascii="Courier New" w:hAnsi="Courier New" w:hint="default"/>
      </w:rPr>
    </w:lvl>
    <w:lvl w:ilvl="5" w:tplc="18F01F36">
      <w:start w:val="1"/>
      <w:numFmt w:val="bullet"/>
      <w:lvlText w:val=""/>
      <w:lvlJc w:val="left"/>
      <w:pPr>
        <w:ind w:left="4320" w:hanging="360"/>
      </w:pPr>
      <w:rPr>
        <w:rFonts w:ascii="Wingdings" w:hAnsi="Wingdings" w:hint="default"/>
      </w:rPr>
    </w:lvl>
    <w:lvl w:ilvl="6" w:tplc="AA30A702">
      <w:start w:val="1"/>
      <w:numFmt w:val="bullet"/>
      <w:lvlText w:val=""/>
      <w:lvlJc w:val="left"/>
      <w:pPr>
        <w:ind w:left="5040" w:hanging="360"/>
      </w:pPr>
      <w:rPr>
        <w:rFonts w:ascii="Symbol" w:hAnsi="Symbol" w:hint="default"/>
      </w:rPr>
    </w:lvl>
    <w:lvl w:ilvl="7" w:tplc="9138824C">
      <w:start w:val="1"/>
      <w:numFmt w:val="bullet"/>
      <w:lvlText w:val="o"/>
      <w:lvlJc w:val="left"/>
      <w:pPr>
        <w:ind w:left="5760" w:hanging="360"/>
      </w:pPr>
      <w:rPr>
        <w:rFonts w:ascii="Courier New" w:hAnsi="Courier New" w:hint="default"/>
      </w:rPr>
    </w:lvl>
    <w:lvl w:ilvl="8" w:tplc="2DF8CF08">
      <w:start w:val="1"/>
      <w:numFmt w:val="bullet"/>
      <w:lvlText w:val=""/>
      <w:lvlJc w:val="left"/>
      <w:pPr>
        <w:ind w:left="6480" w:hanging="360"/>
      </w:pPr>
      <w:rPr>
        <w:rFonts w:ascii="Wingdings" w:hAnsi="Wingdings" w:hint="default"/>
      </w:rPr>
    </w:lvl>
  </w:abstractNum>
  <w:abstractNum w:abstractNumId="182" w15:restartNumberingAfterBreak="0">
    <w:nsid w:val="69966756"/>
    <w:multiLevelType w:val="hybridMultilevel"/>
    <w:tmpl w:val="4A669E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3" w15:restartNumberingAfterBreak="0">
    <w:nsid w:val="6A324F1F"/>
    <w:multiLevelType w:val="hybridMultilevel"/>
    <w:tmpl w:val="29A89AEA"/>
    <w:lvl w:ilvl="0" w:tplc="61989B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ABB4593"/>
    <w:multiLevelType w:val="hybridMultilevel"/>
    <w:tmpl w:val="C900ABB0"/>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5" w15:restartNumberingAfterBreak="0">
    <w:nsid w:val="6B0E4A20"/>
    <w:multiLevelType w:val="hybridMultilevel"/>
    <w:tmpl w:val="F9B6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6B2D5A49"/>
    <w:multiLevelType w:val="hybridMultilevel"/>
    <w:tmpl w:val="EA1AA27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7" w15:restartNumberingAfterBreak="0">
    <w:nsid w:val="6C6A5DAB"/>
    <w:multiLevelType w:val="hybridMultilevel"/>
    <w:tmpl w:val="83B88EE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8" w15:restartNumberingAfterBreak="0">
    <w:nsid w:val="6CA8451E"/>
    <w:multiLevelType w:val="hybridMultilevel"/>
    <w:tmpl w:val="1220CD52"/>
    <w:lvl w:ilvl="0" w:tplc="53A0B6EC">
      <w:start w:val="3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9" w15:restartNumberingAfterBreak="0">
    <w:nsid w:val="6D645C13"/>
    <w:multiLevelType w:val="hybridMultilevel"/>
    <w:tmpl w:val="11B80C20"/>
    <w:lvl w:ilvl="0" w:tplc="ED28BBB2">
      <w:start w:val="2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0" w15:restartNumberingAfterBreak="0">
    <w:nsid w:val="6DD79E9A"/>
    <w:multiLevelType w:val="hybridMultilevel"/>
    <w:tmpl w:val="FFFFFFFF"/>
    <w:lvl w:ilvl="0" w:tplc="89F4FBEA">
      <w:start w:val="1"/>
      <w:numFmt w:val="bullet"/>
      <w:lvlText w:val=""/>
      <w:lvlJc w:val="left"/>
      <w:pPr>
        <w:ind w:left="720" w:hanging="360"/>
      </w:pPr>
      <w:rPr>
        <w:rFonts w:ascii="Symbol" w:hAnsi="Symbol" w:hint="default"/>
      </w:rPr>
    </w:lvl>
    <w:lvl w:ilvl="1" w:tplc="C2DADB76">
      <w:start w:val="1"/>
      <w:numFmt w:val="bullet"/>
      <w:lvlText w:val="o"/>
      <w:lvlJc w:val="left"/>
      <w:pPr>
        <w:ind w:left="1440" w:hanging="360"/>
      </w:pPr>
      <w:rPr>
        <w:rFonts w:ascii="Courier New" w:hAnsi="Courier New" w:hint="default"/>
      </w:rPr>
    </w:lvl>
    <w:lvl w:ilvl="2" w:tplc="C2D4CC3C">
      <w:start w:val="1"/>
      <w:numFmt w:val="bullet"/>
      <w:lvlText w:val=""/>
      <w:lvlJc w:val="left"/>
      <w:pPr>
        <w:ind w:left="2160" w:hanging="360"/>
      </w:pPr>
      <w:rPr>
        <w:rFonts w:ascii="Wingdings" w:hAnsi="Wingdings" w:hint="default"/>
      </w:rPr>
    </w:lvl>
    <w:lvl w:ilvl="3" w:tplc="B608BFE4">
      <w:start w:val="1"/>
      <w:numFmt w:val="bullet"/>
      <w:lvlText w:val=""/>
      <w:lvlJc w:val="left"/>
      <w:pPr>
        <w:ind w:left="2880" w:hanging="360"/>
      </w:pPr>
      <w:rPr>
        <w:rFonts w:ascii="Symbol" w:hAnsi="Symbol" w:hint="default"/>
      </w:rPr>
    </w:lvl>
    <w:lvl w:ilvl="4" w:tplc="124A072E">
      <w:start w:val="1"/>
      <w:numFmt w:val="bullet"/>
      <w:lvlText w:val="o"/>
      <w:lvlJc w:val="left"/>
      <w:pPr>
        <w:ind w:left="3600" w:hanging="360"/>
      </w:pPr>
      <w:rPr>
        <w:rFonts w:ascii="Courier New" w:hAnsi="Courier New" w:hint="default"/>
      </w:rPr>
    </w:lvl>
    <w:lvl w:ilvl="5" w:tplc="B2E6B022">
      <w:start w:val="1"/>
      <w:numFmt w:val="bullet"/>
      <w:lvlText w:val=""/>
      <w:lvlJc w:val="left"/>
      <w:pPr>
        <w:ind w:left="4320" w:hanging="360"/>
      </w:pPr>
      <w:rPr>
        <w:rFonts w:ascii="Wingdings" w:hAnsi="Wingdings" w:hint="default"/>
      </w:rPr>
    </w:lvl>
    <w:lvl w:ilvl="6" w:tplc="749027D8">
      <w:start w:val="1"/>
      <w:numFmt w:val="bullet"/>
      <w:lvlText w:val=""/>
      <w:lvlJc w:val="left"/>
      <w:pPr>
        <w:ind w:left="5040" w:hanging="360"/>
      </w:pPr>
      <w:rPr>
        <w:rFonts w:ascii="Symbol" w:hAnsi="Symbol" w:hint="default"/>
      </w:rPr>
    </w:lvl>
    <w:lvl w:ilvl="7" w:tplc="08A27294">
      <w:start w:val="1"/>
      <w:numFmt w:val="bullet"/>
      <w:lvlText w:val="o"/>
      <w:lvlJc w:val="left"/>
      <w:pPr>
        <w:ind w:left="5760" w:hanging="360"/>
      </w:pPr>
      <w:rPr>
        <w:rFonts w:ascii="Courier New" w:hAnsi="Courier New" w:hint="default"/>
      </w:rPr>
    </w:lvl>
    <w:lvl w:ilvl="8" w:tplc="3B0A5FE4">
      <w:start w:val="1"/>
      <w:numFmt w:val="bullet"/>
      <w:lvlText w:val=""/>
      <w:lvlJc w:val="left"/>
      <w:pPr>
        <w:ind w:left="6480" w:hanging="360"/>
      </w:pPr>
      <w:rPr>
        <w:rFonts w:ascii="Wingdings" w:hAnsi="Wingdings" w:hint="default"/>
      </w:rPr>
    </w:lvl>
  </w:abstractNum>
  <w:abstractNum w:abstractNumId="191" w15:restartNumberingAfterBreak="0">
    <w:nsid w:val="6E0A47DC"/>
    <w:multiLevelType w:val="hybridMultilevel"/>
    <w:tmpl w:val="AA0066B4"/>
    <w:lvl w:ilvl="0" w:tplc="6EF071C2">
      <w:start w:val="1"/>
      <w:numFmt w:val="decimal"/>
      <w:lvlText w:val="%1."/>
      <w:lvlJc w:val="left"/>
      <w:pPr>
        <w:ind w:left="469" w:hanging="360"/>
      </w:pPr>
      <w:rPr>
        <w:rFonts w:hint="default"/>
      </w:rPr>
    </w:lvl>
    <w:lvl w:ilvl="1" w:tplc="18090019" w:tentative="1">
      <w:start w:val="1"/>
      <w:numFmt w:val="lowerLetter"/>
      <w:lvlText w:val="%2."/>
      <w:lvlJc w:val="left"/>
      <w:pPr>
        <w:ind w:left="1189" w:hanging="360"/>
      </w:pPr>
    </w:lvl>
    <w:lvl w:ilvl="2" w:tplc="1809001B" w:tentative="1">
      <w:start w:val="1"/>
      <w:numFmt w:val="lowerRoman"/>
      <w:lvlText w:val="%3."/>
      <w:lvlJc w:val="right"/>
      <w:pPr>
        <w:ind w:left="1909" w:hanging="180"/>
      </w:pPr>
    </w:lvl>
    <w:lvl w:ilvl="3" w:tplc="1809000F" w:tentative="1">
      <w:start w:val="1"/>
      <w:numFmt w:val="decimal"/>
      <w:lvlText w:val="%4."/>
      <w:lvlJc w:val="left"/>
      <w:pPr>
        <w:ind w:left="2629" w:hanging="360"/>
      </w:pPr>
    </w:lvl>
    <w:lvl w:ilvl="4" w:tplc="18090019" w:tentative="1">
      <w:start w:val="1"/>
      <w:numFmt w:val="lowerLetter"/>
      <w:lvlText w:val="%5."/>
      <w:lvlJc w:val="left"/>
      <w:pPr>
        <w:ind w:left="3349" w:hanging="360"/>
      </w:pPr>
    </w:lvl>
    <w:lvl w:ilvl="5" w:tplc="1809001B" w:tentative="1">
      <w:start w:val="1"/>
      <w:numFmt w:val="lowerRoman"/>
      <w:lvlText w:val="%6."/>
      <w:lvlJc w:val="right"/>
      <w:pPr>
        <w:ind w:left="4069" w:hanging="180"/>
      </w:pPr>
    </w:lvl>
    <w:lvl w:ilvl="6" w:tplc="1809000F" w:tentative="1">
      <w:start w:val="1"/>
      <w:numFmt w:val="decimal"/>
      <w:lvlText w:val="%7."/>
      <w:lvlJc w:val="left"/>
      <w:pPr>
        <w:ind w:left="4789" w:hanging="360"/>
      </w:pPr>
    </w:lvl>
    <w:lvl w:ilvl="7" w:tplc="18090019" w:tentative="1">
      <w:start w:val="1"/>
      <w:numFmt w:val="lowerLetter"/>
      <w:lvlText w:val="%8."/>
      <w:lvlJc w:val="left"/>
      <w:pPr>
        <w:ind w:left="5509" w:hanging="360"/>
      </w:pPr>
    </w:lvl>
    <w:lvl w:ilvl="8" w:tplc="1809001B" w:tentative="1">
      <w:start w:val="1"/>
      <w:numFmt w:val="lowerRoman"/>
      <w:lvlText w:val="%9."/>
      <w:lvlJc w:val="right"/>
      <w:pPr>
        <w:ind w:left="6229" w:hanging="180"/>
      </w:pPr>
    </w:lvl>
  </w:abstractNum>
  <w:abstractNum w:abstractNumId="192" w15:restartNumberingAfterBreak="0">
    <w:nsid w:val="6E1C7AFE"/>
    <w:multiLevelType w:val="hybridMultilevel"/>
    <w:tmpl w:val="749CEB4C"/>
    <w:lvl w:ilvl="0" w:tplc="59A0D3EA">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3" w15:restartNumberingAfterBreak="0">
    <w:nsid w:val="6EFA2DEE"/>
    <w:multiLevelType w:val="hybridMultilevel"/>
    <w:tmpl w:val="967EFDB2"/>
    <w:lvl w:ilvl="0" w:tplc="FFFFFFFF">
      <w:start w:val="1"/>
      <w:numFmt w:val="bullet"/>
      <w:lvlText w:val=""/>
      <w:lvlJc w:val="left"/>
      <w:pPr>
        <w:ind w:left="1140" w:hanging="360"/>
      </w:pPr>
      <w:rPr>
        <w:rFonts w:ascii="Symbol" w:hAnsi="Symbol" w:hint="default"/>
      </w:rPr>
    </w:lvl>
    <w:lvl w:ilvl="1" w:tplc="18090001">
      <w:start w:val="1"/>
      <w:numFmt w:val="bullet"/>
      <w:lvlText w:val=""/>
      <w:lvlJc w:val="left"/>
      <w:pPr>
        <w:ind w:left="1860" w:hanging="360"/>
      </w:pPr>
      <w:rPr>
        <w:rFonts w:ascii="Symbol" w:hAnsi="Symbol"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194" w15:restartNumberingAfterBreak="0">
    <w:nsid w:val="6F1132FF"/>
    <w:multiLevelType w:val="hybridMultilevel"/>
    <w:tmpl w:val="45508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0135FEE"/>
    <w:multiLevelType w:val="hybridMultilevel"/>
    <w:tmpl w:val="C04E14F4"/>
    <w:lvl w:ilvl="0" w:tplc="4ADE86C2">
      <w:numFmt w:val="bullet"/>
      <w:lvlText w:val=""/>
      <w:lvlJc w:val="left"/>
      <w:pPr>
        <w:ind w:left="469" w:hanging="360"/>
      </w:pPr>
      <w:rPr>
        <w:rFonts w:ascii="Symbol" w:eastAsia="Symbol" w:hAnsi="Symbol" w:cs="Symbol" w:hint="default"/>
        <w:w w:val="99"/>
        <w:sz w:val="20"/>
        <w:szCs w:val="20"/>
        <w:lang w:val="en-US" w:eastAsia="en-US" w:bidi="ar-SA"/>
      </w:rPr>
    </w:lvl>
    <w:lvl w:ilvl="1" w:tplc="5B08DBD4">
      <w:numFmt w:val="bullet"/>
      <w:lvlText w:val="•"/>
      <w:lvlJc w:val="left"/>
      <w:pPr>
        <w:ind w:left="697" w:hanging="360"/>
      </w:pPr>
      <w:rPr>
        <w:lang w:val="en-US" w:eastAsia="en-US" w:bidi="ar-SA"/>
      </w:rPr>
    </w:lvl>
    <w:lvl w:ilvl="2" w:tplc="EB804A3C">
      <w:numFmt w:val="bullet"/>
      <w:lvlText w:val="•"/>
      <w:lvlJc w:val="left"/>
      <w:pPr>
        <w:ind w:left="935" w:hanging="360"/>
      </w:pPr>
      <w:rPr>
        <w:lang w:val="en-US" w:eastAsia="en-US" w:bidi="ar-SA"/>
      </w:rPr>
    </w:lvl>
    <w:lvl w:ilvl="3" w:tplc="40509FCA">
      <w:numFmt w:val="bullet"/>
      <w:lvlText w:val="•"/>
      <w:lvlJc w:val="left"/>
      <w:pPr>
        <w:ind w:left="1172" w:hanging="360"/>
      </w:pPr>
      <w:rPr>
        <w:lang w:val="en-US" w:eastAsia="en-US" w:bidi="ar-SA"/>
      </w:rPr>
    </w:lvl>
    <w:lvl w:ilvl="4" w:tplc="72AEE75A">
      <w:numFmt w:val="bullet"/>
      <w:lvlText w:val="•"/>
      <w:lvlJc w:val="left"/>
      <w:pPr>
        <w:ind w:left="1410" w:hanging="360"/>
      </w:pPr>
      <w:rPr>
        <w:lang w:val="en-US" w:eastAsia="en-US" w:bidi="ar-SA"/>
      </w:rPr>
    </w:lvl>
    <w:lvl w:ilvl="5" w:tplc="02DE5052">
      <w:numFmt w:val="bullet"/>
      <w:lvlText w:val="•"/>
      <w:lvlJc w:val="left"/>
      <w:pPr>
        <w:ind w:left="1648" w:hanging="360"/>
      </w:pPr>
      <w:rPr>
        <w:lang w:val="en-US" w:eastAsia="en-US" w:bidi="ar-SA"/>
      </w:rPr>
    </w:lvl>
    <w:lvl w:ilvl="6" w:tplc="CC9AE932">
      <w:numFmt w:val="bullet"/>
      <w:lvlText w:val="•"/>
      <w:lvlJc w:val="left"/>
      <w:pPr>
        <w:ind w:left="1885" w:hanging="360"/>
      </w:pPr>
      <w:rPr>
        <w:lang w:val="en-US" w:eastAsia="en-US" w:bidi="ar-SA"/>
      </w:rPr>
    </w:lvl>
    <w:lvl w:ilvl="7" w:tplc="AF68A816">
      <w:numFmt w:val="bullet"/>
      <w:lvlText w:val="•"/>
      <w:lvlJc w:val="left"/>
      <w:pPr>
        <w:ind w:left="2123" w:hanging="360"/>
      </w:pPr>
      <w:rPr>
        <w:lang w:val="en-US" w:eastAsia="en-US" w:bidi="ar-SA"/>
      </w:rPr>
    </w:lvl>
    <w:lvl w:ilvl="8" w:tplc="FE70D80A">
      <w:numFmt w:val="bullet"/>
      <w:lvlText w:val="•"/>
      <w:lvlJc w:val="left"/>
      <w:pPr>
        <w:ind w:left="2360" w:hanging="360"/>
      </w:pPr>
      <w:rPr>
        <w:lang w:val="en-US" w:eastAsia="en-US" w:bidi="ar-SA"/>
      </w:rPr>
    </w:lvl>
  </w:abstractNum>
  <w:abstractNum w:abstractNumId="196" w15:restartNumberingAfterBreak="0">
    <w:nsid w:val="71F64F28"/>
    <w:multiLevelType w:val="hybridMultilevel"/>
    <w:tmpl w:val="232C9A56"/>
    <w:lvl w:ilvl="0" w:tplc="50867F2A">
      <w:start w:val="1"/>
      <w:numFmt w:val="bullet"/>
      <w:lvlText w:val="-"/>
      <w:lvlJc w:val="left"/>
      <w:pPr>
        <w:ind w:left="720" w:hanging="360"/>
      </w:pPr>
      <w:rPr>
        <w:rFonts w:ascii="Calibri" w:hAnsi="Calibri" w:hint="default"/>
      </w:rPr>
    </w:lvl>
    <w:lvl w:ilvl="1" w:tplc="0C600362">
      <w:start w:val="1"/>
      <w:numFmt w:val="bullet"/>
      <w:lvlText w:val="o"/>
      <w:lvlJc w:val="left"/>
      <w:pPr>
        <w:ind w:left="1440" w:hanging="360"/>
      </w:pPr>
      <w:rPr>
        <w:rFonts w:ascii="Courier New" w:hAnsi="Courier New" w:hint="default"/>
      </w:rPr>
    </w:lvl>
    <w:lvl w:ilvl="2" w:tplc="1A66312C">
      <w:start w:val="1"/>
      <w:numFmt w:val="bullet"/>
      <w:lvlText w:val=""/>
      <w:lvlJc w:val="left"/>
      <w:pPr>
        <w:ind w:left="2160" w:hanging="360"/>
      </w:pPr>
      <w:rPr>
        <w:rFonts w:ascii="Wingdings" w:hAnsi="Wingdings" w:hint="default"/>
      </w:rPr>
    </w:lvl>
    <w:lvl w:ilvl="3" w:tplc="BAE21DA0">
      <w:start w:val="1"/>
      <w:numFmt w:val="bullet"/>
      <w:lvlText w:val=""/>
      <w:lvlJc w:val="left"/>
      <w:pPr>
        <w:ind w:left="2880" w:hanging="360"/>
      </w:pPr>
      <w:rPr>
        <w:rFonts w:ascii="Symbol" w:hAnsi="Symbol" w:hint="default"/>
      </w:rPr>
    </w:lvl>
    <w:lvl w:ilvl="4" w:tplc="FD94CF22">
      <w:start w:val="1"/>
      <w:numFmt w:val="bullet"/>
      <w:lvlText w:val="o"/>
      <w:lvlJc w:val="left"/>
      <w:pPr>
        <w:ind w:left="3600" w:hanging="360"/>
      </w:pPr>
      <w:rPr>
        <w:rFonts w:ascii="Courier New" w:hAnsi="Courier New" w:hint="default"/>
      </w:rPr>
    </w:lvl>
    <w:lvl w:ilvl="5" w:tplc="FA3A249A">
      <w:start w:val="1"/>
      <w:numFmt w:val="bullet"/>
      <w:lvlText w:val=""/>
      <w:lvlJc w:val="left"/>
      <w:pPr>
        <w:ind w:left="4320" w:hanging="360"/>
      </w:pPr>
      <w:rPr>
        <w:rFonts w:ascii="Wingdings" w:hAnsi="Wingdings" w:hint="default"/>
      </w:rPr>
    </w:lvl>
    <w:lvl w:ilvl="6" w:tplc="73E0CE8A">
      <w:start w:val="1"/>
      <w:numFmt w:val="bullet"/>
      <w:lvlText w:val=""/>
      <w:lvlJc w:val="left"/>
      <w:pPr>
        <w:ind w:left="5040" w:hanging="360"/>
      </w:pPr>
      <w:rPr>
        <w:rFonts w:ascii="Symbol" w:hAnsi="Symbol" w:hint="default"/>
      </w:rPr>
    </w:lvl>
    <w:lvl w:ilvl="7" w:tplc="3FC61748">
      <w:start w:val="1"/>
      <w:numFmt w:val="bullet"/>
      <w:lvlText w:val="o"/>
      <w:lvlJc w:val="left"/>
      <w:pPr>
        <w:ind w:left="5760" w:hanging="360"/>
      </w:pPr>
      <w:rPr>
        <w:rFonts w:ascii="Courier New" w:hAnsi="Courier New" w:hint="default"/>
      </w:rPr>
    </w:lvl>
    <w:lvl w:ilvl="8" w:tplc="ADB2FD52">
      <w:start w:val="1"/>
      <w:numFmt w:val="bullet"/>
      <w:lvlText w:val=""/>
      <w:lvlJc w:val="left"/>
      <w:pPr>
        <w:ind w:left="6480" w:hanging="360"/>
      </w:pPr>
      <w:rPr>
        <w:rFonts w:ascii="Wingdings" w:hAnsi="Wingdings" w:hint="default"/>
      </w:rPr>
    </w:lvl>
  </w:abstractNum>
  <w:abstractNum w:abstractNumId="197" w15:restartNumberingAfterBreak="0">
    <w:nsid w:val="7246403A"/>
    <w:multiLevelType w:val="hybridMultilevel"/>
    <w:tmpl w:val="7050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2AFFC8E"/>
    <w:multiLevelType w:val="hybridMultilevel"/>
    <w:tmpl w:val="FFFFFFFF"/>
    <w:lvl w:ilvl="0" w:tplc="26B6A1FC">
      <w:start w:val="1"/>
      <w:numFmt w:val="bullet"/>
      <w:lvlText w:val=""/>
      <w:lvlJc w:val="left"/>
      <w:pPr>
        <w:ind w:left="720" w:hanging="360"/>
      </w:pPr>
      <w:rPr>
        <w:rFonts w:ascii="Symbol" w:hAnsi="Symbol" w:hint="default"/>
      </w:rPr>
    </w:lvl>
    <w:lvl w:ilvl="1" w:tplc="AC0CF7AE">
      <w:start w:val="1"/>
      <w:numFmt w:val="bullet"/>
      <w:lvlText w:val="o"/>
      <w:lvlJc w:val="left"/>
      <w:pPr>
        <w:ind w:left="1440" w:hanging="360"/>
      </w:pPr>
      <w:rPr>
        <w:rFonts w:ascii="Courier New" w:hAnsi="Courier New" w:hint="default"/>
      </w:rPr>
    </w:lvl>
    <w:lvl w:ilvl="2" w:tplc="6A92C0F6">
      <w:start w:val="1"/>
      <w:numFmt w:val="bullet"/>
      <w:lvlText w:val=""/>
      <w:lvlJc w:val="left"/>
      <w:pPr>
        <w:ind w:left="2160" w:hanging="360"/>
      </w:pPr>
      <w:rPr>
        <w:rFonts w:ascii="Wingdings" w:hAnsi="Wingdings" w:hint="default"/>
      </w:rPr>
    </w:lvl>
    <w:lvl w:ilvl="3" w:tplc="498E53E0">
      <w:start w:val="1"/>
      <w:numFmt w:val="bullet"/>
      <w:lvlText w:val=""/>
      <w:lvlJc w:val="left"/>
      <w:pPr>
        <w:ind w:left="2880" w:hanging="360"/>
      </w:pPr>
      <w:rPr>
        <w:rFonts w:ascii="Symbol" w:hAnsi="Symbol" w:hint="default"/>
      </w:rPr>
    </w:lvl>
    <w:lvl w:ilvl="4" w:tplc="143EE8AC">
      <w:start w:val="1"/>
      <w:numFmt w:val="bullet"/>
      <w:lvlText w:val="o"/>
      <w:lvlJc w:val="left"/>
      <w:pPr>
        <w:ind w:left="3600" w:hanging="360"/>
      </w:pPr>
      <w:rPr>
        <w:rFonts w:ascii="Courier New" w:hAnsi="Courier New" w:hint="default"/>
      </w:rPr>
    </w:lvl>
    <w:lvl w:ilvl="5" w:tplc="A1D60020">
      <w:start w:val="1"/>
      <w:numFmt w:val="bullet"/>
      <w:lvlText w:val=""/>
      <w:lvlJc w:val="left"/>
      <w:pPr>
        <w:ind w:left="4320" w:hanging="360"/>
      </w:pPr>
      <w:rPr>
        <w:rFonts w:ascii="Wingdings" w:hAnsi="Wingdings" w:hint="default"/>
      </w:rPr>
    </w:lvl>
    <w:lvl w:ilvl="6" w:tplc="2250B59C">
      <w:start w:val="1"/>
      <w:numFmt w:val="bullet"/>
      <w:lvlText w:val=""/>
      <w:lvlJc w:val="left"/>
      <w:pPr>
        <w:ind w:left="5040" w:hanging="360"/>
      </w:pPr>
      <w:rPr>
        <w:rFonts w:ascii="Symbol" w:hAnsi="Symbol" w:hint="default"/>
      </w:rPr>
    </w:lvl>
    <w:lvl w:ilvl="7" w:tplc="DA4C3EF4">
      <w:start w:val="1"/>
      <w:numFmt w:val="bullet"/>
      <w:lvlText w:val="o"/>
      <w:lvlJc w:val="left"/>
      <w:pPr>
        <w:ind w:left="5760" w:hanging="360"/>
      </w:pPr>
      <w:rPr>
        <w:rFonts w:ascii="Courier New" w:hAnsi="Courier New" w:hint="default"/>
      </w:rPr>
    </w:lvl>
    <w:lvl w:ilvl="8" w:tplc="7F66D730">
      <w:start w:val="1"/>
      <w:numFmt w:val="bullet"/>
      <w:lvlText w:val=""/>
      <w:lvlJc w:val="left"/>
      <w:pPr>
        <w:ind w:left="6480" w:hanging="360"/>
      </w:pPr>
      <w:rPr>
        <w:rFonts w:ascii="Wingdings" w:hAnsi="Wingdings" w:hint="default"/>
      </w:rPr>
    </w:lvl>
  </w:abstractNum>
  <w:abstractNum w:abstractNumId="199" w15:restartNumberingAfterBreak="0">
    <w:nsid w:val="72FA3BD2"/>
    <w:multiLevelType w:val="hybridMultilevel"/>
    <w:tmpl w:val="3D3485DC"/>
    <w:lvl w:ilvl="0" w:tplc="C9707D60">
      <w:numFmt w:val="bullet"/>
      <w:lvlText w:val=""/>
      <w:lvlJc w:val="left"/>
      <w:pPr>
        <w:ind w:left="469" w:hanging="360"/>
      </w:pPr>
      <w:rPr>
        <w:rFonts w:ascii="Symbol" w:eastAsia="Symbol" w:hAnsi="Symbol" w:cs="Symbol" w:hint="default"/>
        <w:w w:val="99"/>
        <w:sz w:val="20"/>
        <w:szCs w:val="20"/>
        <w:lang w:val="en-US" w:eastAsia="en-US" w:bidi="ar-SA"/>
      </w:rPr>
    </w:lvl>
    <w:lvl w:ilvl="1" w:tplc="2A0C64C8">
      <w:numFmt w:val="bullet"/>
      <w:lvlText w:val="•"/>
      <w:lvlJc w:val="left"/>
      <w:pPr>
        <w:ind w:left="697" w:hanging="360"/>
      </w:pPr>
      <w:rPr>
        <w:rFonts w:hint="default"/>
        <w:lang w:val="en-US" w:eastAsia="en-US" w:bidi="ar-SA"/>
      </w:rPr>
    </w:lvl>
    <w:lvl w:ilvl="2" w:tplc="BCBCFA6A">
      <w:numFmt w:val="bullet"/>
      <w:lvlText w:val="•"/>
      <w:lvlJc w:val="left"/>
      <w:pPr>
        <w:ind w:left="935" w:hanging="360"/>
      </w:pPr>
      <w:rPr>
        <w:rFonts w:hint="default"/>
        <w:lang w:val="en-US" w:eastAsia="en-US" w:bidi="ar-SA"/>
      </w:rPr>
    </w:lvl>
    <w:lvl w:ilvl="3" w:tplc="60DE9F44">
      <w:numFmt w:val="bullet"/>
      <w:lvlText w:val="•"/>
      <w:lvlJc w:val="left"/>
      <w:pPr>
        <w:ind w:left="1172" w:hanging="360"/>
      </w:pPr>
      <w:rPr>
        <w:rFonts w:hint="default"/>
        <w:lang w:val="en-US" w:eastAsia="en-US" w:bidi="ar-SA"/>
      </w:rPr>
    </w:lvl>
    <w:lvl w:ilvl="4" w:tplc="5E068BDC">
      <w:numFmt w:val="bullet"/>
      <w:lvlText w:val="•"/>
      <w:lvlJc w:val="left"/>
      <w:pPr>
        <w:ind w:left="1410" w:hanging="360"/>
      </w:pPr>
      <w:rPr>
        <w:rFonts w:hint="default"/>
        <w:lang w:val="en-US" w:eastAsia="en-US" w:bidi="ar-SA"/>
      </w:rPr>
    </w:lvl>
    <w:lvl w:ilvl="5" w:tplc="2264C9B2">
      <w:numFmt w:val="bullet"/>
      <w:lvlText w:val="•"/>
      <w:lvlJc w:val="left"/>
      <w:pPr>
        <w:ind w:left="1648" w:hanging="360"/>
      </w:pPr>
      <w:rPr>
        <w:rFonts w:hint="default"/>
        <w:lang w:val="en-US" w:eastAsia="en-US" w:bidi="ar-SA"/>
      </w:rPr>
    </w:lvl>
    <w:lvl w:ilvl="6" w:tplc="59742AA0">
      <w:numFmt w:val="bullet"/>
      <w:lvlText w:val="•"/>
      <w:lvlJc w:val="left"/>
      <w:pPr>
        <w:ind w:left="1885" w:hanging="360"/>
      </w:pPr>
      <w:rPr>
        <w:rFonts w:hint="default"/>
        <w:lang w:val="en-US" w:eastAsia="en-US" w:bidi="ar-SA"/>
      </w:rPr>
    </w:lvl>
    <w:lvl w:ilvl="7" w:tplc="7F821AD2">
      <w:numFmt w:val="bullet"/>
      <w:lvlText w:val="•"/>
      <w:lvlJc w:val="left"/>
      <w:pPr>
        <w:ind w:left="2123" w:hanging="360"/>
      </w:pPr>
      <w:rPr>
        <w:rFonts w:hint="default"/>
        <w:lang w:val="en-US" w:eastAsia="en-US" w:bidi="ar-SA"/>
      </w:rPr>
    </w:lvl>
    <w:lvl w:ilvl="8" w:tplc="30802894">
      <w:numFmt w:val="bullet"/>
      <w:lvlText w:val="•"/>
      <w:lvlJc w:val="left"/>
      <w:pPr>
        <w:ind w:left="2360" w:hanging="360"/>
      </w:pPr>
      <w:rPr>
        <w:rFonts w:hint="default"/>
        <w:lang w:val="en-US" w:eastAsia="en-US" w:bidi="ar-SA"/>
      </w:rPr>
    </w:lvl>
  </w:abstractNum>
  <w:abstractNum w:abstractNumId="200" w15:restartNumberingAfterBreak="0">
    <w:nsid w:val="73CF2C74"/>
    <w:multiLevelType w:val="hybridMultilevel"/>
    <w:tmpl w:val="350C9A2E"/>
    <w:lvl w:ilvl="0" w:tplc="0409001B">
      <w:start w:val="1"/>
      <w:numFmt w:val="lowerRoman"/>
      <w:lvlText w:val="%1."/>
      <w:lvlJc w:val="righ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1" w15:restartNumberingAfterBreak="0">
    <w:nsid w:val="76480573"/>
    <w:multiLevelType w:val="hybridMultilevel"/>
    <w:tmpl w:val="908025D2"/>
    <w:lvl w:ilvl="0" w:tplc="49F46AE8">
      <w:numFmt w:val="bullet"/>
      <w:lvlText w:val=""/>
      <w:lvlJc w:val="left"/>
      <w:pPr>
        <w:ind w:left="1272" w:hanging="360"/>
      </w:pPr>
      <w:rPr>
        <w:rFonts w:ascii="Symbol" w:eastAsia="Symbol" w:hAnsi="Symbol" w:cs="Symbol" w:hint="default"/>
        <w:w w:val="99"/>
        <w:sz w:val="20"/>
        <w:szCs w:val="20"/>
        <w:lang w:val="en-US" w:eastAsia="en-US" w:bidi="ar-SA"/>
      </w:rPr>
    </w:lvl>
    <w:lvl w:ilvl="1" w:tplc="B142B7DC">
      <w:numFmt w:val="bullet"/>
      <w:lvlText w:val="•"/>
      <w:lvlJc w:val="left"/>
      <w:pPr>
        <w:ind w:left="1558" w:hanging="360"/>
      </w:pPr>
      <w:rPr>
        <w:rFonts w:hint="default"/>
        <w:lang w:val="en-US" w:eastAsia="en-US" w:bidi="ar-SA"/>
      </w:rPr>
    </w:lvl>
    <w:lvl w:ilvl="2" w:tplc="F672191A">
      <w:numFmt w:val="bullet"/>
      <w:lvlText w:val="•"/>
      <w:lvlJc w:val="left"/>
      <w:pPr>
        <w:ind w:left="1837" w:hanging="360"/>
      </w:pPr>
      <w:rPr>
        <w:rFonts w:hint="default"/>
        <w:lang w:val="en-US" w:eastAsia="en-US" w:bidi="ar-SA"/>
      </w:rPr>
    </w:lvl>
    <w:lvl w:ilvl="3" w:tplc="7C6CA278">
      <w:numFmt w:val="bullet"/>
      <w:lvlText w:val="•"/>
      <w:lvlJc w:val="left"/>
      <w:pPr>
        <w:ind w:left="2116" w:hanging="360"/>
      </w:pPr>
      <w:rPr>
        <w:rFonts w:hint="default"/>
        <w:lang w:val="en-US" w:eastAsia="en-US" w:bidi="ar-SA"/>
      </w:rPr>
    </w:lvl>
    <w:lvl w:ilvl="4" w:tplc="3CE0AE16">
      <w:numFmt w:val="bullet"/>
      <w:lvlText w:val="•"/>
      <w:lvlJc w:val="left"/>
      <w:pPr>
        <w:ind w:left="2394" w:hanging="360"/>
      </w:pPr>
      <w:rPr>
        <w:rFonts w:hint="default"/>
        <w:lang w:val="en-US" w:eastAsia="en-US" w:bidi="ar-SA"/>
      </w:rPr>
    </w:lvl>
    <w:lvl w:ilvl="5" w:tplc="34A86952">
      <w:numFmt w:val="bullet"/>
      <w:lvlText w:val="•"/>
      <w:lvlJc w:val="left"/>
      <w:pPr>
        <w:ind w:left="2673" w:hanging="360"/>
      </w:pPr>
      <w:rPr>
        <w:rFonts w:hint="default"/>
        <w:lang w:val="en-US" w:eastAsia="en-US" w:bidi="ar-SA"/>
      </w:rPr>
    </w:lvl>
    <w:lvl w:ilvl="6" w:tplc="F74E355E">
      <w:numFmt w:val="bullet"/>
      <w:lvlText w:val="•"/>
      <w:lvlJc w:val="left"/>
      <w:pPr>
        <w:ind w:left="2952" w:hanging="360"/>
      </w:pPr>
      <w:rPr>
        <w:rFonts w:hint="default"/>
        <w:lang w:val="en-US" w:eastAsia="en-US" w:bidi="ar-SA"/>
      </w:rPr>
    </w:lvl>
    <w:lvl w:ilvl="7" w:tplc="DAC415C4">
      <w:numFmt w:val="bullet"/>
      <w:lvlText w:val="•"/>
      <w:lvlJc w:val="left"/>
      <w:pPr>
        <w:ind w:left="3230" w:hanging="360"/>
      </w:pPr>
      <w:rPr>
        <w:rFonts w:hint="default"/>
        <w:lang w:val="en-US" w:eastAsia="en-US" w:bidi="ar-SA"/>
      </w:rPr>
    </w:lvl>
    <w:lvl w:ilvl="8" w:tplc="5E5ECBB6">
      <w:numFmt w:val="bullet"/>
      <w:lvlText w:val="•"/>
      <w:lvlJc w:val="left"/>
      <w:pPr>
        <w:ind w:left="3509" w:hanging="360"/>
      </w:pPr>
      <w:rPr>
        <w:rFonts w:hint="default"/>
        <w:lang w:val="en-US" w:eastAsia="en-US" w:bidi="ar-SA"/>
      </w:rPr>
    </w:lvl>
  </w:abstractNum>
  <w:abstractNum w:abstractNumId="202" w15:restartNumberingAfterBreak="0">
    <w:nsid w:val="77D91CFA"/>
    <w:multiLevelType w:val="hybridMultilevel"/>
    <w:tmpl w:val="946EDD08"/>
    <w:lvl w:ilvl="0" w:tplc="18090001">
      <w:start w:val="1"/>
      <w:numFmt w:val="bullet"/>
      <w:lvlText w:val=""/>
      <w:lvlJc w:val="left"/>
      <w:pPr>
        <w:ind w:left="829" w:hanging="360"/>
      </w:pPr>
      <w:rPr>
        <w:rFonts w:ascii="Symbol" w:hAnsi="Symbol" w:hint="default"/>
      </w:rPr>
    </w:lvl>
    <w:lvl w:ilvl="1" w:tplc="18090003" w:tentative="1">
      <w:start w:val="1"/>
      <w:numFmt w:val="bullet"/>
      <w:lvlText w:val="o"/>
      <w:lvlJc w:val="left"/>
      <w:pPr>
        <w:ind w:left="1549" w:hanging="360"/>
      </w:pPr>
      <w:rPr>
        <w:rFonts w:ascii="Courier New" w:hAnsi="Courier New" w:cs="Courier New" w:hint="default"/>
      </w:rPr>
    </w:lvl>
    <w:lvl w:ilvl="2" w:tplc="18090005" w:tentative="1">
      <w:start w:val="1"/>
      <w:numFmt w:val="bullet"/>
      <w:lvlText w:val=""/>
      <w:lvlJc w:val="left"/>
      <w:pPr>
        <w:ind w:left="2269" w:hanging="360"/>
      </w:pPr>
      <w:rPr>
        <w:rFonts w:ascii="Wingdings" w:hAnsi="Wingdings" w:hint="default"/>
      </w:rPr>
    </w:lvl>
    <w:lvl w:ilvl="3" w:tplc="18090001" w:tentative="1">
      <w:start w:val="1"/>
      <w:numFmt w:val="bullet"/>
      <w:lvlText w:val=""/>
      <w:lvlJc w:val="left"/>
      <w:pPr>
        <w:ind w:left="2989" w:hanging="360"/>
      </w:pPr>
      <w:rPr>
        <w:rFonts w:ascii="Symbol" w:hAnsi="Symbol" w:hint="default"/>
      </w:rPr>
    </w:lvl>
    <w:lvl w:ilvl="4" w:tplc="18090003" w:tentative="1">
      <w:start w:val="1"/>
      <w:numFmt w:val="bullet"/>
      <w:lvlText w:val="o"/>
      <w:lvlJc w:val="left"/>
      <w:pPr>
        <w:ind w:left="3709" w:hanging="360"/>
      </w:pPr>
      <w:rPr>
        <w:rFonts w:ascii="Courier New" w:hAnsi="Courier New" w:cs="Courier New" w:hint="default"/>
      </w:rPr>
    </w:lvl>
    <w:lvl w:ilvl="5" w:tplc="18090005" w:tentative="1">
      <w:start w:val="1"/>
      <w:numFmt w:val="bullet"/>
      <w:lvlText w:val=""/>
      <w:lvlJc w:val="left"/>
      <w:pPr>
        <w:ind w:left="4429" w:hanging="360"/>
      </w:pPr>
      <w:rPr>
        <w:rFonts w:ascii="Wingdings" w:hAnsi="Wingdings" w:hint="default"/>
      </w:rPr>
    </w:lvl>
    <w:lvl w:ilvl="6" w:tplc="18090001" w:tentative="1">
      <w:start w:val="1"/>
      <w:numFmt w:val="bullet"/>
      <w:lvlText w:val=""/>
      <w:lvlJc w:val="left"/>
      <w:pPr>
        <w:ind w:left="5149" w:hanging="360"/>
      </w:pPr>
      <w:rPr>
        <w:rFonts w:ascii="Symbol" w:hAnsi="Symbol" w:hint="default"/>
      </w:rPr>
    </w:lvl>
    <w:lvl w:ilvl="7" w:tplc="18090003" w:tentative="1">
      <w:start w:val="1"/>
      <w:numFmt w:val="bullet"/>
      <w:lvlText w:val="o"/>
      <w:lvlJc w:val="left"/>
      <w:pPr>
        <w:ind w:left="5869" w:hanging="360"/>
      </w:pPr>
      <w:rPr>
        <w:rFonts w:ascii="Courier New" w:hAnsi="Courier New" w:cs="Courier New" w:hint="default"/>
      </w:rPr>
    </w:lvl>
    <w:lvl w:ilvl="8" w:tplc="18090005" w:tentative="1">
      <w:start w:val="1"/>
      <w:numFmt w:val="bullet"/>
      <w:lvlText w:val=""/>
      <w:lvlJc w:val="left"/>
      <w:pPr>
        <w:ind w:left="6589" w:hanging="360"/>
      </w:pPr>
      <w:rPr>
        <w:rFonts w:ascii="Wingdings" w:hAnsi="Wingdings" w:hint="default"/>
      </w:rPr>
    </w:lvl>
  </w:abstractNum>
  <w:abstractNum w:abstractNumId="203" w15:restartNumberingAfterBreak="0">
    <w:nsid w:val="77F2610D"/>
    <w:multiLevelType w:val="hybridMultilevel"/>
    <w:tmpl w:val="04F6CFE2"/>
    <w:lvl w:ilvl="0" w:tplc="BF3AACEC">
      <w:numFmt w:val="bullet"/>
      <w:lvlText w:val=""/>
      <w:lvlJc w:val="left"/>
      <w:pPr>
        <w:ind w:left="471" w:hanging="360"/>
      </w:pPr>
      <w:rPr>
        <w:rFonts w:ascii="Symbol" w:eastAsia="Symbol" w:hAnsi="Symbol" w:cs="Symbol" w:hint="default"/>
        <w:w w:val="99"/>
        <w:sz w:val="20"/>
        <w:szCs w:val="20"/>
        <w:lang w:val="en-US" w:eastAsia="en-US" w:bidi="ar-SA"/>
      </w:rPr>
    </w:lvl>
    <w:lvl w:ilvl="1" w:tplc="4A8AFCCE">
      <w:numFmt w:val="bullet"/>
      <w:lvlText w:val="•"/>
      <w:lvlJc w:val="left"/>
      <w:pPr>
        <w:ind w:left="970" w:hanging="360"/>
      </w:pPr>
      <w:rPr>
        <w:rFonts w:hint="default"/>
        <w:lang w:val="en-US" w:eastAsia="en-US" w:bidi="ar-SA"/>
      </w:rPr>
    </w:lvl>
    <w:lvl w:ilvl="2" w:tplc="3144837E">
      <w:numFmt w:val="bullet"/>
      <w:lvlText w:val="•"/>
      <w:lvlJc w:val="left"/>
      <w:pPr>
        <w:ind w:left="1461" w:hanging="360"/>
      </w:pPr>
      <w:rPr>
        <w:rFonts w:hint="default"/>
        <w:lang w:val="en-US" w:eastAsia="en-US" w:bidi="ar-SA"/>
      </w:rPr>
    </w:lvl>
    <w:lvl w:ilvl="3" w:tplc="07B06AE4">
      <w:numFmt w:val="bullet"/>
      <w:lvlText w:val="•"/>
      <w:lvlJc w:val="left"/>
      <w:pPr>
        <w:ind w:left="1951" w:hanging="360"/>
      </w:pPr>
      <w:rPr>
        <w:rFonts w:hint="default"/>
        <w:lang w:val="en-US" w:eastAsia="en-US" w:bidi="ar-SA"/>
      </w:rPr>
    </w:lvl>
    <w:lvl w:ilvl="4" w:tplc="2CB6948C">
      <w:numFmt w:val="bullet"/>
      <w:lvlText w:val="•"/>
      <w:lvlJc w:val="left"/>
      <w:pPr>
        <w:ind w:left="2442" w:hanging="360"/>
      </w:pPr>
      <w:rPr>
        <w:rFonts w:hint="default"/>
        <w:lang w:val="en-US" w:eastAsia="en-US" w:bidi="ar-SA"/>
      </w:rPr>
    </w:lvl>
    <w:lvl w:ilvl="5" w:tplc="6BEEE432">
      <w:numFmt w:val="bullet"/>
      <w:lvlText w:val="•"/>
      <w:lvlJc w:val="left"/>
      <w:pPr>
        <w:ind w:left="2933" w:hanging="360"/>
      </w:pPr>
      <w:rPr>
        <w:rFonts w:hint="default"/>
        <w:lang w:val="en-US" w:eastAsia="en-US" w:bidi="ar-SA"/>
      </w:rPr>
    </w:lvl>
    <w:lvl w:ilvl="6" w:tplc="D1AEAADC">
      <w:numFmt w:val="bullet"/>
      <w:lvlText w:val="•"/>
      <w:lvlJc w:val="left"/>
      <w:pPr>
        <w:ind w:left="3423" w:hanging="360"/>
      </w:pPr>
      <w:rPr>
        <w:rFonts w:hint="default"/>
        <w:lang w:val="en-US" w:eastAsia="en-US" w:bidi="ar-SA"/>
      </w:rPr>
    </w:lvl>
    <w:lvl w:ilvl="7" w:tplc="4B2AF354">
      <w:numFmt w:val="bullet"/>
      <w:lvlText w:val="•"/>
      <w:lvlJc w:val="left"/>
      <w:pPr>
        <w:ind w:left="3914" w:hanging="360"/>
      </w:pPr>
      <w:rPr>
        <w:rFonts w:hint="default"/>
        <w:lang w:val="en-US" w:eastAsia="en-US" w:bidi="ar-SA"/>
      </w:rPr>
    </w:lvl>
    <w:lvl w:ilvl="8" w:tplc="6A4C4390">
      <w:numFmt w:val="bullet"/>
      <w:lvlText w:val="•"/>
      <w:lvlJc w:val="left"/>
      <w:pPr>
        <w:ind w:left="4404" w:hanging="360"/>
      </w:pPr>
      <w:rPr>
        <w:rFonts w:hint="default"/>
        <w:lang w:val="en-US" w:eastAsia="en-US" w:bidi="ar-SA"/>
      </w:rPr>
    </w:lvl>
  </w:abstractNum>
  <w:abstractNum w:abstractNumId="204" w15:restartNumberingAfterBreak="0">
    <w:nsid w:val="78634B15"/>
    <w:multiLevelType w:val="hybridMultilevel"/>
    <w:tmpl w:val="47423A5C"/>
    <w:lvl w:ilvl="0" w:tplc="2D1AA69A">
      <w:start w:val="1"/>
      <w:numFmt w:val="decimal"/>
      <w:lvlText w:val="%1."/>
      <w:lvlJc w:val="left"/>
      <w:pPr>
        <w:ind w:left="1027" w:hanging="850"/>
      </w:pPr>
      <w:rPr>
        <w:rFonts w:ascii="Times New Roman" w:eastAsia="Times New Roman" w:hAnsi="Times New Roman" w:cs="Times New Roman" w:hint="default"/>
        <w:spacing w:val="0"/>
        <w:w w:val="99"/>
        <w:sz w:val="20"/>
        <w:szCs w:val="20"/>
        <w:lang w:val="en-US" w:eastAsia="en-US" w:bidi="ar-SA"/>
      </w:rPr>
    </w:lvl>
    <w:lvl w:ilvl="1" w:tplc="091279D6">
      <w:start w:val="1"/>
      <w:numFmt w:val="lowerLetter"/>
      <w:lvlText w:val="(%2)"/>
      <w:lvlJc w:val="left"/>
      <w:pPr>
        <w:ind w:left="1171" w:hanging="569"/>
      </w:pPr>
      <w:rPr>
        <w:rFonts w:ascii="Times New Roman" w:eastAsia="Times New Roman" w:hAnsi="Times New Roman" w:cs="Times New Roman" w:hint="default"/>
        <w:w w:val="99"/>
        <w:sz w:val="20"/>
        <w:szCs w:val="20"/>
        <w:lang w:val="en-US" w:eastAsia="en-US" w:bidi="ar-SA"/>
      </w:rPr>
    </w:lvl>
    <w:lvl w:ilvl="2" w:tplc="AA1EF55E">
      <w:start w:val="1"/>
      <w:numFmt w:val="decimal"/>
      <w:lvlText w:val="(%3)"/>
      <w:lvlJc w:val="left"/>
      <w:pPr>
        <w:ind w:left="1311" w:hanging="567"/>
      </w:pPr>
      <w:rPr>
        <w:rFonts w:ascii="Times New Roman" w:eastAsia="Times New Roman" w:hAnsi="Times New Roman" w:cs="Times New Roman" w:hint="default"/>
        <w:w w:val="99"/>
        <w:sz w:val="20"/>
        <w:szCs w:val="20"/>
        <w:lang w:val="en-US" w:eastAsia="en-US" w:bidi="ar-SA"/>
      </w:rPr>
    </w:lvl>
    <w:lvl w:ilvl="3" w:tplc="C2220C4A">
      <w:start w:val="1"/>
      <w:numFmt w:val="decimal"/>
      <w:lvlText w:val="%4."/>
      <w:lvlJc w:val="left"/>
      <w:pPr>
        <w:ind w:left="8845" w:hanging="360"/>
      </w:pPr>
      <w:rPr>
        <w:rFonts w:ascii="Times New Roman" w:eastAsia="Times New Roman" w:hAnsi="Times New Roman" w:cs="Times New Roman" w:hint="default"/>
        <w:spacing w:val="0"/>
        <w:w w:val="99"/>
        <w:sz w:val="20"/>
        <w:szCs w:val="20"/>
        <w:lang w:val="en-US" w:eastAsia="en-US" w:bidi="ar-SA"/>
      </w:rPr>
    </w:lvl>
    <w:lvl w:ilvl="4" w:tplc="CD20EC72">
      <w:numFmt w:val="bullet"/>
      <w:lvlText w:val="•"/>
      <w:lvlJc w:val="left"/>
      <w:pPr>
        <w:ind w:left="9200" w:hanging="360"/>
      </w:pPr>
      <w:rPr>
        <w:rFonts w:hint="default"/>
        <w:lang w:val="en-US" w:eastAsia="en-US" w:bidi="ar-SA"/>
      </w:rPr>
    </w:lvl>
    <w:lvl w:ilvl="5" w:tplc="8BDE5D4C">
      <w:numFmt w:val="bullet"/>
      <w:lvlText w:val="•"/>
      <w:lvlJc w:val="left"/>
      <w:pPr>
        <w:ind w:left="8558" w:hanging="360"/>
      </w:pPr>
      <w:rPr>
        <w:rFonts w:hint="default"/>
        <w:lang w:val="en-US" w:eastAsia="en-US" w:bidi="ar-SA"/>
      </w:rPr>
    </w:lvl>
    <w:lvl w:ilvl="6" w:tplc="BBD681AE">
      <w:numFmt w:val="bullet"/>
      <w:lvlText w:val="•"/>
      <w:lvlJc w:val="left"/>
      <w:pPr>
        <w:ind w:left="7916" w:hanging="360"/>
      </w:pPr>
      <w:rPr>
        <w:rFonts w:hint="default"/>
        <w:lang w:val="en-US" w:eastAsia="en-US" w:bidi="ar-SA"/>
      </w:rPr>
    </w:lvl>
    <w:lvl w:ilvl="7" w:tplc="91B2C0B6">
      <w:numFmt w:val="bullet"/>
      <w:lvlText w:val="•"/>
      <w:lvlJc w:val="left"/>
      <w:pPr>
        <w:ind w:left="7274" w:hanging="360"/>
      </w:pPr>
      <w:rPr>
        <w:rFonts w:hint="default"/>
        <w:lang w:val="en-US" w:eastAsia="en-US" w:bidi="ar-SA"/>
      </w:rPr>
    </w:lvl>
    <w:lvl w:ilvl="8" w:tplc="8F286BA2">
      <w:numFmt w:val="bullet"/>
      <w:lvlText w:val="•"/>
      <w:lvlJc w:val="left"/>
      <w:pPr>
        <w:ind w:left="6632" w:hanging="360"/>
      </w:pPr>
      <w:rPr>
        <w:rFonts w:hint="default"/>
        <w:lang w:val="en-US" w:eastAsia="en-US" w:bidi="ar-SA"/>
      </w:rPr>
    </w:lvl>
  </w:abstractNum>
  <w:abstractNum w:abstractNumId="205" w15:restartNumberingAfterBreak="0">
    <w:nsid w:val="7A903E8E"/>
    <w:multiLevelType w:val="hybridMultilevel"/>
    <w:tmpl w:val="E7983A6C"/>
    <w:lvl w:ilvl="0" w:tplc="C750BDC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81849A0">
      <w:numFmt w:val="bullet"/>
      <w:lvlText w:val="•"/>
      <w:lvlJc w:val="left"/>
      <w:pPr>
        <w:ind w:left="2520" w:hanging="72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ACB0BD7"/>
    <w:multiLevelType w:val="hybridMultilevel"/>
    <w:tmpl w:val="CE9CD2DC"/>
    <w:lvl w:ilvl="0" w:tplc="ED36EE90">
      <w:numFmt w:val="bullet"/>
      <w:lvlText w:val=""/>
      <w:lvlJc w:val="left"/>
      <w:pPr>
        <w:ind w:left="469" w:hanging="360"/>
      </w:pPr>
      <w:rPr>
        <w:rFonts w:ascii="Symbol" w:eastAsia="Symbol" w:hAnsi="Symbol" w:cs="Symbol" w:hint="default"/>
        <w:w w:val="99"/>
        <w:sz w:val="20"/>
        <w:szCs w:val="20"/>
        <w:lang w:val="en-US" w:eastAsia="en-US" w:bidi="ar-SA"/>
      </w:rPr>
    </w:lvl>
    <w:lvl w:ilvl="1" w:tplc="96E2ED3C">
      <w:numFmt w:val="bullet"/>
      <w:lvlText w:val="•"/>
      <w:lvlJc w:val="left"/>
      <w:pPr>
        <w:ind w:left="952" w:hanging="360"/>
      </w:pPr>
      <w:rPr>
        <w:rFonts w:hint="default"/>
        <w:lang w:val="en-US" w:eastAsia="en-US" w:bidi="ar-SA"/>
      </w:rPr>
    </w:lvl>
    <w:lvl w:ilvl="2" w:tplc="ACB8C446">
      <w:numFmt w:val="bullet"/>
      <w:lvlText w:val="•"/>
      <w:lvlJc w:val="left"/>
      <w:pPr>
        <w:ind w:left="1445" w:hanging="360"/>
      </w:pPr>
      <w:rPr>
        <w:rFonts w:hint="default"/>
        <w:lang w:val="en-US" w:eastAsia="en-US" w:bidi="ar-SA"/>
      </w:rPr>
    </w:lvl>
    <w:lvl w:ilvl="3" w:tplc="5DCA78B8">
      <w:numFmt w:val="bullet"/>
      <w:lvlText w:val="•"/>
      <w:lvlJc w:val="left"/>
      <w:pPr>
        <w:ind w:left="1938" w:hanging="360"/>
      </w:pPr>
      <w:rPr>
        <w:rFonts w:hint="default"/>
        <w:lang w:val="en-US" w:eastAsia="en-US" w:bidi="ar-SA"/>
      </w:rPr>
    </w:lvl>
    <w:lvl w:ilvl="4" w:tplc="947851AE">
      <w:numFmt w:val="bullet"/>
      <w:lvlText w:val="•"/>
      <w:lvlJc w:val="left"/>
      <w:pPr>
        <w:ind w:left="2430" w:hanging="360"/>
      </w:pPr>
      <w:rPr>
        <w:rFonts w:hint="default"/>
        <w:lang w:val="en-US" w:eastAsia="en-US" w:bidi="ar-SA"/>
      </w:rPr>
    </w:lvl>
    <w:lvl w:ilvl="5" w:tplc="01741FB8">
      <w:numFmt w:val="bullet"/>
      <w:lvlText w:val="•"/>
      <w:lvlJc w:val="left"/>
      <w:pPr>
        <w:ind w:left="2923" w:hanging="360"/>
      </w:pPr>
      <w:rPr>
        <w:rFonts w:hint="default"/>
        <w:lang w:val="en-US" w:eastAsia="en-US" w:bidi="ar-SA"/>
      </w:rPr>
    </w:lvl>
    <w:lvl w:ilvl="6" w:tplc="182CA108">
      <w:numFmt w:val="bullet"/>
      <w:lvlText w:val="•"/>
      <w:lvlJc w:val="left"/>
      <w:pPr>
        <w:ind w:left="3416" w:hanging="360"/>
      </w:pPr>
      <w:rPr>
        <w:rFonts w:hint="default"/>
        <w:lang w:val="en-US" w:eastAsia="en-US" w:bidi="ar-SA"/>
      </w:rPr>
    </w:lvl>
    <w:lvl w:ilvl="7" w:tplc="1F14ACD0">
      <w:numFmt w:val="bullet"/>
      <w:lvlText w:val="•"/>
      <w:lvlJc w:val="left"/>
      <w:pPr>
        <w:ind w:left="3908" w:hanging="360"/>
      </w:pPr>
      <w:rPr>
        <w:rFonts w:hint="default"/>
        <w:lang w:val="en-US" w:eastAsia="en-US" w:bidi="ar-SA"/>
      </w:rPr>
    </w:lvl>
    <w:lvl w:ilvl="8" w:tplc="1540B1EC">
      <w:numFmt w:val="bullet"/>
      <w:lvlText w:val="•"/>
      <w:lvlJc w:val="left"/>
      <w:pPr>
        <w:ind w:left="4401" w:hanging="360"/>
      </w:pPr>
      <w:rPr>
        <w:rFonts w:hint="default"/>
        <w:lang w:val="en-US" w:eastAsia="en-US" w:bidi="ar-SA"/>
      </w:rPr>
    </w:lvl>
  </w:abstractNum>
  <w:abstractNum w:abstractNumId="207" w15:restartNumberingAfterBreak="0">
    <w:nsid w:val="7B2516B9"/>
    <w:multiLevelType w:val="hybridMultilevel"/>
    <w:tmpl w:val="1550DBD0"/>
    <w:lvl w:ilvl="0" w:tplc="4E487D30">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208" w15:restartNumberingAfterBreak="0">
    <w:nsid w:val="7C577322"/>
    <w:multiLevelType w:val="hybridMultilevel"/>
    <w:tmpl w:val="21CABBAA"/>
    <w:lvl w:ilvl="0" w:tplc="7B084F1E">
      <w:start w:val="1"/>
      <w:numFmt w:val="bullet"/>
      <w:lvlText w:val=""/>
      <w:lvlJc w:val="left"/>
      <w:pPr>
        <w:ind w:left="927" w:hanging="360"/>
      </w:pPr>
      <w:rPr>
        <w:rFonts w:ascii="Symbol" w:hAnsi="Symbol" w:hint="default"/>
      </w:rPr>
    </w:lvl>
    <w:lvl w:ilvl="1" w:tplc="52A88036">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9" w15:restartNumberingAfterBreak="0">
    <w:nsid w:val="7D62741F"/>
    <w:multiLevelType w:val="hybridMultilevel"/>
    <w:tmpl w:val="E68E93AE"/>
    <w:lvl w:ilvl="0" w:tplc="173CDD58">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0" w15:restartNumberingAfterBreak="0">
    <w:nsid w:val="7EA6C26E"/>
    <w:multiLevelType w:val="hybridMultilevel"/>
    <w:tmpl w:val="FFFFFFFF"/>
    <w:lvl w:ilvl="0" w:tplc="6E4EFDC4">
      <w:start w:val="1"/>
      <w:numFmt w:val="bullet"/>
      <w:lvlText w:val=""/>
      <w:lvlJc w:val="left"/>
      <w:pPr>
        <w:ind w:left="720" w:hanging="360"/>
      </w:pPr>
      <w:rPr>
        <w:rFonts w:ascii="Symbol" w:hAnsi="Symbol" w:hint="default"/>
      </w:rPr>
    </w:lvl>
    <w:lvl w:ilvl="1" w:tplc="F9C6D2DE">
      <w:start w:val="1"/>
      <w:numFmt w:val="bullet"/>
      <w:lvlText w:val="o"/>
      <w:lvlJc w:val="left"/>
      <w:pPr>
        <w:ind w:left="1440" w:hanging="360"/>
      </w:pPr>
      <w:rPr>
        <w:rFonts w:ascii="Courier New" w:hAnsi="Courier New" w:hint="default"/>
      </w:rPr>
    </w:lvl>
    <w:lvl w:ilvl="2" w:tplc="209C4D66">
      <w:start w:val="1"/>
      <w:numFmt w:val="bullet"/>
      <w:lvlText w:val=""/>
      <w:lvlJc w:val="left"/>
      <w:pPr>
        <w:ind w:left="2160" w:hanging="360"/>
      </w:pPr>
      <w:rPr>
        <w:rFonts w:ascii="Wingdings" w:hAnsi="Wingdings" w:hint="default"/>
      </w:rPr>
    </w:lvl>
    <w:lvl w:ilvl="3" w:tplc="B96E49CC">
      <w:start w:val="1"/>
      <w:numFmt w:val="bullet"/>
      <w:lvlText w:val=""/>
      <w:lvlJc w:val="left"/>
      <w:pPr>
        <w:ind w:left="2880" w:hanging="360"/>
      </w:pPr>
      <w:rPr>
        <w:rFonts w:ascii="Symbol" w:hAnsi="Symbol" w:hint="default"/>
      </w:rPr>
    </w:lvl>
    <w:lvl w:ilvl="4" w:tplc="6FCC6E22">
      <w:start w:val="1"/>
      <w:numFmt w:val="bullet"/>
      <w:lvlText w:val="o"/>
      <w:lvlJc w:val="left"/>
      <w:pPr>
        <w:ind w:left="3600" w:hanging="360"/>
      </w:pPr>
      <w:rPr>
        <w:rFonts w:ascii="Courier New" w:hAnsi="Courier New" w:hint="default"/>
      </w:rPr>
    </w:lvl>
    <w:lvl w:ilvl="5" w:tplc="A596E1EA">
      <w:start w:val="1"/>
      <w:numFmt w:val="bullet"/>
      <w:lvlText w:val=""/>
      <w:lvlJc w:val="left"/>
      <w:pPr>
        <w:ind w:left="4320" w:hanging="360"/>
      </w:pPr>
      <w:rPr>
        <w:rFonts w:ascii="Wingdings" w:hAnsi="Wingdings" w:hint="default"/>
      </w:rPr>
    </w:lvl>
    <w:lvl w:ilvl="6" w:tplc="59BCD952">
      <w:start w:val="1"/>
      <w:numFmt w:val="bullet"/>
      <w:lvlText w:val=""/>
      <w:lvlJc w:val="left"/>
      <w:pPr>
        <w:ind w:left="5040" w:hanging="360"/>
      </w:pPr>
      <w:rPr>
        <w:rFonts w:ascii="Symbol" w:hAnsi="Symbol" w:hint="default"/>
      </w:rPr>
    </w:lvl>
    <w:lvl w:ilvl="7" w:tplc="9D1A81E2">
      <w:start w:val="1"/>
      <w:numFmt w:val="bullet"/>
      <w:lvlText w:val="o"/>
      <w:lvlJc w:val="left"/>
      <w:pPr>
        <w:ind w:left="5760" w:hanging="360"/>
      </w:pPr>
      <w:rPr>
        <w:rFonts w:ascii="Courier New" w:hAnsi="Courier New" w:hint="default"/>
      </w:rPr>
    </w:lvl>
    <w:lvl w:ilvl="8" w:tplc="522CE224">
      <w:start w:val="1"/>
      <w:numFmt w:val="bullet"/>
      <w:lvlText w:val=""/>
      <w:lvlJc w:val="left"/>
      <w:pPr>
        <w:ind w:left="6480" w:hanging="360"/>
      </w:pPr>
      <w:rPr>
        <w:rFonts w:ascii="Wingdings" w:hAnsi="Wingdings" w:hint="default"/>
      </w:rPr>
    </w:lvl>
  </w:abstractNum>
  <w:abstractNum w:abstractNumId="211" w15:restartNumberingAfterBreak="0">
    <w:nsid w:val="7EA9BC0A"/>
    <w:multiLevelType w:val="hybridMultilevel"/>
    <w:tmpl w:val="FFFFFFFF"/>
    <w:lvl w:ilvl="0" w:tplc="E11EFDF2">
      <w:start w:val="1"/>
      <w:numFmt w:val="bullet"/>
      <w:lvlText w:val=""/>
      <w:lvlJc w:val="left"/>
      <w:pPr>
        <w:ind w:left="720" w:hanging="360"/>
      </w:pPr>
      <w:rPr>
        <w:rFonts w:ascii="Symbol" w:hAnsi="Symbol" w:hint="default"/>
      </w:rPr>
    </w:lvl>
    <w:lvl w:ilvl="1" w:tplc="C99013D4">
      <w:start w:val="1"/>
      <w:numFmt w:val="bullet"/>
      <w:lvlText w:val="o"/>
      <w:lvlJc w:val="left"/>
      <w:pPr>
        <w:ind w:left="1440" w:hanging="360"/>
      </w:pPr>
      <w:rPr>
        <w:rFonts w:ascii="Courier New" w:hAnsi="Courier New" w:hint="default"/>
      </w:rPr>
    </w:lvl>
    <w:lvl w:ilvl="2" w:tplc="EE5AB29E">
      <w:start w:val="1"/>
      <w:numFmt w:val="bullet"/>
      <w:lvlText w:val=""/>
      <w:lvlJc w:val="left"/>
      <w:pPr>
        <w:ind w:left="2160" w:hanging="360"/>
      </w:pPr>
      <w:rPr>
        <w:rFonts w:ascii="Wingdings" w:hAnsi="Wingdings" w:hint="default"/>
      </w:rPr>
    </w:lvl>
    <w:lvl w:ilvl="3" w:tplc="EBC43DE4">
      <w:start w:val="1"/>
      <w:numFmt w:val="bullet"/>
      <w:lvlText w:val=""/>
      <w:lvlJc w:val="left"/>
      <w:pPr>
        <w:ind w:left="2880" w:hanging="360"/>
      </w:pPr>
      <w:rPr>
        <w:rFonts w:ascii="Symbol" w:hAnsi="Symbol" w:hint="default"/>
      </w:rPr>
    </w:lvl>
    <w:lvl w:ilvl="4" w:tplc="A4A0FCCA">
      <w:start w:val="1"/>
      <w:numFmt w:val="bullet"/>
      <w:lvlText w:val="o"/>
      <w:lvlJc w:val="left"/>
      <w:pPr>
        <w:ind w:left="3600" w:hanging="360"/>
      </w:pPr>
      <w:rPr>
        <w:rFonts w:ascii="Courier New" w:hAnsi="Courier New" w:hint="default"/>
      </w:rPr>
    </w:lvl>
    <w:lvl w:ilvl="5" w:tplc="8354C32E">
      <w:start w:val="1"/>
      <w:numFmt w:val="bullet"/>
      <w:lvlText w:val=""/>
      <w:lvlJc w:val="left"/>
      <w:pPr>
        <w:ind w:left="4320" w:hanging="360"/>
      </w:pPr>
      <w:rPr>
        <w:rFonts w:ascii="Wingdings" w:hAnsi="Wingdings" w:hint="default"/>
      </w:rPr>
    </w:lvl>
    <w:lvl w:ilvl="6" w:tplc="76F61748">
      <w:start w:val="1"/>
      <w:numFmt w:val="bullet"/>
      <w:lvlText w:val=""/>
      <w:lvlJc w:val="left"/>
      <w:pPr>
        <w:ind w:left="5040" w:hanging="360"/>
      </w:pPr>
      <w:rPr>
        <w:rFonts w:ascii="Symbol" w:hAnsi="Symbol" w:hint="default"/>
      </w:rPr>
    </w:lvl>
    <w:lvl w:ilvl="7" w:tplc="818A08EA">
      <w:start w:val="1"/>
      <w:numFmt w:val="bullet"/>
      <w:lvlText w:val="o"/>
      <w:lvlJc w:val="left"/>
      <w:pPr>
        <w:ind w:left="5760" w:hanging="360"/>
      </w:pPr>
      <w:rPr>
        <w:rFonts w:ascii="Courier New" w:hAnsi="Courier New" w:hint="default"/>
      </w:rPr>
    </w:lvl>
    <w:lvl w:ilvl="8" w:tplc="422875C4">
      <w:start w:val="1"/>
      <w:numFmt w:val="bullet"/>
      <w:lvlText w:val=""/>
      <w:lvlJc w:val="left"/>
      <w:pPr>
        <w:ind w:left="6480" w:hanging="360"/>
      </w:pPr>
      <w:rPr>
        <w:rFonts w:ascii="Wingdings" w:hAnsi="Wingdings" w:hint="default"/>
      </w:rPr>
    </w:lvl>
  </w:abstractNum>
  <w:abstractNum w:abstractNumId="212" w15:restartNumberingAfterBreak="0">
    <w:nsid w:val="7F8F7484"/>
    <w:multiLevelType w:val="hybridMultilevel"/>
    <w:tmpl w:val="7AF6AB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3" w15:restartNumberingAfterBreak="0">
    <w:nsid w:val="7FA06F63"/>
    <w:multiLevelType w:val="hybridMultilevel"/>
    <w:tmpl w:val="FFFFFFFF"/>
    <w:lvl w:ilvl="0" w:tplc="EB3C23E6">
      <w:start w:val="1"/>
      <w:numFmt w:val="bullet"/>
      <w:lvlText w:val="?"/>
      <w:lvlJc w:val="left"/>
      <w:pPr>
        <w:ind w:left="720" w:hanging="360"/>
      </w:pPr>
      <w:rPr>
        <w:rFonts w:ascii="Symbol" w:hAnsi="Symbol" w:hint="default"/>
      </w:rPr>
    </w:lvl>
    <w:lvl w:ilvl="1" w:tplc="7244FD98">
      <w:start w:val="1"/>
      <w:numFmt w:val="bullet"/>
      <w:lvlText w:val="o"/>
      <w:lvlJc w:val="left"/>
      <w:pPr>
        <w:ind w:left="1440" w:hanging="360"/>
      </w:pPr>
      <w:rPr>
        <w:rFonts w:ascii="Courier New" w:hAnsi="Courier New" w:cs="Courier New" w:hint="default"/>
      </w:rPr>
    </w:lvl>
    <w:lvl w:ilvl="2" w:tplc="4030C13E">
      <w:start w:val="1"/>
      <w:numFmt w:val="bullet"/>
      <w:lvlText w:val="?"/>
      <w:lvlJc w:val="left"/>
      <w:pPr>
        <w:ind w:left="2160" w:hanging="360"/>
      </w:pPr>
      <w:rPr>
        <w:rFonts w:ascii="Wingdings" w:hAnsi="Wingdings" w:hint="default"/>
      </w:rPr>
    </w:lvl>
    <w:lvl w:ilvl="3" w:tplc="E37EDCDA">
      <w:start w:val="1"/>
      <w:numFmt w:val="bullet"/>
      <w:lvlText w:val="?"/>
      <w:lvlJc w:val="left"/>
      <w:pPr>
        <w:ind w:left="2880" w:hanging="360"/>
      </w:pPr>
      <w:rPr>
        <w:rFonts w:ascii="Symbol" w:hAnsi="Symbol" w:hint="default"/>
      </w:rPr>
    </w:lvl>
    <w:lvl w:ilvl="4" w:tplc="3948CA54">
      <w:start w:val="1"/>
      <w:numFmt w:val="bullet"/>
      <w:lvlText w:val="o"/>
      <w:lvlJc w:val="left"/>
      <w:pPr>
        <w:ind w:left="3600" w:hanging="360"/>
      </w:pPr>
      <w:rPr>
        <w:rFonts w:ascii="Courier New" w:hAnsi="Courier New" w:cs="Courier New" w:hint="default"/>
      </w:rPr>
    </w:lvl>
    <w:lvl w:ilvl="5" w:tplc="894803B2">
      <w:start w:val="1"/>
      <w:numFmt w:val="bullet"/>
      <w:lvlText w:val="?"/>
      <w:lvlJc w:val="left"/>
      <w:pPr>
        <w:ind w:left="4320" w:hanging="360"/>
      </w:pPr>
      <w:rPr>
        <w:rFonts w:ascii="Wingdings" w:hAnsi="Wingdings" w:hint="default"/>
      </w:rPr>
    </w:lvl>
    <w:lvl w:ilvl="6" w:tplc="3F6459DC">
      <w:start w:val="1"/>
      <w:numFmt w:val="bullet"/>
      <w:lvlText w:val="?"/>
      <w:lvlJc w:val="left"/>
      <w:pPr>
        <w:ind w:left="5040" w:hanging="360"/>
      </w:pPr>
      <w:rPr>
        <w:rFonts w:ascii="Symbol" w:hAnsi="Symbol" w:hint="default"/>
      </w:rPr>
    </w:lvl>
    <w:lvl w:ilvl="7" w:tplc="B336BE40">
      <w:start w:val="1"/>
      <w:numFmt w:val="bullet"/>
      <w:lvlText w:val="o"/>
      <w:lvlJc w:val="left"/>
      <w:pPr>
        <w:ind w:left="5760" w:hanging="360"/>
      </w:pPr>
      <w:rPr>
        <w:rFonts w:ascii="Courier New" w:hAnsi="Courier New" w:cs="Courier New" w:hint="default"/>
      </w:rPr>
    </w:lvl>
    <w:lvl w:ilvl="8" w:tplc="3710AA18">
      <w:start w:val="1"/>
      <w:numFmt w:val="bullet"/>
      <w:lvlText w:val="?"/>
      <w:lvlJc w:val="left"/>
      <w:pPr>
        <w:ind w:left="6480" w:hanging="360"/>
      </w:pPr>
      <w:rPr>
        <w:rFonts w:ascii="Wingdings" w:hAnsi="Wingdings" w:hint="default"/>
      </w:rPr>
    </w:lvl>
  </w:abstractNum>
  <w:num w:numId="1" w16cid:durableId="276330080">
    <w:abstractNumId w:val="21"/>
  </w:num>
  <w:num w:numId="2" w16cid:durableId="1020669810">
    <w:abstractNumId w:val="17"/>
  </w:num>
  <w:num w:numId="3" w16cid:durableId="1386219709">
    <w:abstractNumId w:val="112"/>
  </w:num>
  <w:num w:numId="4" w16cid:durableId="1960986178">
    <w:abstractNumId w:val="117"/>
  </w:num>
  <w:num w:numId="5" w16cid:durableId="604532477">
    <w:abstractNumId w:val="90"/>
  </w:num>
  <w:num w:numId="6" w16cid:durableId="485126720">
    <w:abstractNumId w:val="86"/>
  </w:num>
  <w:num w:numId="7" w16cid:durableId="2087216375">
    <w:abstractNumId w:val="106"/>
  </w:num>
  <w:num w:numId="8" w16cid:durableId="603535656">
    <w:abstractNumId w:val="164"/>
  </w:num>
  <w:num w:numId="9" w16cid:durableId="1440106350">
    <w:abstractNumId w:val="45"/>
  </w:num>
  <w:num w:numId="10" w16cid:durableId="11012217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685817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77560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0833548">
    <w:abstractNumId w:val="6"/>
  </w:num>
  <w:num w:numId="14" w16cid:durableId="1467309947">
    <w:abstractNumId w:val="106"/>
  </w:num>
  <w:num w:numId="15" w16cid:durableId="1723288971">
    <w:abstractNumId w:val="163"/>
  </w:num>
  <w:num w:numId="16" w16cid:durableId="1386030834">
    <w:abstractNumId w:val="129"/>
  </w:num>
  <w:num w:numId="17" w16cid:durableId="1142968490">
    <w:abstractNumId w:val="56"/>
  </w:num>
  <w:num w:numId="18" w16cid:durableId="15410170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91557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46948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9876876">
    <w:abstractNumId w:val="29"/>
  </w:num>
  <w:num w:numId="22" w16cid:durableId="6835968">
    <w:abstractNumId w:val="200"/>
  </w:num>
  <w:num w:numId="23" w16cid:durableId="898174679">
    <w:abstractNumId w:val="73"/>
  </w:num>
  <w:num w:numId="24" w16cid:durableId="1351569552">
    <w:abstractNumId w:val="152"/>
  </w:num>
  <w:num w:numId="25" w16cid:durableId="2055543323">
    <w:abstractNumId w:val="107"/>
  </w:num>
  <w:num w:numId="26" w16cid:durableId="939609499">
    <w:abstractNumId w:val="179"/>
  </w:num>
  <w:num w:numId="27" w16cid:durableId="107360617">
    <w:abstractNumId w:val="43"/>
  </w:num>
  <w:num w:numId="28" w16cid:durableId="1266966154">
    <w:abstractNumId w:val="111"/>
  </w:num>
  <w:num w:numId="29" w16cid:durableId="2016496361">
    <w:abstractNumId w:val="82"/>
  </w:num>
  <w:num w:numId="30" w16cid:durableId="1174883534">
    <w:abstractNumId w:val="47"/>
  </w:num>
  <w:num w:numId="31" w16cid:durableId="36971497">
    <w:abstractNumId w:val="30"/>
  </w:num>
  <w:num w:numId="32" w16cid:durableId="142553749">
    <w:abstractNumId w:val="143"/>
  </w:num>
  <w:num w:numId="33" w16cid:durableId="2133474033">
    <w:abstractNumId w:val="34"/>
  </w:num>
  <w:num w:numId="34" w16cid:durableId="751513292">
    <w:abstractNumId w:val="35"/>
  </w:num>
  <w:num w:numId="35" w16cid:durableId="1789156901">
    <w:abstractNumId w:val="78"/>
  </w:num>
  <w:num w:numId="36" w16cid:durableId="123887923">
    <w:abstractNumId w:val="169"/>
  </w:num>
  <w:num w:numId="37" w16cid:durableId="2085181633">
    <w:abstractNumId w:val="1"/>
  </w:num>
  <w:num w:numId="38" w16cid:durableId="1096904003">
    <w:abstractNumId w:val="113"/>
  </w:num>
  <w:num w:numId="39" w16cid:durableId="1456438421">
    <w:abstractNumId w:val="110"/>
  </w:num>
  <w:num w:numId="40" w16cid:durableId="1523082604">
    <w:abstractNumId w:val="71"/>
  </w:num>
  <w:num w:numId="41" w16cid:durableId="624779415">
    <w:abstractNumId w:val="101"/>
  </w:num>
  <w:num w:numId="42" w16cid:durableId="329143213">
    <w:abstractNumId w:val="121"/>
  </w:num>
  <w:num w:numId="43" w16cid:durableId="1873418817">
    <w:abstractNumId w:val="188"/>
  </w:num>
  <w:num w:numId="44" w16cid:durableId="526603956">
    <w:abstractNumId w:val="144"/>
  </w:num>
  <w:num w:numId="45" w16cid:durableId="1429354496">
    <w:abstractNumId w:val="146"/>
  </w:num>
  <w:num w:numId="46" w16cid:durableId="1408184971">
    <w:abstractNumId w:val="134"/>
  </w:num>
  <w:num w:numId="47" w16cid:durableId="2050572785">
    <w:abstractNumId w:val="27"/>
  </w:num>
  <w:num w:numId="48" w16cid:durableId="1552231366">
    <w:abstractNumId w:val="124"/>
  </w:num>
  <w:num w:numId="49" w16cid:durableId="74666122">
    <w:abstractNumId w:val="25"/>
  </w:num>
  <w:num w:numId="50" w16cid:durableId="741562919">
    <w:abstractNumId w:val="95"/>
  </w:num>
  <w:num w:numId="51" w16cid:durableId="197591177">
    <w:abstractNumId w:val="65"/>
  </w:num>
  <w:num w:numId="52" w16cid:durableId="103774324">
    <w:abstractNumId w:val="80"/>
  </w:num>
  <w:num w:numId="53" w16cid:durableId="1399328415">
    <w:abstractNumId w:val="7"/>
  </w:num>
  <w:num w:numId="54" w16cid:durableId="1160578098">
    <w:abstractNumId w:val="136"/>
  </w:num>
  <w:num w:numId="55" w16cid:durableId="1128935736">
    <w:abstractNumId w:val="53"/>
  </w:num>
  <w:num w:numId="56" w16cid:durableId="560866572">
    <w:abstractNumId w:val="2"/>
  </w:num>
  <w:num w:numId="57" w16cid:durableId="746920328">
    <w:abstractNumId w:val="138"/>
  </w:num>
  <w:num w:numId="58" w16cid:durableId="1338800272">
    <w:abstractNumId w:val="76"/>
  </w:num>
  <w:num w:numId="59" w16cid:durableId="4952696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81159387">
    <w:abstractNumId w:val="10"/>
  </w:num>
  <w:num w:numId="61" w16cid:durableId="1744448886">
    <w:abstractNumId w:val="123"/>
  </w:num>
  <w:num w:numId="62" w16cid:durableId="298000908">
    <w:abstractNumId w:val="60"/>
  </w:num>
  <w:num w:numId="63" w16cid:durableId="1002780064">
    <w:abstractNumId w:val="202"/>
  </w:num>
  <w:num w:numId="64" w16cid:durableId="733553957">
    <w:abstractNumId w:val="170"/>
  </w:num>
  <w:num w:numId="65" w16cid:durableId="1990205790">
    <w:abstractNumId w:val="171"/>
  </w:num>
  <w:num w:numId="66" w16cid:durableId="1275022586">
    <w:abstractNumId w:val="74"/>
  </w:num>
  <w:num w:numId="67" w16cid:durableId="978267956">
    <w:abstractNumId w:val="160"/>
  </w:num>
  <w:num w:numId="68" w16cid:durableId="1975284806">
    <w:abstractNumId w:val="20"/>
  </w:num>
  <w:num w:numId="69" w16cid:durableId="2030528193">
    <w:abstractNumId w:val="189"/>
  </w:num>
  <w:num w:numId="70" w16cid:durableId="986668469">
    <w:abstractNumId w:val="109"/>
  </w:num>
  <w:num w:numId="71" w16cid:durableId="144276787">
    <w:abstractNumId w:val="213"/>
  </w:num>
  <w:num w:numId="72" w16cid:durableId="998852252">
    <w:abstractNumId w:val="210"/>
  </w:num>
  <w:num w:numId="73" w16cid:durableId="568151778">
    <w:abstractNumId w:val="72"/>
  </w:num>
  <w:num w:numId="74" w16cid:durableId="1758504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477470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615141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76308988">
    <w:abstractNumId w:val="130"/>
  </w:num>
  <w:num w:numId="78" w16cid:durableId="955675576">
    <w:abstractNumId w:val="190"/>
  </w:num>
  <w:num w:numId="79" w16cid:durableId="252207956">
    <w:abstractNumId w:val="159"/>
  </w:num>
  <w:num w:numId="80" w16cid:durableId="1010722183">
    <w:abstractNumId w:val="211"/>
  </w:num>
  <w:num w:numId="81" w16cid:durableId="1016274077">
    <w:abstractNumId w:val="22"/>
  </w:num>
  <w:num w:numId="82" w16cid:durableId="1423532048">
    <w:abstractNumId w:val="154"/>
  </w:num>
  <w:num w:numId="83" w16cid:durableId="1933390953">
    <w:abstractNumId w:val="187"/>
  </w:num>
  <w:num w:numId="84" w16cid:durableId="779841041">
    <w:abstractNumId w:val="151"/>
  </w:num>
  <w:num w:numId="85" w16cid:durableId="1744831404">
    <w:abstractNumId w:val="147"/>
  </w:num>
  <w:num w:numId="86" w16cid:durableId="484859032">
    <w:abstractNumId w:val="84"/>
  </w:num>
  <w:num w:numId="87" w16cid:durableId="887958247">
    <w:abstractNumId w:val="193"/>
  </w:num>
  <w:num w:numId="88" w16cid:durableId="1199663577">
    <w:abstractNumId w:val="198"/>
  </w:num>
  <w:num w:numId="89" w16cid:durableId="1881673820">
    <w:abstractNumId w:val="173"/>
  </w:num>
  <w:num w:numId="90" w16cid:durableId="1412045030">
    <w:abstractNumId w:val="55"/>
  </w:num>
  <w:num w:numId="91" w16cid:durableId="450052300">
    <w:abstractNumId w:val="108"/>
  </w:num>
  <w:num w:numId="92" w16cid:durableId="368528004">
    <w:abstractNumId w:val="13"/>
  </w:num>
  <w:num w:numId="93" w16cid:durableId="1322856308">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29885361">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42752285">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844319101">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75925724">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71979924">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288315982">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92304885">
    <w:abstractNumId w:val="14"/>
  </w:num>
  <w:num w:numId="101" w16cid:durableId="1199321917">
    <w:abstractNumId w:val="212"/>
  </w:num>
  <w:num w:numId="102" w16cid:durableId="1565339314">
    <w:abstractNumId w:val="178"/>
  </w:num>
  <w:num w:numId="103" w16cid:durableId="1840536429">
    <w:abstractNumId w:val="32"/>
  </w:num>
  <w:num w:numId="104" w16cid:durableId="409667608">
    <w:abstractNumId w:val="104"/>
  </w:num>
  <w:num w:numId="105" w16cid:durableId="796680731">
    <w:abstractNumId w:val="16"/>
  </w:num>
  <w:num w:numId="106" w16cid:durableId="1210530742">
    <w:abstractNumId w:val="36"/>
  </w:num>
  <w:num w:numId="107" w16cid:durableId="7350074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45958139">
    <w:abstractNumId w:val="18"/>
  </w:num>
  <w:num w:numId="109" w16cid:durableId="1660038387">
    <w:abstractNumId w:val="145"/>
  </w:num>
  <w:num w:numId="110" w16cid:durableId="2086954281">
    <w:abstractNumId w:val="26"/>
  </w:num>
  <w:num w:numId="111" w16cid:durableId="1594243693">
    <w:abstractNumId w:val="48"/>
  </w:num>
  <w:num w:numId="112" w16cid:durableId="11466267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306928538">
    <w:abstractNumId w:val="69"/>
  </w:num>
  <w:num w:numId="114" w16cid:durableId="1360397356">
    <w:abstractNumId w:val="92"/>
  </w:num>
  <w:num w:numId="115" w16cid:durableId="1304583976">
    <w:abstractNumId w:val="8"/>
  </w:num>
  <w:num w:numId="116" w16cid:durableId="1946422251">
    <w:abstractNumId w:val="54"/>
  </w:num>
  <w:num w:numId="117" w16cid:durableId="898636449">
    <w:abstractNumId w:val="54"/>
    <w:lvlOverride w:ilvl="0">
      <w:startOverride w:val="1"/>
    </w:lvlOverride>
  </w:num>
  <w:num w:numId="118" w16cid:durableId="1665667090">
    <w:abstractNumId w:val="54"/>
    <w:lvlOverride w:ilvl="0">
      <w:startOverride w:val="1"/>
    </w:lvlOverride>
  </w:num>
  <w:num w:numId="119" w16cid:durableId="89280278">
    <w:abstractNumId w:val="174"/>
  </w:num>
  <w:num w:numId="120" w16cid:durableId="734085636">
    <w:abstractNumId w:val="50"/>
  </w:num>
  <w:num w:numId="121" w16cid:durableId="644773440">
    <w:abstractNumId w:val="9"/>
  </w:num>
  <w:num w:numId="122" w16cid:durableId="1877548097">
    <w:abstractNumId w:val="197"/>
  </w:num>
  <w:num w:numId="123" w16cid:durableId="518355458">
    <w:abstractNumId w:val="182"/>
  </w:num>
  <w:num w:numId="124" w16cid:durableId="822964034">
    <w:abstractNumId w:val="141"/>
  </w:num>
  <w:num w:numId="125" w16cid:durableId="512110683">
    <w:abstractNumId w:val="140"/>
  </w:num>
  <w:num w:numId="126" w16cid:durableId="1800101218">
    <w:abstractNumId w:val="94"/>
  </w:num>
  <w:num w:numId="127" w16cid:durableId="868300472">
    <w:abstractNumId w:val="186"/>
  </w:num>
  <w:num w:numId="128" w16cid:durableId="1523788729">
    <w:abstractNumId w:val="102"/>
  </w:num>
  <w:num w:numId="129" w16cid:durableId="2140685767">
    <w:abstractNumId w:val="166"/>
  </w:num>
  <w:num w:numId="130" w16cid:durableId="686251650">
    <w:abstractNumId w:val="114"/>
  </w:num>
  <w:num w:numId="131" w16cid:durableId="801116660">
    <w:abstractNumId w:val="132"/>
  </w:num>
  <w:num w:numId="132" w16cid:durableId="583999412">
    <w:abstractNumId w:val="66"/>
  </w:num>
  <w:num w:numId="133" w16cid:durableId="936212037">
    <w:abstractNumId w:val="59"/>
  </w:num>
  <w:num w:numId="134" w16cid:durableId="1328366801">
    <w:abstractNumId w:val="79"/>
  </w:num>
  <w:num w:numId="135" w16cid:durableId="1202867436">
    <w:abstractNumId w:val="57"/>
  </w:num>
  <w:num w:numId="136" w16cid:durableId="1263996058">
    <w:abstractNumId w:val="87"/>
  </w:num>
  <w:num w:numId="137" w16cid:durableId="674263627">
    <w:abstractNumId w:val="126"/>
  </w:num>
  <w:num w:numId="138" w16cid:durableId="502474205">
    <w:abstractNumId w:val="205"/>
  </w:num>
  <w:num w:numId="139" w16cid:durableId="1544631996">
    <w:abstractNumId w:val="158"/>
  </w:num>
  <w:num w:numId="140" w16cid:durableId="842939202">
    <w:abstractNumId w:val="58"/>
  </w:num>
  <w:num w:numId="141" w16cid:durableId="537207835">
    <w:abstractNumId w:val="175"/>
  </w:num>
  <w:num w:numId="142" w16cid:durableId="1638796737">
    <w:abstractNumId w:val="41"/>
  </w:num>
  <w:num w:numId="143" w16cid:durableId="1012337422">
    <w:abstractNumId w:val="88"/>
  </w:num>
  <w:num w:numId="144" w16cid:durableId="1086414650">
    <w:abstractNumId w:val="118"/>
  </w:num>
  <w:num w:numId="145" w16cid:durableId="603193993">
    <w:abstractNumId w:val="89"/>
  </w:num>
  <w:num w:numId="146" w16cid:durableId="12937482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9708613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362829534">
    <w:abstractNumId w:val="64"/>
  </w:num>
  <w:num w:numId="149" w16cid:durableId="592013536">
    <w:abstractNumId w:val="52"/>
  </w:num>
  <w:num w:numId="150" w16cid:durableId="1259943575">
    <w:abstractNumId w:val="64"/>
  </w:num>
  <w:num w:numId="151" w16cid:durableId="2040429945">
    <w:abstractNumId w:val="52"/>
  </w:num>
  <w:num w:numId="152" w16cid:durableId="592054434">
    <w:abstractNumId w:val="46"/>
  </w:num>
  <w:num w:numId="153" w16cid:durableId="1225291592">
    <w:abstractNumId w:val="125"/>
  </w:num>
  <w:num w:numId="154" w16cid:durableId="790782047">
    <w:abstractNumId w:val="196"/>
  </w:num>
  <w:num w:numId="155" w16cid:durableId="892738374">
    <w:abstractNumId w:val="180"/>
  </w:num>
  <w:num w:numId="156" w16cid:durableId="452752893">
    <w:abstractNumId w:val="149"/>
  </w:num>
  <w:num w:numId="157" w16cid:durableId="1894998388">
    <w:abstractNumId w:val="39"/>
  </w:num>
  <w:num w:numId="158" w16cid:durableId="53553797">
    <w:abstractNumId w:val="70"/>
  </w:num>
  <w:num w:numId="159" w16cid:durableId="42801689">
    <w:abstractNumId w:val="81"/>
  </w:num>
  <w:num w:numId="160" w16cid:durableId="316228326">
    <w:abstractNumId w:val="142"/>
  </w:num>
  <w:num w:numId="161" w16cid:durableId="1374620832">
    <w:abstractNumId w:val="150"/>
  </w:num>
  <w:num w:numId="162" w16cid:durableId="2082289953">
    <w:abstractNumId w:val="153"/>
  </w:num>
  <w:num w:numId="163" w16cid:durableId="1000891857">
    <w:abstractNumId w:val="183"/>
  </w:num>
  <w:num w:numId="164" w16cid:durableId="753626954">
    <w:abstractNumId w:val="97"/>
    <w:lvlOverride w:ilvl="0">
      <w:startOverride w:val="1"/>
    </w:lvlOverride>
    <w:lvlOverride w:ilvl="1"/>
    <w:lvlOverride w:ilvl="2"/>
    <w:lvlOverride w:ilvl="3"/>
    <w:lvlOverride w:ilvl="4"/>
    <w:lvlOverride w:ilvl="5"/>
    <w:lvlOverride w:ilvl="6"/>
    <w:lvlOverride w:ilvl="7"/>
    <w:lvlOverride w:ilvl="8"/>
  </w:num>
  <w:num w:numId="165" w16cid:durableId="182475403">
    <w:abstractNumId w:val="195"/>
  </w:num>
  <w:num w:numId="166" w16cid:durableId="995457676">
    <w:abstractNumId w:val="91"/>
  </w:num>
  <w:num w:numId="167" w16cid:durableId="787431021">
    <w:abstractNumId w:val="172"/>
  </w:num>
  <w:num w:numId="168" w16cid:durableId="660279536">
    <w:abstractNumId w:val="177"/>
  </w:num>
  <w:num w:numId="169" w16cid:durableId="374306642">
    <w:abstractNumId w:val="115"/>
  </w:num>
  <w:num w:numId="170" w16cid:durableId="410785027">
    <w:abstractNumId w:val="168"/>
  </w:num>
  <w:num w:numId="171" w16cid:durableId="1640450069">
    <w:abstractNumId w:val="85"/>
  </w:num>
  <w:num w:numId="172" w16cid:durableId="1218010323">
    <w:abstractNumId w:val="68"/>
  </w:num>
  <w:num w:numId="173" w16cid:durableId="273489445">
    <w:abstractNumId w:val="100"/>
  </w:num>
  <w:num w:numId="174" w16cid:durableId="1332634182">
    <w:abstractNumId w:val="203"/>
  </w:num>
  <w:num w:numId="175" w16cid:durableId="1589774307">
    <w:abstractNumId w:val="103"/>
  </w:num>
  <w:num w:numId="176" w16cid:durableId="673456133">
    <w:abstractNumId w:val="161"/>
  </w:num>
  <w:num w:numId="177" w16cid:durableId="1826892727">
    <w:abstractNumId w:val="204"/>
  </w:num>
  <w:num w:numId="178" w16cid:durableId="1669867127">
    <w:abstractNumId w:val="133"/>
  </w:num>
  <w:num w:numId="179" w16cid:durableId="193420666">
    <w:abstractNumId w:val="105"/>
  </w:num>
  <w:num w:numId="180" w16cid:durableId="1487356584">
    <w:abstractNumId w:val="11"/>
  </w:num>
  <w:num w:numId="181" w16cid:durableId="608009727">
    <w:abstractNumId w:val="51"/>
  </w:num>
  <w:num w:numId="182" w16cid:durableId="1298880254">
    <w:abstractNumId w:val="96"/>
  </w:num>
  <w:num w:numId="183" w16cid:durableId="1192643627">
    <w:abstractNumId w:val="165"/>
  </w:num>
  <w:num w:numId="184" w16cid:durableId="1117069278">
    <w:abstractNumId w:val="199"/>
  </w:num>
  <w:num w:numId="185" w16cid:durableId="632836131">
    <w:abstractNumId w:val="23"/>
  </w:num>
  <w:num w:numId="186" w16cid:durableId="131023438">
    <w:abstractNumId w:val="33"/>
  </w:num>
  <w:num w:numId="187" w16cid:durableId="21637548">
    <w:abstractNumId w:val="37"/>
  </w:num>
  <w:num w:numId="188" w16cid:durableId="498933680">
    <w:abstractNumId w:val="201"/>
  </w:num>
  <w:num w:numId="189" w16cid:durableId="1311983871">
    <w:abstractNumId w:val="206"/>
  </w:num>
  <w:num w:numId="190" w16cid:durableId="1176265921">
    <w:abstractNumId w:val="98"/>
  </w:num>
  <w:num w:numId="191" w16cid:durableId="1672179331">
    <w:abstractNumId w:val="40"/>
  </w:num>
  <w:num w:numId="192" w16cid:durableId="862862755">
    <w:abstractNumId w:val="119"/>
  </w:num>
  <w:num w:numId="193" w16cid:durableId="70785443">
    <w:abstractNumId w:val="70"/>
    <w:lvlOverride w:ilvl="0">
      <w:startOverride w:val="10"/>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735980027">
    <w:abstractNumId w:val="5"/>
  </w:num>
  <w:num w:numId="195" w16cid:durableId="232280601">
    <w:abstractNumId w:val="7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652712922">
    <w:abstractNumId w:val="4"/>
  </w:num>
  <w:num w:numId="197" w16cid:durableId="714430007">
    <w:abstractNumId w:val="191"/>
  </w:num>
  <w:num w:numId="198" w16cid:durableId="266081073">
    <w:abstractNumId w:val="38"/>
  </w:num>
  <w:num w:numId="199" w16cid:durableId="1038504156">
    <w:abstractNumId w:val="83"/>
  </w:num>
  <w:num w:numId="200" w16cid:durableId="647979358">
    <w:abstractNumId w:val="77"/>
  </w:num>
  <w:num w:numId="201" w16cid:durableId="274681282">
    <w:abstractNumId w:val="155"/>
  </w:num>
  <w:num w:numId="202" w16cid:durableId="262538752">
    <w:abstractNumId w:val="63"/>
  </w:num>
  <w:num w:numId="203" w16cid:durableId="1968506968">
    <w:abstractNumId w:val="128"/>
  </w:num>
  <w:num w:numId="204" w16cid:durableId="1769810648">
    <w:abstractNumId w:val="184"/>
  </w:num>
  <w:num w:numId="205" w16cid:durableId="1488858840">
    <w:abstractNumId w:val="62"/>
  </w:num>
  <w:num w:numId="206" w16cid:durableId="2108647432">
    <w:abstractNumId w:val="31"/>
  </w:num>
  <w:num w:numId="207" w16cid:durableId="665984915">
    <w:abstractNumId w:val="99"/>
  </w:num>
  <w:num w:numId="208" w16cid:durableId="590357335">
    <w:abstractNumId w:val="207"/>
  </w:num>
  <w:num w:numId="209" w16cid:durableId="176970696">
    <w:abstractNumId w:val="148"/>
  </w:num>
  <w:num w:numId="210" w16cid:durableId="1526167306">
    <w:abstractNumId w:val="192"/>
  </w:num>
  <w:num w:numId="211" w16cid:durableId="183061034">
    <w:abstractNumId w:val="0"/>
  </w:num>
  <w:num w:numId="212" w16cid:durableId="1088382646">
    <w:abstractNumId w:val="42"/>
  </w:num>
  <w:num w:numId="213" w16cid:durableId="441994633">
    <w:abstractNumId w:val="156"/>
  </w:num>
  <w:num w:numId="214" w16cid:durableId="312950247">
    <w:abstractNumId w:val="131"/>
  </w:num>
  <w:num w:numId="215" w16cid:durableId="810557801">
    <w:abstractNumId w:val="157"/>
  </w:num>
  <w:num w:numId="216" w16cid:durableId="443229204">
    <w:abstractNumId w:val="185"/>
  </w:num>
  <w:num w:numId="217" w16cid:durableId="2078474929">
    <w:abstractNumId w:val="209"/>
  </w:num>
  <w:num w:numId="218" w16cid:durableId="894967443">
    <w:abstractNumId w:val="194"/>
  </w:num>
  <w:num w:numId="219" w16cid:durableId="1535074501">
    <w:abstractNumId w:val="61"/>
  </w:num>
  <w:num w:numId="220" w16cid:durableId="916135479">
    <w:abstractNumId w:val="15"/>
  </w:num>
  <w:num w:numId="221" w16cid:durableId="957101459">
    <w:abstractNumId w:val="127"/>
  </w:num>
  <w:num w:numId="222" w16cid:durableId="111244840">
    <w:abstractNumId w:val="181"/>
  </w:num>
  <w:num w:numId="223" w16cid:durableId="793597615">
    <w:abstractNumId w:val="44"/>
  </w:num>
  <w:num w:numId="224" w16cid:durableId="2037733646">
    <w:abstractNumId w:val="120"/>
  </w:num>
  <w:num w:numId="225" w16cid:durableId="958802574">
    <w:abstractNumId w:val="208"/>
  </w:num>
  <w:num w:numId="226" w16cid:durableId="1279793353">
    <w:abstractNumId w:val="116"/>
  </w:num>
  <w:num w:numId="227" w16cid:durableId="207765318">
    <w:abstractNumId w:val="162"/>
  </w:num>
  <w:num w:numId="228" w16cid:durableId="634288462">
    <w:abstractNumId w:val="28"/>
  </w:num>
  <w:num w:numId="229" w16cid:durableId="45496573">
    <w:abstractNumId w:val="75"/>
  </w:num>
  <w:num w:numId="230" w16cid:durableId="1666661282">
    <w:abstractNumId w:val="176"/>
  </w:num>
  <w:num w:numId="231" w16cid:durableId="1765034093">
    <w:abstractNumId w:val="19"/>
  </w:num>
  <w:num w:numId="232" w16cid:durableId="386340261">
    <w:abstractNumId w:val="93"/>
  </w:num>
  <w:num w:numId="233" w16cid:durableId="2134908683">
    <w:abstractNumId w:val="135"/>
  </w:num>
  <w:num w:numId="234" w16cid:durableId="154880480">
    <w:abstractNumId w:val="167"/>
  </w:num>
  <w:num w:numId="235" w16cid:durableId="1803574695">
    <w:abstractNumId w:val="139"/>
  </w:num>
  <w:num w:numId="236" w16cid:durableId="1205602867">
    <w:abstractNumId w:val="137"/>
  </w:num>
  <w:num w:numId="237" w16cid:durableId="1910266877">
    <w:abstractNumId w:val="49"/>
  </w:num>
  <w:num w:numId="238" w16cid:durableId="89618716">
    <w:abstractNumId w:val="67"/>
  </w:num>
  <w:num w:numId="239" w16cid:durableId="676737374">
    <w:abstractNumId w:val="24"/>
  </w:num>
  <w:num w:numId="240" w16cid:durableId="1846627298">
    <w:abstractNumId w:val="3"/>
  </w:num>
  <w:num w:numId="241" w16cid:durableId="141041252">
    <w:abstractNumId w:val="122"/>
  </w:num>
  <w:num w:numId="242" w16cid:durableId="1002850580">
    <w:abstractNumId w:val="1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1"/>
  <w:activeWritingStyle w:appName="MSWord" w:lang="en-IE" w:vendorID="64" w:dllVersion="6" w:nlCheck="1" w:checkStyle="1"/>
  <w:activeWritingStyle w:appName="MSWord" w:lang="en-GB" w:vendorID="64" w:dllVersion="6" w:nlCheck="1" w:checkStyle="1"/>
  <w:activeWritingStyle w:appName="MSWord" w:lang="fr-BE" w:vendorID="64" w:dllVersion="6" w:nlCheck="1" w:checkStyle="0"/>
  <w:activeWritingStyle w:appName="MSWord" w:lang="en-IE" w:vendorID="64" w:dllVersion="0" w:nlCheck="1" w:checkStyle="0"/>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de-DE" w:vendorID="64" w:dllVersion="6" w:nlCheck="1" w:checkStyle="0"/>
  <w:activeWritingStyle w:appName="MSWord" w:lang="it-IT" w:vendorID="64" w:dllVersion="0" w:nlCheck="1" w:checkStyle="0"/>
  <w:proofState w:spelling="clean"/>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uncil" w:val="true"/>
    <w:docVar w:name="CoverPageOnWordDoc" w:val="true"/>
    <w:docVar w:name="CR_RefLast" w:val="0"/>
    <w:docVar w:name="DocStatus" w:val="Green"/>
    <w:docVar w:name="DocuWriteMetaData" w:val="&lt;metadataset docuwriteversion=&quot;4.8.2&quot; technicalblockguid=&quot;5743399454692082484&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5-02&lt;/text&gt;_x000d__x000a_  &lt;/metadata&gt;_x000d__x000a_  &lt;metadata key=&quot;md_Prefix&quot;&gt;_x000d__x000a_    &lt;text&gt;&lt;/text&gt;_x000d__x000a_  &lt;/metadata&gt;_x000d__x000a_  &lt;metadata key=&quot;md_DocumentNumber&quot;&gt;_x000d__x000a_    &lt;text&gt;8901&lt;/text&gt;_x000d__x000a_  &lt;/metadata&gt;_x000d__x000a_  &lt;metadata key=&quot;md_YearDocumentNumber&quot;&gt;_x000d__x000a_    &lt;text&gt;2023&lt;/text&gt;_x000d__x000a_  &lt;/metadata&gt;_x000d__x000a_  &lt;metadata key=&quot;md_Suffixes&quot;&gt;_x000d__x000a_    &lt;text&gt;ADD 4&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PI 58&lt;/text&gt;_x000d__x000a_      &lt;text&gt;PHARM 69&lt;/text&gt;_x000d__x000a_      &lt;text&gt;COMPET 387&lt;/text&gt;_x000d__x000a_      &lt;text&gt;MI 355&lt;/text&gt;_x000d__x000a_      &lt;text&gt;IND 209&lt;/text&gt;_x000d__x000a_      &lt;text&gt;IA 91&lt;/text&gt;_x000d__x000a_      &lt;text&gt;CODEC 751&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129(COD)&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4-27&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23) 121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COMMISSION STAFF WORKING DOCUMENT IMPACT ASSESSMENT REPORT Accompanying the document Proposal for a Regulation of the European Parliament and of the Council on compulsory licensing for crisis management and amending Regulation (EC) 816/2006&quot;&gt;&amp;lt;FlowDocument FontFamily=&quot;Segoe UI&quot; FontSize=&quot;12&quot; PagePadding=&quot;2,2,2,2&quot; AllowDrop=&quot;False&quot; xmlns=&quot;http://schemas.microsoft.com/winfx/2006/xaml/presentation&quot;&amp;gt;&amp;lt;Paragraph&amp;gt;COMMISSION STAFF WORKING DOCUMENT IMPACT ASSESSMENT REPORT Accompanying the document Proposal for a Regulation of the European Parliament and of the Council on compulsory licensing for crisis management and amending Regulation (EC) 816/2006&amp;lt;/Paragraph&amp;gt;&amp;lt;/FlowDocument&amp;gt;&lt;/xaml&gt;_x000d__x000a_  &lt;/metadata&gt;_x000d__x000a_  &lt;metadata key=&quot;md_SubjectFootnote&quot; /&gt;_x000d__x000a_  &lt;metadata key=&quot;md_DG&quot;&gt;_x000d__x000a_    &lt;text&gt;COMPET.1&lt;/text&gt;_x000d__x000a_  &lt;/metadata&gt;_x000d__x000a_  &lt;metadata key=&quot;md_Initials&quot;&gt;_x000d__x000a_    &lt;text&gt;BM/ps&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_x000d__x000a__x000d__x000a_IMPACT ASSESSMENT REPORT_x000d__x000a_&lt;/text&gt;_x000d__x000a_  &lt;/metadata&gt;_x000d__x000a_  &lt;metadata key=&quot;md_SourceDocTitle&quot;&gt;_x000d__x000a_    &lt;text&gt;Accompanying the document _x000d__x000a_Proposal for a Regulation of the European Parliament and of the Council _x000d__x000a_on compulsory licensing for crisis management and amending Regulation (EC) 816/2006 _x000d__x000a__x000d__x000a_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ccompanying the document"/>
    <w:docVar w:name="LW_CORRIGENDUM" w:val="&lt;UNUSED&gt;"/>
    <w:docVar w:name="LW_COVERPAGE_EXISTS" w:val="True"/>
    <w:docVar w:name="LW_COVERPAGE_GUID" w:val="0EFC9388-CE5C-4754-ABDF-7514F88DA909"/>
    <w:docVar w:name="LW_COVERPAGE_TYPE" w:val="1"/>
    <w:docVar w:name="LW_CROSSREFERENCE" w:val="{COM(2023) 224 final} - {SEC(2023) 173 final} - {SWD(2023) 120 final} - {SWD(2023) 122 final}"/>
    <w:docVar w:name="LW_DocType" w:val="NORMAL"/>
    <w:docVar w:name="LW_EMISSION" w:val="27.4.2023"/>
    <w:docVar w:name="LW_EMISSION_ISODATE" w:val="2023-04-2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compulsory licensing for crisis management and amending Regulation (EC) 816/2006 _x000d__x000d__x000b_"/>
    <w:docVar w:name="LW_PART_NBR" w:val="1"/>
    <w:docVar w:name="LW_PART_NBR_TOTAL" w:val="1"/>
    <w:docVar w:name="LW_REF.INST.NEW" w:val="SWD"/>
    <w:docVar w:name="LW_REF.INST.NEW_ADOPTED" w:val="final"/>
    <w:docVar w:name="LW_REF.INST.NEW_TEXT" w:val="(2023) 1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Regulation of the European Parliament and of the Council"/>
    <w:docVar w:name="LwApiVersions" w:val="LW4CoDe 1.23.2.0; LW 8.0, Build 20211117"/>
  </w:docVars>
  <w:rsids>
    <w:rsidRoot w:val="006B087E"/>
    <w:rsid w:val="00000032"/>
    <w:rsid w:val="0000020C"/>
    <w:rsid w:val="000002F2"/>
    <w:rsid w:val="000004C6"/>
    <w:rsid w:val="000008F7"/>
    <w:rsid w:val="000009A5"/>
    <w:rsid w:val="00000C9F"/>
    <w:rsid w:val="00000DB9"/>
    <w:rsid w:val="00000E73"/>
    <w:rsid w:val="00001133"/>
    <w:rsid w:val="0000146F"/>
    <w:rsid w:val="00001519"/>
    <w:rsid w:val="0000169B"/>
    <w:rsid w:val="00001802"/>
    <w:rsid w:val="000018B0"/>
    <w:rsid w:val="000018E9"/>
    <w:rsid w:val="00001951"/>
    <w:rsid w:val="00001C33"/>
    <w:rsid w:val="00001C7B"/>
    <w:rsid w:val="00001CF4"/>
    <w:rsid w:val="00001F49"/>
    <w:rsid w:val="000021BC"/>
    <w:rsid w:val="000028B0"/>
    <w:rsid w:val="00002ABD"/>
    <w:rsid w:val="00002B80"/>
    <w:rsid w:val="00002D2C"/>
    <w:rsid w:val="00002ED2"/>
    <w:rsid w:val="00002EDB"/>
    <w:rsid w:val="00003505"/>
    <w:rsid w:val="00003600"/>
    <w:rsid w:val="00003616"/>
    <w:rsid w:val="0000382D"/>
    <w:rsid w:val="0000387C"/>
    <w:rsid w:val="000038EB"/>
    <w:rsid w:val="000039FA"/>
    <w:rsid w:val="00003A12"/>
    <w:rsid w:val="00003FC9"/>
    <w:rsid w:val="0000400B"/>
    <w:rsid w:val="00004965"/>
    <w:rsid w:val="00004BA9"/>
    <w:rsid w:val="00004DA4"/>
    <w:rsid w:val="00004E00"/>
    <w:rsid w:val="00004EE9"/>
    <w:rsid w:val="00004F10"/>
    <w:rsid w:val="00005182"/>
    <w:rsid w:val="000058E4"/>
    <w:rsid w:val="000059A0"/>
    <w:rsid w:val="00005B48"/>
    <w:rsid w:val="00005CF3"/>
    <w:rsid w:val="00005D67"/>
    <w:rsid w:val="00005DCE"/>
    <w:rsid w:val="00005E43"/>
    <w:rsid w:val="00005E6F"/>
    <w:rsid w:val="00005FC7"/>
    <w:rsid w:val="00006151"/>
    <w:rsid w:val="000062EE"/>
    <w:rsid w:val="00006413"/>
    <w:rsid w:val="000065B4"/>
    <w:rsid w:val="00006638"/>
    <w:rsid w:val="0000681E"/>
    <w:rsid w:val="00006833"/>
    <w:rsid w:val="00006904"/>
    <w:rsid w:val="00006A43"/>
    <w:rsid w:val="00006A58"/>
    <w:rsid w:val="00006D76"/>
    <w:rsid w:val="000077B7"/>
    <w:rsid w:val="000078BE"/>
    <w:rsid w:val="00007A56"/>
    <w:rsid w:val="00007C57"/>
    <w:rsid w:val="000099BB"/>
    <w:rsid w:val="0001022B"/>
    <w:rsid w:val="00010293"/>
    <w:rsid w:val="0001050A"/>
    <w:rsid w:val="000107A4"/>
    <w:rsid w:val="0001098C"/>
    <w:rsid w:val="00010AD5"/>
    <w:rsid w:val="00010B0A"/>
    <w:rsid w:val="00010BFB"/>
    <w:rsid w:val="00010D18"/>
    <w:rsid w:val="00010E69"/>
    <w:rsid w:val="00010E8F"/>
    <w:rsid w:val="00010F22"/>
    <w:rsid w:val="00011367"/>
    <w:rsid w:val="0001137A"/>
    <w:rsid w:val="00011392"/>
    <w:rsid w:val="000113CD"/>
    <w:rsid w:val="000113DC"/>
    <w:rsid w:val="00011476"/>
    <w:rsid w:val="00011AD3"/>
    <w:rsid w:val="00011D9D"/>
    <w:rsid w:val="00011DED"/>
    <w:rsid w:val="00011F0E"/>
    <w:rsid w:val="000122B1"/>
    <w:rsid w:val="00012459"/>
    <w:rsid w:val="0001293B"/>
    <w:rsid w:val="00012A29"/>
    <w:rsid w:val="00012A9F"/>
    <w:rsid w:val="00012B7F"/>
    <w:rsid w:val="00012BBF"/>
    <w:rsid w:val="00012BE0"/>
    <w:rsid w:val="00012D77"/>
    <w:rsid w:val="00012F4C"/>
    <w:rsid w:val="0001326E"/>
    <w:rsid w:val="000132F4"/>
    <w:rsid w:val="00013569"/>
    <w:rsid w:val="000135D9"/>
    <w:rsid w:val="00013750"/>
    <w:rsid w:val="00013AF9"/>
    <w:rsid w:val="00013BB9"/>
    <w:rsid w:val="00013F38"/>
    <w:rsid w:val="0001406F"/>
    <w:rsid w:val="000140A1"/>
    <w:rsid w:val="000140CC"/>
    <w:rsid w:val="0001411E"/>
    <w:rsid w:val="000141CB"/>
    <w:rsid w:val="0001420F"/>
    <w:rsid w:val="000142CF"/>
    <w:rsid w:val="000144D6"/>
    <w:rsid w:val="0001459F"/>
    <w:rsid w:val="000146A6"/>
    <w:rsid w:val="00014740"/>
    <w:rsid w:val="000148C2"/>
    <w:rsid w:val="00014D35"/>
    <w:rsid w:val="00014E10"/>
    <w:rsid w:val="00015201"/>
    <w:rsid w:val="00015313"/>
    <w:rsid w:val="00015400"/>
    <w:rsid w:val="00015800"/>
    <w:rsid w:val="00015952"/>
    <w:rsid w:val="00015AB5"/>
    <w:rsid w:val="00015D5A"/>
    <w:rsid w:val="00016432"/>
    <w:rsid w:val="0001651F"/>
    <w:rsid w:val="00016548"/>
    <w:rsid w:val="000165B8"/>
    <w:rsid w:val="0001666D"/>
    <w:rsid w:val="00016A1D"/>
    <w:rsid w:val="00016DA1"/>
    <w:rsid w:val="00016EE7"/>
    <w:rsid w:val="0001738D"/>
    <w:rsid w:val="000177E5"/>
    <w:rsid w:val="00017ECA"/>
    <w:rsid w:val="00017F00"/>
    <w:rsid w:val="00017FA4"/>
    <w:rsid w:val="00017FDF"/>
    <w:rsid w:val="000200C0"/>
    <w:rsid w:val="00020116"/>
    <w:rsid w:val="00020138"/>
    <w:rsid w:val="00020194"/>
    <w:rsid w:val="000201CC"/>
    <w:rsid w:val="0002056E"/>
    <w:rsid w:val="000207EE"/>
    <w:rsid w:val="000209B3"/>
    <w:rsid w:val="00020B6E"/>
    <w:rsid w:val="00020B85"/>
    <w:rsid w:val="00020CAB"/>
    <w:rsid w:val="00020D68"/>
    <w:rsid w:val="00020E38"/>
    <w:rsid w:val="00020E64"/>
    <w:rsid w:val="000210C9"/>
    <w:rsid w:val="000211EC"/>
    <w:rsid w:val="00021ACC"/>
    <w:rsid w:val="00021B56"/>
    <w:rsid w:val="000220B0"/>
    <w:rsid w:val="00022142"/>
    <w:rsid w:val="000222A2"/>
    <w:rsid w:val="0002257B"/>
    <w:rsid w:val="00022584"/>
    <w:rsid w:val="000229F9"/>
    <w:rsid w:val="00022A01"/>
    <w:rsid w:val="00022B4C"/>
    <w:rsid w:val="00022E49"/>
    <w:rsid w:val="00022FBB"/>
    <w:rsid w:val="00022FD8"/>
    <w:rsid w:val="0002307C"/>
    <w:rsid w:val="00023158"/>
    <w:rsid w:val="000231C4"/>
    <w:rsid w:val="00023227"/>
    <w:rsid w:val="00023452"/>
    <w:rsid w:val="00023504"/>
    <w:rsid w:val="00023705"/>
    <w:rsid w:val="00023A50"/>
    <w:rsid w:val="00023B09"/>
    <w:rsid w:val="00023C11"/>
    <w:rsid w:val="00023E6C"/>
    <w:rsid w:val="00024179"/>
    <w:rsid w:val="0002427B"/>
    <w:rsid w:val="000242DD"/>
    <w:rsid w:val="0002460C"/>
    <w:rsid w:val="00024733"/>
    <w:rsid w:val="000247FC"/>
    <w:rsid w:val="00024972"/>
    <w:rsid w:val="00024DB8"/>
    <w:rsid w:val="00024F3A"/>
    <w:rsid w:val="00025047"/>
    <w:rsid w:val="00025341"/>
    <w:rsid w:val="000253A4"/>
    <w:rsid w:val="000258CF"/>
    <w:rsid w:val="00025A16"/>
    <w:rsid w:val="00026077"/>
    <w:rsid w:val="0002607F"/>
    <w:rsid w:val="00026128"/>
    <w:rsid w:val="000262E5"/>
    <w:rsid w:val="00026434"/>
    <w:rsid w:val="000266DF"/>
    <w:rsid w:val="00026707"/>
    <w:rsid w:val="0002672C"/>
    <w:rsid w:val="000269B7"/>
    <w:rsid w:val="00026ACA"/>
    <w:rsid w:val="0002709A"/>
    <w:rsid w:val="00027342"/>
    <w:rsid w:val="000274B5"/>
    <w:rsid w:val="0002760B"/>
    <w:rsid w:val="00027693"/>
    <w:rsid w:val="000278D4"/>
    <w:rsid w:val="00027F62"/>
    <w:rsid w:val="000301DF"/>
    <w:rsid w:val="000301FB"/>
    <w:rsid w:val="0003046D"/>
    <w:rsid w:val="00030699"/>
    <w:rsid w:val="000306A8"/>
    <w:rsid w:val="000306EA"/>
    <w:rsid w:val="000307C1"/>
    <w:rsid w:val="00030916"/>
    <w:rsid w:val="00030B9E"/>
    <w:rsid w:val="00030C9A"/>
    <w:rsid w:val="00031182"/>
    <w:rsid w:val="00031194"/>
    <w:rsid w:val="00031362"/>
    <w:rsid w:val="0003159B"/>
    <w:rsid w:val="000317C9"/>
    <w:rsid w:val="000319BB"/>
    <w:rsid w:val="00031BF3"/>
    <w:rsid w:val="00031D5A"/>
    <w:rsid w:val="00031DAB"/>
    <w:rsid w:val="00031DF2"/>
    <w:rsid w:val="00031EBA"/>
    <w:rsid w:val="00031F36"/>
    <w:rsid w:val="00031F79"/>
    <w:rsid w:val="000320E1"/>
    <w:rsid w:val="000321F2"/>
    <w:rsid w:val="00032333"/>
    <w:rsid w:val="000325D1"/>
    <w:rsid w:val="0003275A"/>
    <w:rsid w:val="00032A9C"/>
    <w:rsid w:val="00032DFB"/>
    <w:rsid w:val="00032E40"/>
    <w:rsid w:val="00032F39"/>
    <w:rsid w:val="00033436"/>
    <w:rsid w:val="00033514"/>
    <w:rsid w:val="00033787"/>
    <w:rsid w:val="00033815"/>
    <w:rsid w:val="00033CC8"/>
    <w:rsid w:val="00034152"/>
    <w:rsid w:val="0003420D"/>
    <w:rsid w:val="0003461A"/>
    <w:rsid w:val="00034948"/>
    <w:rsid w:val="00034D33"/>
    <w:rsid w:val="00034EFD"/>
    <w:rsid w:val="000350E9"/>
    <w:rsid w:val="00035103"/>
    <w:rsid w:val="00035261"/>
    <w:rsid w:val="00035290"/>
    <w:rsid w:val="000354CC"/>
    <w:rsid w:val="000354DB"/>
    <w:rsid w:val="0003569A"/>
    <w:rsid w:val="00035781"/>
    <w:rsid w:val="00035F2E"/>
    <w:rsid w:val="00036188"/>
    <w:rsid w:val="0003620C"/>
    <w:rsid w:val="000362A7"/>
    <w:rsid w:val="000365E1"/>
    <w:rsid w:val="00036AC6"/>
    <w:rsid w:val="00036B8C"/>
    <w:rsid w:val="00036BC2"/>
    <w:rsid w:val="00036C1B"/>
    <w:rsid w:val="00036CE1"/>
    <w:rsid w:val="00036D76"/>
    <w:rsid w:val="000374BA"/>
    <w:rsid w:val="0003784B"/>
    <w:rsid w:val="00037B32"/>
    <w:rsid w:val="00037D80"/>
    <w:rsid w:val="00037EE5"/>
    <w:rsid w:val="00037FF5"/>
    <w:rsid w:val="00039DB4"/>
    <w:rsid w:val="0004015C"/>
    <w:rsid w:val="000402EF"/>
    <w:rsid w:val="000406F1"/>
    <w:rsid w:val="0004070A"/>
    <w:rsid w:val="00040940"/>
    <w:rsid w:val="000409BB"/>
    <w:rsid w:val="00040BAE"/>
    <w:rsid w:val="00040D8A"/>
    <w:rsid w:val="00040DDE"/>
    <w:rsid w:val="00040F06"/>
    <w:rsid w:val="000413F9"/>
    <w:rsid w:val="000416A1"/>
    <w:rsid w:val="000416F0"/>
    <w:rsid w:val="00041AEB"/>
    <w:rsid w:val="00041C05"/>
    <w:rsid w:val="00041D33"/>
    <w:rsid w:val="000421DF"/>
    <w:rsid w:val="00042440"/>
    <w:rsid w:val="00042562"/>
    <w:rsid w:val="0004264F"/>
    <w:rsid w:val="0004273A"/>
    <w:rsid w:val="00042753"/>
    <w:rsid w:val="000428E1"/>
    <w:rsid w:val="00042B9B"/>
    <w:rsid w:val="00042BEE"/>
    <w:rsid w:val="00042D93"/>
    <w:rsid w:val="000432F2"/>
    <w:rsid w:val="000437B6"/>
    <w:rsid w:val="000438D9"/>
    <w:rsid w:val="00043908"/>
    <w:rsid w:val="00043910"/>
    <w:rsid w:val="0004398B"/>
    <w:rsid w:val="00043F02"/>
    <w:rsid w:val="0004435E"/>
    <w:rsid w:val="00044798"/>
    <w:rsid w:val="00044B9E"/>
    <w:rsid w:val="00044DAE"/>
    <w:rsid w:val="00044DD4"/>
    <w:rsid w:val="00044EE2"/>
    <w:rsid w:val="00044EEB"/>
    <w:rsid w:val="00044F29"/>
    <w:rsid w:val="00045060"/>
    <w:rsid w:val="000454D8"/>
    <w:rsid w:val="0004560C"/>
    <w:rsid w:val="000456EC"/>
    <w:rsid w:val="00045989"/>
    <w:rsid w:val="00046031"/>
    <w:rsid w:val="0004611A"/>
    <w:rsid w:val="000465EF"/>
    <w:rsid w:val="000469D8"/>
    <w:rsid w:val="00046AD0"/>
    <w:rsid w:val="00046AEC"/>
    <w:rsid w:val="00046C38"/>
    <w:rsid w:val="00046DAB"/>
    <w:rsid w:val="00046E08"/>
    <w:rsid w:val="00046E3C"/>
    <w:rsid w:val="00046F85"/>
    <w:rsid w:val="00047064"/>
    <w:rsid w:val="000472BE"/>
    <w:rsid w:val="00047327"/>
    <w:rsid w:val="0004742F"/>
    <w:rsid w:val="0004754E"/>
    <w:rsid w:val="00047761"/>
    <w:rsid w:val="00047856"/>
    <w:rsid w:val="0004792F"/>
    <w:rsid w:val="00047A8C"/>
    <w:rsid w:val="00047C19"/>
    <w:rsid w:val="00047E20"/>
    <w:rsid w:val="00047F47"/>
    <w:rsid w:val="0004BEEE"/>
    <w:rsid w:val="000500CC"/>
    <w:rsid w:val="00050664"/>
    <w:rsid w:val="000506A4"/>
    <w:rsid w:val="00050878"/>
    <w:rsid w:val="00050965"/>
    <w:rsid w:val="000509C3"/>
    <w:rsid w:val="00050D10"/>
    <w:rsid w:val="00050F4A"/>
    <w:rsid w:val="000515FF"/>
    <w:rsid w:val="00051698"/>
    <w:rsid w:val="000517E9"/>
    <w:rsid w:val="00051EAA"/>
    <w:rsid w:val="0005211B"/>
    <w:rsid w:val="00052240"/>
    <w:rsid w:val="0005239E"/>
    <w:rsid w:val="0005245F"/>
    <w:rsid w:val="0005261F"/>
    <w:rsid w:val="000527E9"/>
    <w:rsid w:val="00052A38"/>
    <w:rsid w:val="00052A9F"/>
    <w:rsid w:val="00052C63"/>
    <w:rsid w:val="00052DB7"/>
    <w:rsid w:val="00052FF6"/>
    <w:rsid w:val="00053096"/>
    <w:rsid w:val="00053155"/>
    <w:rsid w:val="000534D4"/>
    <w:rsid w:val="00053584"/>
    <w:rsid w:val="00053610"/>
    <w:rsid w:val="0005379C"/>
    <w:rsid w:val="00053913"/>
    <w:rsid w:val="00053A03"/>
    <w:rsid w:val="00053A5A"/>
    <w:rsid w:val="00053BF3"/>
    <w:rsid w:val="00053C08"/>
    <w:rsid w:val="00053CC9"/>
    <w:rsid w:val="00053D3F"/>
    <w:rsid w:val="000540F9"/>
    <w:rsid w:val="00054204"/>
    <w:rsid w:val="000542BC"/>
    <w:rsid w:val="00054794"/>
    <w:rsid w:val="00054897"/>
    <w:rsid w:val="00054906"/>
    <w:rsid w:val="00054AF2"/>
    <w:rsid w:val="00054CC0"/>
    <w:rsid w:val="00054D75"/>
    <w:rsid w:val="00054E55"/>
    <w:rsid w:val="00054E93"/>
    <w:rsid w:val="00054EDC"/>
    <w:rsid w:val="00055095"/>
    <w:rsid w:val="000551A5"/>
    <w:rsid w:val="000554EB"/>
    <w:rsid w:val="000555A2"/>
    <w:rsid w:val="0005573B"/>
    <w:rsid w:val="00055938"/>
    <w:rsid w:val="000559CA"/>
    <w:rsid w:val="00055AC8"/>
    <w:rsid w:val="00055B16"/>
    <w:rsid w:val="00055EF4"/>
    <w:rsid w:val="00055F89"/>
    <w:rsid w:val="00056078"/>
    <w:rsid w:val="00056452"/>
    <w:rsid w:val="00056596"/>
    <w:rsid w:val="00056670"/>
    <w:rsid w:val="000567B7"/>
    <w:rsid w:val="000568AA"/>
    <w:rsid w:val="00056C5C"/>
    <w:rsid w:val="00056FE4"/>
    <w:rsid w:val="00057273"/>
    <w:rsid w:val="0005754C"/>
    <w:rsid w:val="000575F8"/>
    <w:rsid w:val="000576A9"/>
    <w:rsid w:val="000576E9"/>
    <w:rsid w:val="00057BF8"/>
    <w:rsid w:val="00057D86"/>
    <w:rsid w:val="00057F2F"/>
    <w:rsid w:val="00057F30"/>
    <w:rsid w:val="0006004B"/>
    <w:rsid w:val="000601D2"/>
    <w:rsid w:val="00060309"/>
    <w:rsid w:val="0006055A"/>
    <w:rsid w:val="00060687"/>
    <w:rsid w:val="00060A43"/>
    <w:rsid w:val="00061095"/>
    <w:rsid w:val="000610F2"/>
    <w:rsid w:val="0006112E"/>
    <w:rsid w:val="00061191"/>
    <w:rsid w:val="00061478"/>
    <w:rsid w:val="00061653"/>
    <w:rsid w:val="000617D9"/>
    <w:rsid w:val="000618AC"/>
    <w:rsid w:val="00061CA0"/>
    <w:rsid w:val="00061E75"/>
    <w:rsid w:val="00061E8E"/>
    <w:rsid w:val="00061F78"/>
    <w:rsid w:val="00062127"/>
    <w:rsid w:val="00062301"/>
    <w:rsid w:val="00062484"/>
    <w:rsid w:val="000624A6"/>
    <w:rsid w:val="0006264C"/>
    <w:rsid w:val="000626C9"/>
    <w:rsid w:val="0006277C"/>
    <w:rsid w:val="0006288A"/>
    <w:rsid w:val="00062A8E"/>
    <w:rsid w:val="00062B3C"/>
    <w:rsid w:val="00062B84"/>
    <w:rsid w:val="00062DFD"/>
    <w:rsid w:val="00062EC0"/>
    <w:rsid w:val="00063091"/>
    <w:rsid w:val="000631A4"/>
    <w:rsid w:val="000631E8"/>
    <w:rsid w:val="00063478"/>
    <w:rsid w:val="000634FB"/>
    <w:rsid w:val="0006372E"/>
    <w:rsid w:val="00063735"/>
    <w:rsid w:val="0006399D"/>
    <w:rsid w:val="000639C0"/>
    <w:rsid w:val="00063BFB"/>
    <w:rsid w:val="00064081"/>
    <w:rsid w:val="0006439E"/>
    <w:rsid w:val="00064414"/>
    <w:rsid w:val="000646E9"/>
    <w:rsid w:val="0006473A"/>
    <w:rsid w:val="00064795"/>
    <w:rsid w:val="000649CA"/>
    <w:rsid w:val="000649ED"/>
    <w:rsid w:val="00064ABE"/>
    <w:rsid w:val="00064B45"/>
    <w:rsid w:val="00064BEC"/>
    <w:rsid w:val="00064C61"/>
    <w:rsid w:val="00064C71"/>
    <w:rsid w:val="00064C81"/>
    <w:rsid w:val="00064D33"/>
    <w:rsid w:val="00064FA5"/>
    <w:rsid w:val="00064FDF"/>
    <w:rsid w:val="000653CD"/>
    <w:rsid w:val="000655BC"/>
    <w:rsid w:val="000657D6"/>
    <w:rsid w:val="0006581E"/>
    <w:rsid w:val="000658F1"/>
    <w:rsid w:val="00065A15"/>
    <w:rsid w:val="00065B7E"/>
    <w:rsid w:val="000664F8"/>
    <w:rsid w:val="00066969"/>
    <w:rsid w:val="000669AA"/>
    <w:rsid w:val="00066D33"/>
    <w:rsid w:val="00066D8A"/>
    <w:rsid w:val="000671B7"/>
    <w:rsid w:val="000671FD"/>
    <w:rsid w:val="00067386"/>
    <w:rsid w:val="00067591"/>
    <w:rsid w:val="00067673"/>
    <w:rsid w:val="0006788A"/>
    <w:rsid w:val="000679FA"/>
    <w:rsid w:val="00067CDB"/>
    <w:rsid w:val="00067DB6"/>
    <w:rsid w:val="00067E78"/>
    <w:rsid w:val="00070193"/>
    <w:rsid w:val="00070278"/>
    <w:rsid w:val="00070542"/>
    <w:rsid w:val="000707F5"/>
    <w:rsid w:val="00070AF7"/>
    <w:rsid w:val="00070B40"/>
    <w:rsid w:val="00070CD9"/>
    <w:rsid w:val="00070CE8"/>
    <w:rsid w:val="00070D02"/>
    <w:rsid w:val="00070D27"/>
    <w:rsid w:val="00070DEA"/>
    <w:rsid w:val="00070E94"/>
    <w:rsid w:val="00070EFE"/>
    <w:rsid w:val="00070F4D"/>
    <w:rsid w:val="00070FFA"/>
    <w:rsid w:val="00071064"/>
    <w:rsid w:val="000711B9"/>
    <w:rsid w:val="00071302"/>
    <w:rsid w:val="0007155E"/>
    <w:rsid w:val="0007172C"/>
    <w:rsid w:val="00071C6D"/>
    <w:rsid w:val="00071DAA"/>
    <w:rsid w:val="00071E48"/>
    <w:rsid w:val="00071E5A"/>
    <w:rsid w:val="0007210E"/>
    <w:rsid w:val="00072470"/>
    <w:rsid w:val="00072972"/>
    <w:rsid w:val="00072A64"/>
    <w:rsid w:val="0007341F"/>
    <w:rsid w:val="000734EB"/>
    <w:rsid w:val="000738CB"/>
    <w:rsid w:val="00073A2D"/>
    <w:rsid w:val="00073A71"/>
    <w:rsid w:val="00073E99"/>
    <w:rsid w:val="00073F92"/>
    <w:rsid w:val="000740EA"/>
    <w:rsid w:val="000741BC"/>
    <w:rsid w:val="000741DA"/>
    <w:rsid w:val="000746D7"/>
    <w:rsid w:val="00074D6A"/>
    <w:rsid w:val="000751B2"/>
    <w:rsid w:val="000753B0"/>
    <w:rsid w:val="000754E0"/>
    <w:rsid w:val="000759DB"/>
    <w:rsid w:val="00075C89"/>
    <w:rsid w:val="00075C8F"/>
    <w:rsid w:val="00076053"/>
    <w:rsid w:val="00076396"/>
    <w:rsid w:val="000768A8"/>
    <w:rsid w:val="00076C5E"/>
    <w:rsid w:val="00076D45"/>
    <w:rsid w:val="00076E1C"/>
    <w:rsid w:val="00076E93"/>
    <w:rsid w:val="00076F28"/>
    <w:rsid w:val="00076F8F"/>
    <w:rsid w:val="000770AE"/>
    <w:rsid w:val="000770D7"/>
    <w:rsid w:val="0007779F"/>
    <w:rsid w:val="000778D4"/>
    <w:rsid w:val="000778FB"/>
    <w:rsid w:val="00077929"/>
    <w:rsid w:val="00077973"/>
    <w:rsid w:val="00077993"/>
    <w:rsid w:val="00077EBD"/>
    <w:rsid w:val="00077FDB"/>
    <w:rsid w:val="0008036A"/>
    <w:rsid w:val="000805C8"/>
    <w:rsid w:val="00080844"/>
    <w:rsid w:val="0008097A"/>
    <w:rsid w:val="00080B81"/>
    <w:rsid w:val="00080B9A"/>
    <w:rsid w:val="00080BC8"/>
    <w:rsid w:val="00080BE9"/>
    <w:rsid w:val="00081112"/>
    <w:rsid w:val="000811DE"/>
    <w:rsid w:val="00081417"/>
    <w:rsid w:val="000817B2"/>
    <w:rsid w:val="000819A6"/>
    <w:rsid w:val="00081F25"/>
    <w:rsid w:val="00082241"/>
    <w:rsid w:val="00082317"/>
    <w:rsid w:val="00082491"/>
    <w:rsid w:val="00082543"/>
    <w:rsid w:val="00082713"/>
    <w:rsid w:val="000827CE"/>
    <w:rsid w:val="00082DF0"/>
    <w:rsid w:val="00082EE1"/>
    <w:rsid w:val="00083059"/>
    <w:rsid w:val="000831EC"/>
    <w:rsid w:val="00083828"/>
    <w:rsid w:val="000838BC"/>
    <w:rsid w:val="00083B5B"/>
    <w:rsid w:val="00083B90"/>
    <w:rsid w:val="00084383"/>
    <w:rsid w:val="00084495"/>
    <w:rsid w:val="00084A23"/>
    <w:rsid w:val="00084B3D"/>
    <w:rsid w:val="00084D4C"/>
    <w:rsid w:val="00084DC6"/>
    <w:rsid w:val="0008511B"/>
    <w:rsid w:val="00085421"/>
    <w:rsid w:val="00085446"/>
    <w:rsid w:val="0008563E"/>
    <w:rsid w:val="0008580C"/>
    <w:rsid w:val="0008593F"/>
    <w:rsid w:val="00085940"/>
    <w:rsid w:val="00085BE1"/>
    <w:rsid w:val="00085E05"/>
    <w:rsid w:val="00085E92"/>
    <w:rsid w:val="00085EEF"/>
    <w:rsid w:val="00085F8B"/>
    <w:rsid w:val="00085FFB"/>
    <w:rsid w:val="00086185"/>
    <w:rsid w:val="0008623A"/>
    <w:rsid w:val="00086297"/>
    <w:rsid w:val="000862F1"/>
    <w:rsid w:val="00086488"/>
    <w:rsid w:val="00086551"/>
    <w:rsid w:val="00086651"/>
    <w:rsid w:val="00086818"/>
    <w:rsid w:val="00086A32"/>
    <w:rsid w:val="00086D01"/>
    <w:rsid w:val="00086D67"/>
    <w:rsid w:val="000870A3"/>
    <w:rsid w:val="0008719A"/>
    <w:rsid w:val="000872B3"/>
    <w:rsid w:val="00087347"/>
    <w:rsid w:val="00087388"/>
    <w:rsid w:val="00087503"/>
    <w:rsid w:val="00087661"/>
    <w:rsid w:val="000877AE"/>
    <w:rsid w:val="00087802"/>
    <w:rsid w:val="00087890"/>
    <w:rsid w:val="00087BD4"/>
    <w:rsid w:val="00087C13"/>
    <w:rsid w:val="00087DCF"/>
    <w:rsid w:val="00087FDD"/>
    <w:rsid w:val="000900EC"/>
    <w:rsid w:val="000902FD"/>
    <w:rsid w:val="0009037C"/>
    <w:rsid w:val="000905B7"/>
    <w:rsid w:val="00090818"/>
    <w:rsid w:val="000908A5"/>
    <w:rsid w:val="000908B8"/>
    <w:rsid w:val="000909D9"/>
    <w:rsid w:val="00090B14"/>
    <w:rsid w:val="00090CCA"/>
    <w:rsid w:val="00090D41"/>
    <w:rsid w:val="00091341"/>
    <w:rsid w:val="00091530"/>
    <w:rsid w:val="000915FC"/>
    <w:rsid w:val="0009165B"/>
    <w:rsid w:val="000918D3"/>
    <w:rsid w:val="000919A7"/>
    <w:rsid w:val="00091ABB"/>
    <w:rsid w:val="00091D75"/>
    <w:rsid w:val="00091DC1"/>
    <w:rsid w:val="00091E12"/>
    <w:rsid w:val="00091EF7"/>
    <w:rsid w:val="000924E2"/>
    <w:rsid w:val="00092863"/>
    <w:rsid w:val="00092D1E"/>
    <w:rsid w:val="0009330D"/>
    <w:rsid w:val="000934B0"/>
    <w:rsid w:val="0009371F"/>
    <w:rsid w:val="0009388B"/>
    <w:rsid w:val="000938ED"/>
    <w:rsid w:val="00093C06"/>
    <w:rsid w:val="00093C26"/>
    <w:rsid w:val="00093D99"/>
    <w:rsid w:val="000942B4"/>
    <w:rsid w:val="00094525"/>
    <w:rsid w:val="000949BA"/>
    <w:rsid w:val="000949D5"/>
    <w:rsid w:val="00094B29"/>
    <w:rsid w:val="00094CFD"/>
    <w:rsid w:val="00094E02"/>
    <w:rsid w:val="00094F0C"/>
    <w:rsid w:val="00095023"/>
    <w:rsid w:val="000951C7"/>
    <w:rsid w:val="000952CD"/>
    <w:rsid w:val="0009534F"/>
    <w:rsid w:val="00095375"/>
    <w:rsid w:val="0009537E"/>
    <w:rsid w:val="00095685"/>
    <w:rsid w:val="0009582F"/>
    <w:rsid w:val="0009591F"/>
    <w:rsid w:val="00095DA2"/>
    <w:rsid w:val="00095DC3"/>
    <w:rsid w:val="00095E53"/>
    <w:rsid w:val="00095F8C"/>
    <w:rsid w:val="00096092"/>
    <w:rsid w:val="000962F5"/>
    <w:rsid w:val="000963E4"/>
    <w:rsid w:val="000964C3"/>
    <w:rsid w:val="000964F2"/>
    <w:rsid w:val="00096AC6"/>
    <w:rsid w:val="00096C72"/>
    <w:rsid w:val="00097051"/>
    <w:rsid w:val="000971B6"/>
    <w:rsid w:val="0009721B"/>
    <w:rsid w:val="000974E5"/>
    <w:rsid w:val="00097616"/>
    <w:rsid w:val="00097B15"/>
    <w:rsid w:val="00097B5C"/>
    <w:rsid w:val="00097CF6"/>
    <w:rsid w:val="00097FCB"/>
    <w:rsid w:val="000A00B3"/>
    <w:rsid w:val="000A0100"/>
    <w:rsid w:val="000A02B5"/>
    <w:rsid w:val="000A031A"/>
    <w:rsid w:val="000A0502"/>
    <w:rsid w:val="000A0585"/>
    <w:rsid w:val="000A05B0"/>
    <w:rsid w:val="000A05CA"/>
    <w:rsid w:val="000A076C"/>
    <w:rsid w:val="000A0BFD"/>
    <w:rsid w:val="000A0D5C"/>
    <w:rsid w:val="000A1190"/>
    <w:rsid w:val="000A1545"/>
    <w:rsid w:val="000A15CC"/>
    <w:rsid w:val="000A1663"/>
    <w:rsid w:val="000A1A8A"/>
    <w:rsid w:val="000A1B33"/>
    <w:rsid w:val="000A1BBE"/>
    <w:rsid w:val="000A1C02"/>
    <w:rsid w:val="000A2164"/>
    <w:rsid w:val="000A250F"/>
    <w:rsid w:val="000A2604"/>
    <w:rsid w:val="000A264E"/>
    <w:rsid w:val="000A2667"/>
    <w:rsid w:val="000A28EC"/>
    <w:rsid w:val="000A2986"/>
    <w:rsid w:val="000A2F09"/>
    <w:rsid w:val="000A2FAE"/>
    <w:rsid w:val="000A3367"/>
    <w:rsid w:val="000A3A80"/>
    <w:rsid w:val="000A3ADB"/>
    <w:rsid w:val="000A3AE2"/>
    <w:rsid w:val="000A3D56"/>
    <w:rsid w:val="000A3E1C"/>
    <w:rsid w:val="000A3F2E"/>
    <w:rsid w:val="000A407D"/>
    <w:rsid w:val="000A40D8"/>
    <w:rsid w:val="000A4103"/>
    <w:rsid w:val="000A4205"/>
    <w:rsid w:val="000A42C8"/>
    <w:rsid w:val="000A43BD"/>
    <w:rsid w:val="000A4764"/>
    <w:rsid w:val="000A4A0A"/>
    <w:rsid w:val="000A4C56"/>
    <w:rsid w:val="000A4CB3"/>
    <w:rsid w:val="000A4CD8"/>
    <w:rsid w:val="000A4DA9"/>
    <w:rsid w:val="000A4E91"/>
    <w:rsid w:val="000A4EF8"/>
    <w:rsid w:val="000A5339"/>
    <w:rsid w:val="000A569D"/>
    <w:rsid w:val="000A6029"/>
    <w:rsid w:val="000A61B2"/>
    <w:rsid w:val="000A636B"/>
    <w:rsid w:val="000A65AB"/>
    <w:rsid w:val="000A680D"/>
    <w:rsid w:val="000A696F"/>
    <w:rsid w:val="000A741D"/>
    <w:rsid w:val="000A7753"/>
    <w:rsid w:val="000A7A37"/>
    <w:rsid w:val="000A7E2B"/>
    <w:rsid w:val="000A7E36"/>
    <w:rsid w:val="000A7E61"/>
    <w:rsid w:val="000A7E72"/>
    <w:rsid w:val="000B051C"/>
    <w:rsid w:val="000B0529"/>
    <w:rsid w:val="000B06C1"/>
    <w:rsid w:val="000B088D"/>
    <w:rsid w:val="000B0AC7"/>
    <w:rsid w:val="000B0D01"/>
    <w:rsid w:val="000B0D3D"/>
    <w:rsid w:val="000B13A4"/>
    <w:rsid w:val="000B178C"/>
    <w:rsid w:val="000B18DF"/>
    <w:rsid w:val="000B1A83"/>
    <w:rsid w:val="000B1B21"/>
    <w:rsid w:val="000B1C7C"/>
    <w:rsid w:val="000B1D66"/>
    <w:rsid w:val="000B1EDB"/>
    <w:rsid w:val="000B1F5B"/>
    <w:rsid w:val="000B1F5F"/>
    <w:rsid w:val="000B1FD8"/>
    <w:rsid w:val="000B223A"/>
    <w:rsid w:val="000B2378"/>
    <w:rsid w:val="000B2671"/>
    <w:rsid w:val="000B27A7"/>
    <w:rsid w:val="000B27C9"/>
    <w:rsid w:val="000B27FC"/>
    <w:rsid w:val="000B281E"/>
    <w:rsid w:val="000B28BC"/>
    <w:rsid w:val="000B29A7"/>
    <w:rsid w:val="000B2B44"/>
    <w:rsid w:val="000B2D62"/>
    <w:rsid w:val="000B2E15"/>
    <w:rsid w:val="000B2E31"/>
    <w:rsid w:val="000B2FEF"/>
    <w:rsid w:val="000B3752"/>
    <w:rsid w:val="000B37AE"/>
    <w:rsid w:val="000B3BA1"/>
    <w:rsid w:val="000B3CBE"/>
    <w:rsid w:val="000B3F45"/>
    <w:rsid w:val="000B426B"/>
    <w:rsid w:val="000B44D7"/>
    <w:rsid w:val="000B45CA"/>
    <w:rsid w:val="000B4751"/>
    <w:rsid w:val="000B4783"/>
    <w:rsid w:val="000B4BE0"/>
    <w:rsid w:val="000B4EC2"/>
    <w:rsid w:val="000B4FB5"/>
    <w:rsid w:val="000B59BF"/>
    <w:rsid w:val="000B59D6"/>
    <w:rsid w:val="000B59E6"/>
    <w:rsid w:val="000B5D2D"/>
    <w:rsid w:val="000B5F6C"/>
    <w:rsid w:val="000B616C"/>
    <w:rsid w:val="000B61A5"/>
    <w:rsid w:val="000B62AA"/>
    <w:rsid w:val="000B6323"/>
    <w:rsid w:val="000B63AE"/>
    <w:rsid w:val="000B63BE"/>
    <w:rsid w:val="000B65CC"/>
    <w:rsid w:val="000B65E2"/>
    <w:rsid w:val="000B69D7"/>
    <w:rsid w:val="000B69E0"/>
    <w:rsid w:val="000B6A11"/>
    <w:rsid w:val="000B6EFA"/>
    <w:rsid w:val="000B72D6"/>
    <w:rsid w:val="000B7508"/>
    <w:rsid w:val="000B757E"/>
    <w:rsid w:val="000B77EE"/>
    <w:rsid w:val="000B7B8C"/>
    <w:rsid w:val="000B7C7F"/>
    <w:rsid w:val="000B7CEF"/>
    <w:rsid w:val="000B7D64"/>
    <w:rsid w:val="000B7F19"/>
    <w:rsid w:val="000B7FDD"/>
    <w:rsid w:val="000C0766"/>
    <w:rsid w:val="000C07B9"/>
    <w:rsid w:val="000C09B5"/>
    <w:rsid w:val="000C0C9A"/>
    <w:rsid w:val="000C10F5"/>
    <w:rsid w:val="000C1237"/>
    <w:rsid w:val="000C155F"/>
    <w:rsid w:val="000C1784"/>
    <w:rsid w:val="000C18B3"/>
    <w:rsid w:val="000C1951"/>
    <w:rsid w:val="000C21A1"/>
    <w:rsid w:val="000C2296"/>
    <w:rsid w:val="000C2606"/>
    <w:rsid w:val="000C2611"/>
    <w:rsid w:val="000C2620"/>
    <w:rsid w:val="000C2636"/>
    <w:rsid w:val="000C2719"/>
    <w:rsid w:val="000C275A"/>
    <w:rsid w:val="000C280F"/>
    <w:rsid w:val="000C28A1"/>
    <w:rsid w:val="000C2AA1"/>
    <w:rsid w:val="000C2B59"/>
    <w:rsid w:val="000C2B93"/>
    <w:rsid w:val="000C2BC6"/>
    <w:rsid w:val="000C2BD5"/>
    <w:rsid w:val="000C3018"/>
    <w:rsid w:val="000C329B"/>
    <w:rsid w:val="000C331F"/>
    <w:rsid w:val="000C349C"/>
    <w:rsid w:val="000C34D2"/>
    <w:rsid w:val="000C36CE"/>
    <w:rsid w:val="000C374A"/>
    <w:rsid w:val="000C37AE"/>
    <w:rsid w:val="000C3D93"/>
    <w:rsid w:val="000C3E77"/>
    <w:rsid w:val="000C3FAD"/>
    <w:rsid w:val="000C401C"/>
    <w:rsid w:val="000C41E3"/>
    <w:rsid w:val="000C4478"/>
    <w:rsid w:val="000C44C5"/>
    <w:rsid w:val="000C44EF"/>
    <w:rsid w:val="000C46D7"/>
    <w:rsid w:val="000C4837"/>
    <w:rsid w:val="000C4985"/>
    <w:rsid w:val="000C498E"/>
    <w:rsid w:val="000C4A5B"/>
    <w:rsid w:val="000C4CA4"/>
    <w:rsid w:val="000C4E1B"/>
    <w:rsid w:val="000C4F79"/>
    <w:rsid w:val="000C4FA8"/>
    <w:rsid w:val="000C5479"/>
    <w:rsid w:val="000C5812"/>
    <w:rsid w:val="000C58CA"/>
    <w:rsid w:val="000C5959"/>
    <w:rsid w:val="000C5B85"/>
    <w:rsid w:val="000C5BDA"/>
    <w:rsid w:val="000C5E2E"/>
    <w:rsid w:val="000C609E"/>
    <w:rsid w:val="000C643E"/>
    <w:rsid w:val="000C6557"/>
    <w:rsid w:val="000C65EF"/>
    <w:rsid w:val="000C66A1"/>
    <w:rsid w:val="000C672B"/>
    <w:rsid w:val="000C68F4"/>
    <w:rsid w:val="000C719C"/>
    <w:rsid w:val="000C7396"/>
    <w:rsid w:val="000C74C9"/>
    <w:rsid w:val="000C7B0C"/>
    <w:rsid w:val="000C7B61"/>
    <w:rsid w:val="000D00F0"/>
    <w:rsid w:val="000D02C6"/>
    <w:rsid w:val="000D0400"/>
    <w:rsid w:val="000D076D"/>
    <w:rsid w:val="000D0982"/>
    <w:rsid w:val="000D09E6"/>
    <w:rsid w:val="000D0C7A"/>
    <w:rsid w:val="000D0DD1"/>
    <w:rsid w:val="000D1203"/>
    <w:rsid w:val="000D1550"/>
    <w:rsid w:val="000D15CE"/>
    <w:rsid w:val="000D1620"/>
    <w:rsid w:val="000D16D8"/>
    <w:rsid w:val="000D195B"/>
    <w:rsid w:val="000D19B2"/>
    <w:rsid w:val="000D1A1D"/>
    <w:rsid w:val="000D1B5C"/>
    <w:rsid w:val="000D1C66"/>
    <w:rsid w:val="000D1EC5"/>
    <w:rsid w:val="000D2454"/>
    <w:rsid w:val="000D2A2B"/>
    <w:rsid w:val="000D2C83"/>
    <w:rsid w:val="000D2CEA"/>
    <w:rsid w:val="000D30F9"/>
    <w:rsid w:val="000D3248"/>
    <w:rsid w:val="000D3464"/>
    <w:rsid w:val="000D3616"/>
    <w:rsid w:val="000D37C0"/>
    <w:rsid w:val="000D381B"/>
    <w:rsid w:val="000D381F"/>
    <w:rsid w:val="000D3A9C"/>
    <w:rsid w:val="000D402C"/>
    <w:rsid w:val="000D4134"/>
    <w:rsid w:val="000D42C0"/>
    <w:rsid w:val="000D478D"/>
    <w:rsid w:val="000D4DC0"/>
    <w:rsid w:val="000D4EA6"/>
    <w:rsid w:val="000D5232"/>
    <w:rsid w:val="000D52CA"/>
    <w:rsid w:val="000D5430"/>
    <w:rsid w:val="000D586A"/>
    <w:rsid w:val="000D59DC"/>
    <w:rsid w:val="000D5AD1"/>
    <w:rsid w:val="000D5C0A"/>
    <w:rsid w:val="000D5D0A"/>
    <w:rsid w:val="000D5DF9"/>
    <w:rsid w:val="000D5FFA"/>
    <w:rsid w:val="000D6051"/>
    <w:rsid w:val="000D6087"/>
    <w:rsid w:val="000D6266"/>
    <w:rsid w:val="000D6605"/>
    <w:rsid w:val="000D67A0"/>
    <w:rsid w:val="000D686B"/>
    <w:rsid w:val="000D69C7"/>
    <w:rsid w:val="000D6BC0"/>
    <w:rsid w:val="000D6C5B"/>
    <w:rsid w:val="000D6F5C"/>
    <w:rsid w:val="000D6FB2"/>
    <w:rsid w:val="000D6FC1"/>
    <w:rsid w:val="000D7013"/>
    <w:rsid w:val="000D71A4"/>
    <w:rsid w:val="000D734E"/>
    <w:rsid w:val="000D7365"/>
    <w:rsid w:val="000D74C8"/>
    <w:rsid w:val="000D75C3"/>
    <w:rsid w:val="000D7707"/>
    <w:rsid w:val="000D77FC"/>
    <w:rsid w:val="000D7A2C"/>
    <w:rsid w:val="000D7D8F"/>
    <w:rsid w:val="000D7DA0"/>
    <w:rsid w:val="000D7F6A"/>
    <w:rsid w:val="000D7F8C"/>
    <w:rsid w:val="000D7FAD"/>
    <w:rsid w:val="000D8836"/>
    <w:rsid w:val="000E0325"/>
    <w:rsid w:val="000E044F"/>
    <w:rsid w:val="000E055B"/>
    <w:rsid w:val="000E0718"/>
    <w:rsid w:val="000E0804"/>
    <w:rsid w:val="000E0A6E"/>
    <w:rsid w:val="000E0B84"/>
    <w:rsid w:val="000E0BFB"/>
    <w:rsid w:val="000E12DD"/>
    <w:rsid w:val="000E15C4"/>
    <w:rsid w:val="000E17C1"/>
    <w:rsid w:val="000E17E1"/>
    <w:rsid w:val="000E1C53"/>
    <w:rsid w:val="000E1D8E"/>
    <w:rsid w:val="000E1E1E"/>
    <w:rsid w:val="000E1E83"/>
    <w:rsid w:val="000E1F80"/>
    <w:rsid w:val="000E2276"/>
    <w:rsid w:val="000E2AC0"/>
    <w:rsid w:val="000E2B33"/>
    <w:rsid w:val="000E2D12"/>
    <w:rsid w:val="000E2D3B"/>
    <w:rsid w:val="000E3050"/>
    <w:rsid w:val="000E3086"/>
    <w:rsid w:val="000E3245"/>
    <w:rsid w:val="000E3263"/>
    <w:rsid w:val="000E3393"/>
    <w:rsid w:val="000E34D4"/>
    <w:rsid w:val="000E36D9"/>
    <w:rsid w:val="000E3757"/>
    <w:rsid w:val="000E37B1"/>
    <w:rsid w:val="000E38ED"/>
    <w:rsid w:val="000E3A54"/>
    <w:rsid w:val="000E3C71"/>
    <w:rsid w:val="000E3EEB"/>
    <w:rsid w:val="000E40DF"/>
    <w:rsid w:val="000E42CE"/>
    <w:rsid w:val="000E47D7"/>
    <w:rsid w:val="000E4888"/>
    <w:rsid w:val="000E4C92"/>
    <w:rsid w:val="000E4CDF"/>
    <w:rsid w:val="000E4FB4"/>
    <w:rsid w:val="000E5050"/>
    <w:rsid w:val="000E51AE"/>
    <w:rsid w:val="000E54D0"/>
    <w:rsid w:val="000E5547"/>
    <w:rsid w:val="000E579F"/>
    <w:rsid w:val="000E58C5"/>
    <w:rsid w:val="000E5B4E"/>
    <w:rsid w:val="000E5C3B"/>
    <w:rsid w:val="000E6359"/>
    <w:rsid w:val="000E636C"/>
    <w:rsid w:val="000E6371"/>
    <w:rsid w:val="000E665A"/>
    <w:rsid w:val="000E6765"/>
    <w:rsid w:val="000E67AF"/>
    <w:rsid w:val="000E6C21"/>
    <w:rsid w:val="000E6D20"/>
    <w:rsid w:val="000E6DBC"/>
    <w:rsid w:val="000E6E3D"/>
    <w:rsid w:val="000E6F0F"/>
    <w:rsid w:val="000E6FBD"/>
    <w:rsid w:val="000E7097"/>
    <w:rsid w:val="000E7430"/>
    <w:rsid w:val="000E7641"/>
    <w:rsid w:val="000E76A3"/>
    <w:rsid w:val="000E78BA"/>
    <w:rsid w:val="000E7974"/>
    <w:rsid w:val="000E7F40"/>
    <w:rsid w:val="000F00F0"/>
    <w:rsid w:val="000F02BC"/>
    <w:rsid w:val="000F04EF"/>
    <w:rsid w:val="000F0982"/>
    <w:rsid w:val="000F0D6C"/>
    <w:rsid w:val="000F0DB5"/>
    <w:rsid w:val="000F154D"/>
    <w:rsid w:val="000F1644"/>
    <w:rsid w:val="000F178B"/>
    <w:rsid w:val="000F193B"/>
    <w:rsid w:val="000F1A41"/>
    <w:rsid w:val="000F1CD2"/>
    <w:rsid w:val="000F1D79"/>
    <w:rsid w:val="000F1DA8"/>
    <w:rsid w:val="000F1F12"/>
    <w:rsid w:val="000F2178"/>
    <w:rsid w:val="000F2200"/>
    <w:rsid w:val="000F253B"/>
    <w:rsid w:val="000F27C1"/>
    <w:rsid w:val="000F2DE0"/>
    <w:rsid w:val="000F3275"/>
    <w:rsid w:val="000F3417"/>
    <w:rsid w:val="000F34F6"/>
    <w:rsid w:val="000F3501"/>
    <w:rsid w:val="000F35D8"/>
    <w:rsid w:val="000F3C4C"/>
    <w:rsid w:val="000F3C7F"/>
    <w:rsid w:val="000F3E53"/>
    <w:rsid w:val="000F3FB5"/>
    <w:rsid w:val="000F3FC7"/>
    <w:rsid w:val="000F4211"/>
    <w:rsid w:val="000F42D8"/>
    <w:rsid w:val="000F43A5"/>
    <w:rsid w:val="000F48E2"/>
    <w:rsid w:val="000F4AF2"/>
    <w:rsid w:val="000F50E9"/>
    <w:rsid w:val="000F528A"/>
    <w:rsid w:val="000F5338"/>
    <w:rsid w:val="000F534A"/>
    <w:rsid w:val="000F54EC"/>
    <w:rsid w:val="000F5598"/>
    <w:rsid w:val="000F55C7"/>
    <w:rsid w:val="000F55F7"/>
    <w:rsid w:val="000F568B"/>
    <w:rsid w:val="000F569B"/>
    <w:rsid w:val="000F58EA"/>
    <w:rsid w:val="000F591A"/>
    <w:rsid w:val="000F5C79"/>
    <w:rsid w:val="000F5DDC"/>
    <w:rsid w:val="000F6030"/>
    <w:rsid w:val="000F6066"/>
    <w:rsid w:val="000F6827"/>
    <w:rsid w:val="000F6E06"/>
    <w:rsid w:val="000F7038"/>
    <w:rsid w:val="000F74AF"/>
    <w:rsid w:val="000F7605"/>
    <w:rsid w:val="000F7710"/>
    <w:rsid w:val="000F7814"/>
    <w:rsid w:val="000F7904"/>
    <w:rsid w:val="000F791D"/>
    <w:rsid w:val="000F7AED"/>
    <w:rsid w:val="000F7C56"/>
    <w:rsid w:val="000F7CDE"/>
    <w:rsid w:val="000F7DDD"/>
    <w:rsid w:val="000F7E1E"/>
    <w:rsid w:val="000F7E41"/>
    <w:rsid w:val="000FD4BC"/>
    <w:rsid w:val="0010006E"/>
    <w:rsid w:val="00100121"/>
    <w:rsid w:val="00100328"/>
    <w:rsid w:val="0010039A"/>
    <w:rsid w:val="00100405"/>
    <w:rsid w:val="0010042A"/>
    <w:rsid w:val="0010051E"/>
    <w:rsid w:val="0010055B"/>
    <w:rsid w:val="00100618"/>
    <w:rsid w:val="001006FE"/>
    <w:rsid w:val="001009A4"/>
    <w:rsid w:val="00100BD3"/>
    <w:rsid w:val="00100C10"/>
    <w:rsid w:val="00100CF9"/>
    <w:rsid w:val="00100D7D"/>
    <w:rsid w:val="00100E0D"/>
    <w:rsid w:val="00100E7D"/>
    <w:rsid w:val="00100FF4"/>
    <w:rsid w:val="001011A0"/>
    <w:rsid w:val="00101480"/>
    <w:rsid w:val="00101532"/>
    <w:rsid w:val="00101A1C"/>
    <w:rsid w:val="00101A6D"/>
    <w:rsid w:val="00101BE0"/>
    <w:rsid w:val="00101BF1"/>
    <w:rsid w:val="00101D6D"/>
    <w:rsid w:val="00101E0F"/>
    <w:rsid w:val="00102019"/>
    <w:rsid w:val="0010202B"/>
    <w:rsid w:val="0010214D"/>
    <w:rsid w:val="001021B2"/>
    <w:rsid w:val="00102486"/>
    <w:rsid w:val="00102583"/>
    <w:rsid w:val="00102661"/>
    <w:rsid w:val="0010281D"/>
    <w:rsid w:val="00102D14"/>
    <w:rsid w:val="00102DF0"/>
    <w:rsid w:val="00102EE4"/>
    <w:rsid w:val="00102EF9"/>
    <w:rsid w:val="00102FE5"/>
    <w:rsid w:val="00103011"/>
    <w:rsid w:val="0010315D"/>
    <w:rsid w:val="00103813"/>
    <w:rsid w:val="00103907"/>
    <w:rsid w:val="00103C21"/>
    <w:rsid w:val="00103DDE"/>
    <w:rsid w:val="00103E69"/>
    <w:rsid w:val="00103E89"/>
    <w:rsid w:val="00103FBF"/>
    <w:rsid w:val="00104068"/>
    <w:rsid w:val="0010434B"/>
    <w:rsid w:val="0010461D"/>
    <w:rsid w:val="001048F6"/>
    <w:rsid w:val="00104B2C"/>
    <w:rsid w:val="00104B4B"/>
    <w:rsid w:val="00104B97"/>
    <w:rsid w:val="00104FD3"/>
    <w:rsid w:val="00105263"/>
    <w:rsid w:val="0010526F"/>
    <w:rsid w:val="00105353"/>
    <w:rsid w:val="0010578B"/>
    <w:rsid w:val="001057BF"/>
    <w:rsid w:val="001058D7"/>
    <w:rsid w:val="001059DC"/>
    <w:rsid w:val="00105BD6"/>
    <w:rsid w:val="00105CB5"/>
    <w:rsid w:val="00105F97"/>
    <w:rsid w:val="00106124"/>
    <w:rsid w:val="0010649C"/>
    <w:rsid w:val="00106626"/>
    <w:rsid w:val="001067B8"/>
    <w:rsid w:val="001067DB"/>
    <w:rsid w:val="001069F8"/>
    <w:rsid w:val="00106C7B"/>
    <w:rsid w:val="00106D4C"/>
    <w:rsid w:val="00106ED8"/>
    <w:rsid w:val="00106FCA"/>
    <w:rsid w:val="0010754A"/>
    <w:rsid w:val="001077E9"/>
    <w:rsid w:val="0010786E"/>
    <w:rsid w:val="001079DE"/>
    <w:rsid w:val="00107E17"/>
    <w:rsid w:val="00107EF8"/>
    <w:rsid w:val="0011000B"/>
    <w:rsid w:val="001100F9"/>
    <w:rsid w:val="0011010F"/>
    <w:rsid w:val="0011024B"/>
    <w:rsid w:val="001103C6"/>
    <w:rsid w:val="0011047F"/>
    <w:rsid w:val="00110C81"/>
    <w:rsid w:val="00110D3D"/>
    <w:rsid w:val="00110EA0"/>
    <w:rsid w:val="0011109B"/>
    <w:rsid w:val="0011113D"/>
    <w:rsid w:val="0011119B"/>
    <w:rsid w:val="0011119E"/>
    <w:rsid w:val="00111292"/>
    <w:rsid w:val="001112B8"/>
    <w:rsid w:val="00111376"/>
    <w:rsid w:val="001113F2"/>
    <w:rsid w:val="00111454"/>
    <w:rsid w:val="0011180F"/>
    <w:rsid w:val="001119C5"/>
    <w:rsid w:val="00111A78"/>
    <w:rsid w:val="00111B77"/>
    <w:rsid w:val="00111C13"/>
    <w:rsid w:val="001120D2"/>
    <w:rsid w:val="00112193"/>
    <w:rsid w:val="00112276"/>
    <w:rsid w:val="0011246F"/>
    <w:rsid w:val="001125D2"/>
    <w:rsid w:val="0011269E"/>
    <w:rsid w:val="00112755"/>
    <w:rsid w:val="00112913"/>
    <w:rsid w:val="00112A80"/>
    <w:rsid w:val="00112BA5"/>
    <w:rsid w:val="00112C67"/>
    <w:rsid w:val="00112D2A"/>
    <w:rsid w:val="00112D3C"/>
    <w:rsid w:val="00112DC3"/>
    <w:rsid w:val="00112FFD"/>
    <w:rsid w:val="001130CA"/>
    <w:rsid w:val="00113242"/>
    <w:rsid w:val="00113315"/>
    <w:rsid w:val="00113377"/>
    <w:rsid w:val="001134B7"/>
    <w:rsid w:val="0011387A"/>
    <w:rsid w:val="00113AC2"/>
    <w:rsid w:val="00113B32"/>
    <w:rsid w:val="00113D86"/>
    <w:rsid w:val="00113E63"/>
    <w:rsid w:val="0011409D"/>
    <w:rsid w:val="00114167"/>
    <w:rsid w:val="001141A7"/>
    <w:rsid w:val="001143B9"/>
    <w:rsid w:val="0011443E"/>
    <w:rsid w:val="001144C3"/>
    <w:rsid w:val="001147E9"/>
    <w:rsid w:val="001148D7"/>
    <w:rsid w:val="00114910"/>
    <w:rsid w:val="00114B4B"/>
    <w:rsid w:val="00114C5D"/>
    <w:rsid w:val="00114F48"/>
    <w:rsid w:val="00114F92"/>
    <w:rsid w:val="001150D4"/>
    <w:rsid w:val="001151DF"/>
    <w:rsid w:val="00115607"/>
    <w:rsid w:val="00115737"/>
    <w:rsid w:val="0011574A"/>
    <w:rsid w:val="0011588A"/>
    <w:rsid w:val="00115C19"/>
    <w:rsid w:val="00115D88"/>
    <w:rsid w:val="00115E7F"/>
    <w:rsid w:val="001160EE"/>
    <w:rsid w:val="001163DA"/>
    <w:rsid w:val="00116591"/>
    <w:rsid w:val="0011664A"/>
    <w:rsid w:val="001169E1"/>
    <w:rsid w:val="001169FD"/>
    <w:rsid w:val="00116AA8"/>
    <w:rsid w:val="00116B23"/>
    <w:rsid w:val="00116B33"/>
    <w:rsid w:val="00116D04"/>
    <w:rsid w:val="0011715A"/>
    <w:rsid w:val="0011715C"/>
    <w:rsid w:val="001175AF"/>
    <w:rsid w:val="00117689"/>
    <w:rsid w:val="0011768B"/>
    <w:rsid w:val="0011774E"/>
    <w:rsid w:val="00117777"/>
    <w:rsid w:val="001178EA"/>
    <w:rsid w:val="0011799B"/>
    <w:rsid w:val="00117AB0"/>
    <w:rsid w:val="00117C21"/>
    <w:rsid w:val="00117F37"/>
    <w:rsid w:val="00117F54"/>
    <w:rsid w:val="0012079C"/>
    <w:rsid w:val="001208CD"/>
    <w:rsid w:val="00120AE3"/>
    <w:rsid w:val="00120DAE"/>
    <w:rsid w:val="001210AB"/>
    <w:rsid w:val="00121115"/>
    <w:rsid w:val="001213EA"/>
    <w:rsid w:val="001214E7"/>
    <w:rsid w:val="00121B79"/>
    <w:rsid w:val="00121CF5"/>
    <w:rsid w:val="00121DCE"/>
    <w:rsid w:val="00121F99"/>
    <w:rsid w:val="00122022"/>
    <w:rsid w:val="00122389"/>
    <w:rsid w:val="00122399"/>
    <w:rsid w:val="00122977"/>
    <w:rsid w:val="001229CA"/>
    <w:rsid w:val="00122B16"/>
    <w:rsid w:val="00122B34"/>
    <w:rsid w:val="00122BC1"/>
    <w:rsid w:val="00122C3B"/>
    <w:rsid w:val="00122CA5"/>
    <w:rsid w:val="00122D64"/>
    <w:rsid w:val="00122D99"/>
    <w:rsid w:val="00122E95"/>
    <w:rsid w:val="00122FD6"/>
    <w:rsid w:val="0012300D"/>
    <w:rsid w:val="0012312B"/>
    <w:rsid w:val="00123422"/>
    <w:rsid w:val="001235F6"/>
    <w:rsid w:val="0012384E"/>
    <w:rsid w:val="00123879"/>
    <w:rsid w:val="00123FA5"/>
    <w:rsid w:val="00124027"/>
    <w:rsid w:val="0012402B"/>
    <w:rsid w:val="001240CE"/>
    <w:rsid w:val="0012447D"/>
    <w:rsid w:val="0012447F"/>
    <w:rsid w:val="00124606"/>
    <w:rsid w:val="00124A8A"/>
    <w:rsid w:val="00124C48"/>
    <w:rsid w:val="00124E8A"/>
    <w:rsid w:val="00124FE6"/>
    <w:rsid w:val="00125076"/>
    <w:rsid w:val="0012554A"/>
    <w:rsid w:val="00125838"/>
    <w:rsid w:val="00125C5B"/>
    <w:rsid w:val="00125D0F"/>
    <w:rsid w:val="00125D3E"/>
    <w:rsid w:val="00125FD6"/>
    <w:rsid w:val="0012603E"/>
    <w:rsid w:val="00126130"/>
    <w:rsid w:val="001261EC"/>
    <w:rsid w:val="00126709"/>
    <w:rsid w:val="001268ED"/>
    <w:rsid w:val="00126B9B"/>
    <w:rsid w:val="00126C7D"/>
    <w:rsid w:val="00127010"/>
    <w:rsid w:val="001270C2"/>
    <w:rsid w:val="0012716D"/>
    <w:rsid w:val="00127377"/>
    <w:rsid w:val="001275DF"/>
    <w:rsid w:val="00127615"/>
    <w:rsid w:val="0012769F"/>
    <w:rsid w:val="00127888"/>
    <w:rsid w:val="00127D30"/>
    <w:rsid w:val="00130229"/>
    <w:rsid w:val="001302CB"/>
    <w:rsid w:val="001302DB"/>
    <w:rsid w:val="00130481"/>
    <w:rsid w:val="001305B0"/>
    <w:rsid w:val="00130933"/>
    <w:rsid w:val="001309D9"/>
    <w:rsid w:val="00130A96"/>
    <w:rsid w:val="00130C90"/>
    <w:rsid w:val="00130CCB"/>
    <w:rsid w:val="0013145D"/>
    <w:rsid w:val="001314E8"/>
    <w:rsid w:val="001314EA"/>
    <w:rsid w:val="00131639"/>
    <w:rsid w:val="00131718"/>
    <w:rsid w:val="00131864"/>
    <w:rsid w:val="0013196A"/>
    <w:rsid w:val="0013197F"/>
    <w:rsid w:val="00131D34"/>
    <w:rsid w:val="00132008"/>
    <w:rsid w:val="001326D0"/>
    <w:rsid w:val="00132B66"/>
    <w:rsid w:val="00132D7A"/>
    <w:rsid w:val="00132EF5"/>
    <w:rsid w:val="0013308C"/>
    <w:rsid w:val="001330F9"/>
    <w:rsid w:val="00133248"/>
    <w:rsid w:val="001332AA"/>
    <w:rsid w:val="0013343D"/>
    <w:rsid w:val="00133601"/>
    <w:rsid w:val="00133683"/>
    <w:rsid w:val="00133D21"/>
    <w:rsid w:val="00133E86"/>
    <w:rsid w:val="00133F8F"/>
    <w:rsid w:val="00134309"/>
    <w:rsid w:val="00134425"/>
    <w:rsid w:val="00134612"/>
    <w:rsid w:val="001349B9"/>
    <w:rsid w:val="001351A2"/>
    <w:rsid w:val="001353DC"/>
    <w:rsid w:val="001353E6"/>
    <w:rsid w:val="001353E8"/>
    <w:rsid w:val="001358AD"/>
    <w:rsid w:val="00135CE2"/>
    <w:rsid w:val="00135D19"/>
    <w:rsid w:val="001361C8"/>
    <w:rsid w:val="0013635B"/>
    <w:rsid w:val="0013640F"/>
    <w:rsid w:val="001369AD"/>
    <w:rsid w:val="001369C2"/>
    <w:rsid w:val="00136E07"/>
    <w:rsid w:val="00136FAD"/>
    <w:rsid w:val="001372C1"/>
    <w:rsid w:val="00137ADB"/>
    <w:rsid w:val="00137B2C"/>
    <w:rsid w:val="00137D3B"/>
    <w:rsid w:val="00137EC6"/>
    <w:rsid w:val="00137EF4"/>
    <w:rsid w:val="00140041"/>
    <w:rsid w:val="00140462"/>
    <w:rsid w:val="0014072B"/>
    <w:rsid w:val="0014073B"/>
    <w:rsid w:val="00140A7E"/>
    <w:rsid w:val="00140B47"/>
    <w:rsid w:val="00140C51"/>
    <w:rsid w:val="00140DE7"/>
    <w:rsid w:val="001410DC"/>
    <w:rsid w:val="001416B9"/>
    <w:rsid w:val="00141A13"/>
    <w:rsid w:val="00141CB8"/>
    <w:rsid w:val="00141CED"/>
    <w:rsid w:val="00142086"/>
    <w:rsid w:val="001420DF"/>
    <w:rsid w:val="001423BC"/>
    <w:rsid w:val="001423BF"/>
    <w:rsid w:val="001423E4"/>
    <w:rsid w:val="001426EF"/>
    <w:rsid w:val="00142774"/>
    <w:rsid w:val="001428E8"/>
    <w:rsid w:val="00142AD1"/>
    <w:rsid w:val="00142BEA"/>
    <w:rsid w:val="00142DD8"/>
    <w:rsid w:val="00142FAA"/>
    <w:rsid w:val="001433B4"/>
    <w:rsid w:val="00143422"/>
    <w:rsid w:val="00143459"/>
    <w:rsid w:val="001437F8"/>
    <w:rsid w:val="0014384E"/>
    <w:rsid w:val="0014386A"/>
    <w:rsid w:val="00143AAA"/>
    <w:rsid w:val="00143C96"/>
    <w:rsid w:val="00143D2E"/>
    <w:rsid w:val="00143DB4"/>
    <w:rsid w:val="00143EA4"/>
    <w:rsid w:val="00143EF3"/>
    <w:rsid w:val="00143F58"/>
    <w:rsid w:val="001441CD"/>
    <w:rsid w:val="0014434A"/>
    <w:rsid w:val="00144438"/>
    <w:rsid w:val="00144730"/>
    <w:rsid w:val="0014489D"/>
    <w:rsid w:val="00144922"/>
    <w:rsid w:val="00144D19"/>
    <w:rsid w:val="00144ECC"/>
    <w:rsid w:val="0014505E"/>
    <w:rsid w:val="00145475"/>
    <w:rsid w:val="00145667"/>
    <w:rsid w:val="00145D38"/>
    <w:rsid w:val="00145E0D"/>
    <w:rsid w:val="00146106"/>
    <w:rsid w:val="0014647E"/>
    <w:rsid w:val="00146598"/>
    <w:rsid w:val="0014672F"/>
    <w:rsid w:val="001468B2"/>
    <w:rsid w:val="00146BBF"/>
    <w:rsid w:val="00146D29"/>
    <w:rsid w:val="001470D9"/>
    <w:rsid w:val="001472AD"/>
    <w:rsid w:val="0014730F"/>
    <w:rsid w:val="001473B4"/>
    <w:rsid w:val="00147493"/>
    <w:rsid w:val="0014757D"/>
    <w:rsid w:val="001475A0"/>
    <w:rsid w:val="001475FE"/>
    <w:rsid w:val="0014760B"/>
    <w:rsid w:val="00147653"/>
    <w:rsid w:val="0014766B"/>
    <w:rsid w:val="001477F0"/>
    <w:rsid w:val="001478C1"/>
    <w:rsid w:val="00147AA0"/>
    <w:rsid w:val="00147E63"/>
    <w:rsid w:val="0015036F"/>
    <w:rsid w:val="00150798"/>
    <w:rsid w:val="00150949"/>
    <w:rsid w:val="00150955"/>
    <w:rsid w:val="00150999"/>
    <w:rsid w:val="00150A08"/>
    <w:rsid w:val="00150BD2"/>
    <w:rsid w:val="00151391"/>
    <w:rsid w:val="001514FE"/>
    <w:rsid w:val="00151930"/>
    <w:rsid w:val="0015195D"/>
    <w:rsid w:val="0015201D"/>
    <w:rsid w:val="00152115"/>
    <w:rsid w:val="0015213D"/>
    <w:rsid w:val="0015227A"/>
    <w:rsid w:val="001524CF"/>
    <w:rsid w:val="00152C8A"/>
    <w:rsid w:val="00152DA4"/>
    <w:rsid w:val="00153033"/>
    <w:rsid w:val="00153177"/>
    <w:rsid w:val="00153370"/>
    <w:rsid w:val="00153440"/>
    <w:rsid w:val="0015352E"/>
    <w:rsid w:val="00153A37"/>
    <w:rsid w:val="00153B6B"/>
    <w:rsid w:val="00153D8A"/>
    <w:rsid w:val="00153F9E"/>
    <w:rsid w:val="00154401"/>
    <w:rsid w:val="001545F3"/>
    <w:rsid w:val="001548C8"/>
    <w:rsid w:val="00154907"/>
    <w:rsid w:val="00154BEE"/>
    <w:rsid w:val="00154C0C"/>
    <w:rsid w:val="00154E20"/>
    <w:rsid w:val="0015580D"/>
    <w:rsid w:val="0015587C"/>
    <w:rsid w:val="0015592A"/>
    <w:rsid w:val="00155979"/>
    <w:rsid w:val="00155BBD"/>
    <w:rsid w:val="00155BDA"/>
    <w:rsid w:val="00155F22"/>
    <w:rsid w:val="00156051"/>
    <w:rsid w:val="001561A5"/>
    <w:rsid w:val="001564D2"/>
    <w:rsid w:val="001565C8"/>
    <w:rsid w:val="0015665A"/>
    <w:rsid w:val="00156755"/>
    <w:rsid w:val="00156CEF"/>
    <w:rsid w:val="0015705F"/>
    <w:rsid w:val="00157248"/>
    <w:rsid w:val="001577BB"/>
    <w:rsid w:val="001577DD"/>
    <w:rsid w:val="00157A4B"/>
    <w:rsid w:val="00157A65"/>
    <w:rsid w:val="00157B85"/>
    <w:rsid w:val="00157C7A"/>
    <w:rsid w:val="00157D67"/>
    <w:rsid w:val="00157F19"/>
    <w:rsid w:val="00157F4C"/>
    <w:rsid w:val="001600BE"/>
    <w:rsid w:val="00160420"/>
    <w:rsid w:val="00160517"/>
    <w:rsid w:val="0016067D"/>
    <w:rsid w:val="0016073C"/>
    <w:rsid w:val="00160A86"/>
    <w:rsid w:val="00160A88"/>
    <w:rsid w:val="00160D3A"/>
    <w:rsid w:val="00160DAC"/>
    <w:rsid w:val="00160E72"/>
    <w:rsid w:val="00161123"/>
    <w:rsid w:val="001614E0"/>
    <w:rsid w:val="00161642"/>
    <w:rsid w:val="00161A5F"/>
    <w:rsid w:val="00161ACE"/>
    <w:rsid w:val="00161D1A"/>
    <w:rsid w:val="00161DA1"/>
    <w:rsid w:val="00161FA5"/>
    <w:rsid w:val="001620D5"/>
    <w:rsid w:val="00162348"/>
    <w:rsid w:val="001627EF"/>
    <w:rsid w:val="001629F5"/>
    <w:rsid w:val="00162EAD"/>
    <w:rsid w:val="00163208"/>
    <w:rsid w:val="00163421"/>
    <w:rsid w:val="00163468"/>
    <w:rsid w:val="001635BC"/>
    <w:rsid w:val="001637B9"/>
    <w:rsid w:val="00163B0C"/>
    <w:rsid w:val="00163B25"/>
    <w:rsid w:val="00163C06"/>
    <w:rsid w:val="00163C70"/>
    <w:rsid w:val="001640FC"/>
    <w:rsid w:val="001642A9"/>
    <w:rsid w:val="0016471E"/>
    <w:rsid w:val="001648EF"/>
    <w:rsid w:val="00164940"/>
    <w:rsid w:val="00164C5C"/>
    <w:rsid w:val="00164F24"/>
    <w:rsid w:val="00165189"/>
    <w:rsid w:val="001651B9"/>
    <w:rsid w:val="00165260"/>
    <w:rsid w:val="0016531B"/>
    <w:rsid w:val="001654E8"/>
    <w:rsid w:val="00165518"/>
    <w:rsid w:val="00165581"/>
    <w:rsid w:val="001655A8"/>
    <w:rsid w:val="0016576A"/>
    <w:rsid w:val="001659A3"/>
    <w:rsid w:val="00165C7A"/>
    <w:rsid w:val="00165F30"/>
    <w:rsid w:val="0016608B"/>
    <w:rsid w:val="0016615C"/>
    <w:rsid w:val="00166673"/>
    <w:rsid w:val="001668AA"/>
    <w:rsid w:val="00166C95"/>
    <w:rsid w:val="00166DC1"/>
    <w:rsid w:val="00166FB4"/>
    <w:rsid w:val="0016707B"/>
    <w:rsid w:val="00167336"/>
    <w:rsid w:val="001674D1"/>
    <w:rsid w:val="001675B3"/>
    <w:rsid w:val="001679C0"/>
    <w:rsid w:val="001679EF"/>
    <w:rsid w:val="00167C98"/>
    <w:rsid w:val="00167CF4"/>
    <w:rsid w:val="00167D59"/>
    <w:rsid w:val="00167DD3"/>
    <w:rsid w:val="00167E5A"/>
    <w:rsid w:val="00167ECB"/>
    <w:rsid w:val="0017030E"/>
    <w:rsid w:val="0017032F"/>
    <w:rsid w:val="001707C4"/>
    <w:rsid w:val="0017081F"/>
    <w:rsid w:val="0017084D"/>
    <w:rsid w:val="001708CC"/>
    <w:rsid w:val="00170D5B"/>
    <w:rsid w:val="00170E0F"/>
    <w:rsid w:val="0017127B"/>
    <w:rsid w:val="001716E9"/>
    <w:rsid w:val="00171709"/>
    <w:rsid w:val="00171A11"/>
    <w:rsid w:val="00171A8F"/>
    <w:rsid w:val="00171F71"/>
    <w:rsid w:val="00172156"/>
    <w:rsid w:val="0017224A"/>
    <w:rsid w:val="00172388"/>
    <w:rsid w:val="0017279C"/>
    <w:rsid w:val="0017290C"/>
    <w:rsid w:val="00172963"/>
    <w:rsid w:val="00172CA0"/>
    <w:rsid w:val="00172D27"/>
    <w:rsid w:val="00172DD3"/>
    <w:rsid w:val="00172EAD"/>
    <w:rsid w:val="0017300A"/>
    <w:rsid w:val="001735A7"/>
    <w:rsid w:val="00173AB7"/>
    <w:rsid w:val="00173AD0"/>
    <w:rsid w:val="00173B3D"/>
    <w:rsid w:val="00173C77"/>
    <w:rsid w:val="00173F82"/>
    <w:rsid w:val="00174032"/>
    <w:rsid w:val="001740D7"/>
    <w:rsid w:val="0017449B"/>
    <w:rsid w:val="001744E1"/>
    <w:rsid w:val="00174637"/>
    <w:rsid w:val="00174710"/>
    <w:rsid w:val="001748BC"/>
    <w:rsid w:val="00174957"/>
    <w:rsid w:val="00174A95"/>
    <w:rsid w:val="00174B65"/>
    <w:rsid w:val="00175102"/>
    <w:rsid w:val="00175186"/>
    <w:rsid w:val="0017561B"/>
    <w:rsid w:val="001757EF"/>
    <w:rsid w:val="00175A92"/>
    <w:rsid w:val="00175B02"/>
    <w:rsid w:val="00175B93"/>
    <w:rsid w:val="00175BC1"/>
    <w:rsid w:val="00175C29"/>
    <w:rsid w:val="0017604E"/>
    <w:rsid w:val="0017612C"/>
    <w:rsid w:val="00176185"/>
    <w:rsid w:val="00176EE3"/>
    <w:rsid w:val="00176F4A"/>
    <w:rsid w:val="001771EA"/>
    <w:rsid w:val="001775C4"/>
    <w:rsid w:val="00177A86"/>
    <w:rsid w:val="00177C1F"/>
    <w:rsid w:val="00180091"/>
    <w:rsid w:val="0018026D"/>
    <w:rsid w:val="00180441"/>
    <w:rsid w:val="001804EC"/>
    <w:rsid w:val="00180B90"/>
    <w:rsid w:val="00180FA4"/>
    <w:rsid w:val="00180FED"/>
    <w:rsid w:val="00180FFE"/>
    <w:rsid w:val="001810C0"/>
    <w:rsid w:val="001811B1"/>
    <w:rsid w:val="00181603"/>
    <w:rsid w:val="00181A6B"/>
    <w:rsid w:val="00181C1E"/>
    <w:rsid w:val="00181C50"/>
    <w:rsid w:val="00181D2B"/>
    <w:rsid w:val="00181D77"/>
    <w:rsid w:val="00181D86"/>
    <w:rsid w:val="0018231F"/>
    <w:rsid w:val="00182459"/>
    <w:rsid w:val="0018274C"/>
    <w:rsid w:val="001827D2"/>
    <w:rsid w:val="00182BB1"/>
    <w:rsid w:val="00182BBB"/>
    <w:rsid w:val="00182BE1"/>
    <w:rsid w:val="00182DF6"/>
    <w:rsid w:val="00182E24"/>
    <w:rsid w:val="0018307C"/>
    <w:rsid w:val="0018327F"/>
    <w:rsid w:val="0018330E"/>
    <w:rsid w:val="001833E6"/>
    <w:rsid w:val="00183714"/>
    <w:rsid w:val="00183803"/>
    <w:rsid w:val="00183804"/>
    <w:rsid w:val="00183B07"/>
    <w:rsid w:val="00183E3C"/>
    <w:rsid w:val="00183EA6"/>
    <w:rsid w:val="00183FA2"/>
    <w:rsid w:val="001840F9"/>
    <w:rsid w:val="001841A3"/>
    <w:rsid w:val="001845D9"/>
    <w:rsid w:val="001847B3"/>
    <w:rsid w:val="00184960"/>
    <w:rsid w:val="00184A24"/>
    <w:rsid w:val="00184D00"/>
    <w:rsid w:val="00185006"/>
    <w:rsid w:val="001850D8"/>
    <w:rsid w:val="00185336"/>
    <w:rsid w:val="00185655"/>
    <w:rsid w:val="00185695"/>
    <w:rsid w:val="00185696"/>
    <w:rsid w:val="00185880"/>
    <w:rsid w:val="00185BF4"/>
    <w:rsid w:val="00185C31"/>
    <w:rsid w:val="00185C7F"/>
    <w:rsid w:val="00185E5D"/>
    <w:rsid w:val="0018606B"/>
    <w:rsid w:val="001866AF"/>
    <w:rsid w:val="0018670F"/>
    <w:rsid w:val="0018673E"/>
    <w:rsid w:val="001867FF"/>
    <w:rsid w:val="0018687F"/>
    <w:rsid w:val="00186949"/>
    <w:rsid w:val="001869D7"/>
    <w:rsid w:val="00186A0F"/>
    <w:rsid w:val="00186C29"/>
    <w:rsid w:val="00186E61"/>
    <w:rsid w:val="0018705C"/>
    <w:rsid w:val="00187092"/>
    <w:rsid w:val="0018717D"/>
    <w:rsid w:val="0018721F"/>
    <w:rsid w:val="001873B9"/>
    <w:rsid w:val="001873F1"/>
    <w:rsid w:val="0018757E"/>
    <w:rsid w:val="00187740"/>
    <w:rsid w:val="00187A67"/>
    <w:rsid w:val="00187A98"/>
    <w:rsid w:val="00187BAA"/>
    <w:rsid w:val="00187D39"/>
    <w:rsid w:val="00187EB3"/>
    <w:rsid w:val="0019002C"/>
    <w:rsid w:val="00190318"/>
    <w:rsid w:val="001903C9"/>
    <w:rsid w:val="0019041B"/>
    <w:rsid w:val="001904E0"/>
    <w:rsid w:val="001905FD"/>
    <w:rsid w:val="001906C0"/>
    <w:rsid w:val="00190768"/>
    <w:rsid w:val="001907D9"/>
    <w:rsid w:val="00190843"/>
    <w:rsid w:val="0019096B"/>
    <w:rsid w:val="001909AE"/>
    <w:rsid w:val="00190D82"/>
    <w:rsid w:val="001910F3"/>
    <w:rsid w:val="00191263"/>
    <w:rsid w:val="001915C1"/>
    <w:rsid w:val="001916D9"/>
    <w:rsid w:val="00191883"/>
    <w:rsid w:val="0019192A"/>
    <w:rsid w:val="00192000"/>
    <w:rsid w:val="0019221F"/>
    <w:rsid w:val="001924D0"/>
    <w:rsid w:val="001924DE"/>
    <w:rsid w:val="00192721"/>
    <w:rsid w:val="00192767"/>
    <w:rsid w:val="00192C6C"/>
    <w:rsid w:val="001930A0"/>
    <w:rsid w:val="00193110"/>
    <w:rsid w:val="00193244"/>
    <w:rsid w:val="001934EF"/>
    <w:rsid w:val="00193541"/>
    <w:rsid w:val="001935A5"/>
    <w:rsid w:val="00193733"/>
    <w:rsid w:val="00193839"/>
    <w:rsid w:val="00193B89"/>
    <w:rsid w:val="00193BD0"/>
    <w:rsid w:val="00193CEF"/>
    <w:rsid w:val="00193DD3"/>
    <w:rsid w:val="00193DDD"/>
    <w:rsid w:val="001946D9"/>
    <w:rsid w:val="0019474D"/>
    <w:rsid w:val="00194910"/>
    <w:rsid w:val="00194914"/>
    <w:rsid w:val="00194AC9"/>
    <w:rsid w:val="00194B7C"/>
    <w:rsid w:val="00194D86"/>
    <w:rsid w:val="00194F46"/>
    <w:rsid w:val="001951C2"/>
    <w:rsid w:val="001951EC"/>
    <w:rsid w:val="001951F7"/>
    <w:rsid w:val="001953F1"/>
    <w:rsid w:val="00195405"/>
    <w:rsid w:val="00195450"/>
    <w:rsid w:val="00195454"/>
    <w:rsid w:val="00195516"/>
    <w:rsid w:val="00195723"/>
    <w:rsid w:val="00195B34"/>
    <w:rsid w:val="00195C9E"/>
    <w:rsid w:val="00195C9F"/>
    <w:rsid w:val="00195F1F"/>
    <w:rsid w:val="00196012"/>
    <w:rsid w:val="001964E1"/>
    <w:rsid w:val="00196598"/>
    <w:rsid w:val="001968C9"/>
    <w:rsid w:val="001969F5"/>
    <w:rsid w:val="0019703E"/>
    <w:rsid w:val="001970A8"/>
    <w:rsid w:val="00197280"/>
    <w:rsid w:val="00197534"/>
    <w:rsid w:val="00197692"/>
    <w:rsid w:val="001976DD"/>
    <w:rsid w:val="001979AB"/>
    <w:rsid w:val="00197A2F"/>
    <w:rsid w:val="00197AD7"/>
    <w:rsid w:val="00197BA1"/>
    <w:rsid w:val="00197CC4"/>
    <w:rsid w:val="00197D25"/>
    <w:rsid w:val="001A0046"/>
    <w:rsid w:val="001A01C2"/>
    <w:rsid w:val="001A03E8"/>
    <w:rsid w:val="001A04C9"/>
    <w:rsid w:val="001A0666"/>
    <w:rsid w:val="001A07A2"/>
    <w:rsid w:val="001A08B9"/>
    <w:rsid w:val="001A094D"/>
    <w:rsid w:val="001A0A6F"/>
    <w:rsid w:val="001A0A88"/>
    <w:rsid w:val="001A0AE0"/>
    <w:rsid w:val="001A104C"/>
    <w:rsid w:val="001A1235"/>
    <w:rsid w:val="001A13BC"/>
    <w:rsid w:val="001A1546"/>
    <w:rsid w:val="001A1602"/>
    <w:rsid w:val="001A170D"/>
    <w:rsid w:val="001A1732"/>
    <w:rsid w:val="001A19E8"/>
    <w:rsid w:val="001A19FF"/>
    <w:rsid w:val="001A1B46"/>
    <w:rsid w:val="001A1BDB"/>
    <w:rsid w:val="001A1DAC"/>
    <w:rsid w:val="001A2044"/>
    <w:rsid w:val="001A2098"/>
    <w:rsid w:val="001A22C7"/>
    <w:rsid w:val="001A22CF"/>
    <w:rsid w:val="001A28AD"/>
    <w:rsid w:val="001A2A58"/>
    <w:rsid w:val="001A2AFD"/>
    <w:rsid w:val="001A2B41"/>
    <w:rsid w:val="001A2BD1"/>
    <w:rsid w:val="001A2C1B"/>
    <w:rsid w:val="001A2D6C"/>
    <w:rsid w:val="001A327F"/>
    <w:rsid w:val="001A3768"/>
    <w:rsid w:val="001A381C"/>
    <w:rsid w:val="001A3831"/>
    <w:rsid w:val="001A39C0"/>
    <w:rsid w:val="001A4086"/>
    <w:rsid w:val="001A41F5"/>
    <w:rsid w:val="001A4724"/>
    <w:rsid w:val="001A478D"/>
    <w:rsid w:val="001A4933"/>
    <w:rsid w:val="001A4B6E"/>
    <w:rsid w:val="001A4C02"/>
    <w:rsid w:val="001A4D19"/>
    <w:rsid w:val="001A50DF"/>
    <w:rsid w:val="001A5149"/>
    <w:rsid w:val="001A52BA"/>
    <w:rsid w:val="001A5932"/>
    <w:rsid w:val="001A5A62"/>
    <w:rsid w:val="001A5A6A"/>
    <w:rsid w:val="001A5ADF"/>
    <w:rsid w:val="001A5BD6"/>
    <w:rsid w:val="001A5C03"/>
    <w:rsid w:val="001A5C7F"/>
    <w:rsid w:val="001A5DDB"/>
    <w:rsid w:val="001A5EC3"/>
    <w:rsid w:val="001A6103"/>
    <w:rsid w:val="001A6228"/>
    <w:rsid w:val="001A6483"/>
    <w:rsid w:val="001A6675"/>
    <w:rsid w:val="001A6AF0"/>
    <w:rsid w:val="001A6C4A"/>
    <w:rsid w:val="001A6EA2"/>
    <w:rsid w:val="001A7291"/>
    <w:rsid w:val="001A740E"/>
    <w:rsid w:val="001A7449"/>
    <w:rsid w:val="001A74A6"/>
    <w:rsid w:val="001A74E5"/>
    <w:rsid w:val="001A752A"/>
    <w:rsid w:val="001A7949"/>
    <w:rsid w:val="001A7A3F"/>
    <w:rsid w:val="001A7CB5"/>
    <w:rsid w:val="001A7E33"/>
    <w:rsid w:val="001A7E64"/>
    <w:rsid w:val="001A7ED3"/>
    <w:rsid w:val="001AE1D2"/>
    <w:rsid w:val="001B00D2"/>
    <w:rsid w:val="001B015B"/>
    <w:rsid w:val="001B0161"/>
    <w:rsid w:val="001B02E5"/>
    <w:rsid w:val="001B06C5"/>
    <w:rsid w:val="001B09F4"/>
    <w:rsid w:val="001B0AAD"/>
    <w:rsid w:val="001B0AB1"/>
    <w:rsid w:val="001B0C62"/>
    <w:rsid w:val="001B0CCE"/>
    <w:rsid w:val="001B10EB"/>
    <w:rsid w:val="001B11DD"/>
    <w:rsid w:val="001B13A0"/>
    <w:rsid w:val="001B1D66"/>
    <w:rsid w:val="001B1DF9"/>
    <w:rsid w:val="001B1F04"/>
    <w:rsid w:val="001B1F1B"/>
    <w:rsid w:val="001B1F22"/>
    <w:rsid w:val="001B202F"/>
    <w:rsid w:val="001B25AD"/>
    <w:rsid w:val="001B2955"/>
    <w:rsid w:val="001B2A6F"/>
    <w:rsid w:val="001B2D82"/>
    <w:rsid w:val="001B300C"/>
    <w:rsid w:val="001B3024"/>
    <w:rsid w:val="001B3179"/>
    <w:rsid w:val="001B3232"/>
    <w:rsid w:val="001B3289"/>
    <w:rsid w:val="001B3368"/>
    <w:rsid w:val="001B33B7"/>
    <w:rsid w:val="001B340A"/>
    <w:rsid w:val="001B343B"/>
    <w:rsid w:val="001B359E"/>
    <w:rsid w:val="001B35E0"/>
    <w:rsid w:val="001B379D"/>
    <w:rsid w:val="001B3824"/>
    <w:rsid w:val="001B3C86"/>
    <w:rsid w:val="001B3EA8"/>
    <w:rsid w:val="001B4739"/>
    <w:rsid w:val="001B49BA"/>
    <w:rsid w:val="001B4DE1"/>
    <w:rsid w:val="001B4DFC"/>
    <w:rsid w:val="001B5018"/>
    <w:rsid w:val="001B5106"/>
    <w:rsid w:val="001B5391"/>
    <w:rsid w:val="001B57A3"/>
    <w:rsid w:val="001B5DA0"/>
    <w:rsid w:val="001B61A1"/>
    <w:rsid w:val="001B622F"/>
    <w:rsid w:val="001B6255"/>
    <w:rsid w:val="001B64BB"/>
    <w:rsid w:val="001B65D6"/>
    <w:rsid w:val="001B6A7D"/>
    <w:rsid w:val="001B6ADF"/>
    <w:rsid w:val="001B6CB4"/>
    <w:rsid w:val="001B6DED"/>
    <w:rsid w:val="001B7259"/>
    <w:rsid w:val="001B73A6"/>
    <w:rsid w:val="001B7747"/>
    <w:rsid w:val="001B7970"/>
    <w:rsid w:val="001C0032"/>
    <w:rsid w:val="001C0283"/>
    <w:rsid w:val="001C02DF"/>
    <w:rsid w:val="001C0397"/>
    <w:rsid w:val="001C0581"/>
    <w:rsid w:val="001C098B"/>
    <w:rsid w:val="001C09DB"/>
    <w:rsid w:val="001C0EEE"/>
    <w:rsid w:val="001C0F0C"/>
    <w:rsid w:val="001C10F5"/>
    <w:rsid w:val="001C1180"/>
    <w:rsid w:val="001C1679"/>
    <w:rsid w:val="001C16BE"/>
    <w:rsid w:val="001C17D7"/>
    <w:rsid w:val="001C17E3"/>
    <w:rsid w:val="001C1C94"/>
    <w:rsid w:val="001C1CA4"/>
    <w:rsid w:val="001C1CD4"/>
    <w:rsid w:val="001C1D30"/>
    <w:rsid w:val="001C1DE7"/>
    <w:rsid w:val="001C1F36"/>
    <w:rsid w:val="001C20B0"/>
    <w:rsid w:val="001C2387"/>
    <w:rsid w:val="001C23B1"/>
    <w:rsid w:val="001C2E51"/>
    <w:rsid w:val="001C2EFF"/>
    <w:rsid w:val="001C2FC7"/>
    <w:rsid w:val="001C2FE4"/>
    <w:rsid w:val="001C3070"/>
    <w:rsid w:val="001C30F2"/>
    <w:rsid w:val="001C368E"/>
    <w:rsid w:val="001C3709"/>
    <w:rsid w:val="001C393C"/>
    <w:rsid w:val="001C3B1F"/>
    <w:rsid w:val="001C3B2A"/>
    <w:rsid w:val="001C3C87"/>
    <w:rsid w:val="001C3D0B"/>
    <w:rsid w:val="001C3E14"/>
    <w:rsid w:val="001C4204"/>
    <w:rsid w:val="001C4613"/>
    <w:rsid w:val="001C48A9"/>
    <w:rsid w:val="001C4959"/>
    <w:rsid w:val="001C4A4E"/>
    <w:rsid w:val="001C4AF4"/>
    <w:rsid w:val="001C4BF2"/>
    <w:rsid w:val="001C4C3E"/>
    <w:rsid w:val="001C506A"/>
    <w:rsid w:val="001C50C1"/>
    <w:rsid w:val="001C50D7"/>
    <w:rsid w:val="001C50FF"/>
    <w:rsid w:val="001C51B9"/>
    <w:rsid w:val="001C52B0"/>
    <w:rsid w:val="001C5418"/>
    <w:rsid w:val="001C58AD"/>
    <w:rsid w:val="001C5BCE"/>
    <w:rsid w:val="001C5CF0"/>
    <w:rsid w:val="001C5E4B"/>
    <w:rsid w:val="001C6132"/>
    <w:rsid w:val="001C628B"/>
    <w:rsid w:val="001C6476"/>
    <w:rsid w:val="001C652E"/>
    <w:rsid w:val="001C6A99"/>
    <w:rsid w:val="001C6AAC"/>
    <w:rsid w:val="001C6B89"/>
    <w:rsid w:val="001C6CB8"/>
    <w:rsid w:val="001C6F3C"/>
    <w:rsid w:val="001C71BD"/>
    <w:rsid w:val="001C7322"/>
    <w:rsid w:val="001C74FA"/>
    <w:rsid w:val="001C7688"/>
    <w:rsid w:val="001C76A4"/>
    <w:rsid w:val="001C7828"/>
    <w:rsid w:val="001C7898"/>
    <w:rsid w:val="001C7903"/>
    <w:rsid w:val="001C79E8"/>
    <w:rsid w:val="001C7B23"/>
    <w:rsid w:val="001C7B44"/>
    <w:rsid w:val="001C7D35"/>
    <w:rsid w:val="001C7F6F"/>
    <w:rsid w:val="001D0065"/>
    <w:rsid w:val="001D0592"/>
    <w:rsid w:val="001D0742"/>
    <w:rsid w:val="001D09BC"/>
    <w:rsid w:val="001D0C35"/>
    <w:rsid w:val="001D0E5E"/>
    <w:rsid w:val="001D14DC"/>
    <w:rsid w:val="001D165E"/>
    <w:rsid w:val="001D1E1A"/>
    <w:rsid w:val="001D1FE8"/>
    <w:rsid w:val="001D23C1"/>
    <w:rsid w:val="001D2515"/>
    <w:rsid w:val="001D25C6"/>
    <w:rsid w:val="001D27D4"/>
    <w:rsid w:val="001D2C02"/>
    <w:rsid w:val="001D2CEB"/>
    <w:rsid w:val="001D3109"/>
    <w:rsid w:val="001D348E"/>
    <w:rsid w:val="001D3612"/>
    <w:rsid w:val="001D37A0"/>
    <w:rsid w:val="001D394E"/>
    <w:rsid w:val="001D3D4A"/>
    <w:rsid w:val="001D3E45"/>
    <w:rsid w:val="001D3E9B"/>
    <w:rsid w:val="001D4017"/>
    <w:rsid w:val="001D4098"/>
    <w:rsid w:val="001D40E7"/>
    <w:rsid w:val="001D42C2"/>
    <w:rsid w:val="001D43A5"/>
    <w:rsid w:val="001D4400"/>
    <w:rsid w:val="001D4460"/>
    <w:rsid w:val="001D498A"/>
    <w:rsid w:val="001D4AB4"/>
    <w:rsid w:val="001D4CB3"/>
    <w:rsid w:val="001D4DC9"/>
    <w:rsid w:val="001D4E62"/>
    <w:rsid w:val="001D4F5D"/>
    <w:rsid w:val="001D5068"/>
    <w:rsid w:val="001D5231"/>
    <w:rsid w:val="001D52BA"/>
    <w:rsid w:val="001D561E"/>
    <w:rsid w:val="001D5708"/>
    <w:rsid w:val="001D5BC4"/>
    <w:rsid w:val="001D617E"/>
    <w:rsid w:val="001D6224"/>
    <w:rsid w:val="001D62E1"/>
    <w:rsid w:val="001D6617"/>
    <w:rsid w:val="001D664B"/>
    <w:rsid w:val="001D66BD"/>
    <w:rsid w:val="001D6AE6"/>
    <w:rsid w:val="001D7131"/>
    <w:rsid w:val="001D71C4"/>
    <w:rsid w:val="001D72E1"/>
    <w:rsid w:val="001D7341"/>
    <w:rsid w:val="001D7436"/>
    <w:rsid w:val="001D749A"/>
    <w:rsid w:val="001D78D4"/>
    <w:rsid w:val="001D7B50"/>
    <w:rsid w:val="001D7BFF"/>
    <w:rsid w:val="001D7E3D"/>
    <w:rsid w:val="001D7F4F"/>
    <w:rsid w:val="001E0078"/>
    <w:rsid w:val="001E0082"/>
    <w:rsid w:val="001E00DE"/>
    <w:rsid w:val="001E00E8"/>
    <w:rsid w:val="001E01B0"/>
    <w:rsid w:val="001E03D4"/>
    <w:rsid w:val="001E0446"/>
    <w:rsid w:val="001E0716"/>
    <w:rsid w:val="001E0725"/>
    <w:rsid w:val="001E076C"/>
    <w:rsid w:val="001E07BA"/>
    <w:rsid w:val="001E07CE"/>
    <w:rsid w:val="001E0B70"/>
    <w:rsid w:val="001E0C3C"/>
    <w:rsid w:val="001E0F24"/>
    <w:rsid w:val="001E100A"/>
    <w:rsid w:val="001E108F"/>
    <w:rsid w:val="001E10A5"/>
    <w:rsid w:val="001E10B8"/>
    <w:rsid w:val="001E11B8"/>
    <w:rsid w:val="001E1287"/>
    <w:rsid w:val="001E12DC"/>
    <w:rsid w:val="001E14B1"/>
    <w:rsid w:val="001E14CF"/>
    <w:rsid w:val="001E1557"/>
    <w:rsid w:val="001E1623"/>
    <w:rsid w:val="001E168C"/>
    <w:rsid w:val="001E1B50"/>
    <w:rsid w:val="001E1C30"/>
    <w:rsid w:val="001E1C45"/>
    <w:rsid w:val="001E1D38"/>
    <w:rsid w:val="001E1FFD"/>
    <w:rsid w:val="001E2116"/>
    <w:rsid w:val="001E22E2"/>
    <w:rsid w:val="001E25EE"/>
    <w:rsid w:val="001E25FD"/>
    <w:rsid w:val="001E2603"/>
    <w:rsid w:val="001E273B"/>
    <w:rsid w:val="001E27AE"/>
    <w:rsid w:val="001E2E90"/>
    <w:rsid w:val="001E2F16"/>
    <w:rsid w:val="001E3442"/>
    <w:rsid w:val="001E34EE"/>
    <w:rsid w:val="001E37AD"/>
    <w:rsid w:val="001E415B"/>
    <w:rsid w:val="001E42A6"/>
    <w:rsid w:val="001E43A5"/>
    <w:rsid w:val="001E4439"/>
    <w:rsid w:val="001E44D8"/>
    <w:rsid w:val="001E450B"/>
    <w:rsid w:val="001E45FE"/>
    <w:rsid w:val="001E48CA"/>
    <w:rsid w:val="001E49CA"/>
    <w:rsid w:val="001E4BB6"/>
    <w:rsid w:val="001E4BFD"/>
    <w:rsid w:val="001E4C41"/>
    <w:rsid w:val="001E4D31"/>
    <w:rsid w:val="001E4E1E"/>
    <w:rsid w:val="001E4EE5"/>
    <w:rsid w:val="001E533D"/>
    <w:rsid w:val="001E5551"/>
    <w:rsid w:val="001E5797"/>
    <w:rsid w:val="001E58ED"/>
    <w:rsid w:val="001E5932"/>
    <w:rsid w:val="001E5C1F"/>
    <w:rsid w:val="001E5F96"/>
    <w:rsid w:val="001E618D"/>
    <w:rsid w:val="001E679E"/>
    <w:rsid w:val="001E6947"/>
    <w:rsid w:val="001E6967"/>
    <w:rsid w:val="001E69DB"/>
    <w:rsid w:val="001E6B50"/>
    <w:rsid w:val="001E7059"/>
    <w:rsid w:val="001E714A"/>
    <w:rsid w:val="001E7159"/>
    <w:rsid w:val="001E7160"/>
    <w:rsid w:val="001E72E2"/>
    <w:rsid w:val="001E76CD"/>
    <w:rsid w:val="001E7967"/>
    <w:rsid w:val="001E79DE"/>
    <w:rsid w:val="001E7D01"/>
    <w:rsid w:val="001E7DE9"/>
    <w:rsid w:val="001E7DEF"/>
    <w:rsid w:val="001F0465"/>
    <w:rsid w:val="001F04BD"/>
    <w:rsid w:val="001F0A63"/>
    <w:rsid w:val="001F0BCF"/>
    <w:rsid w:val="001F0CC2"/>
    <w:rsid w:val="001F0D76"/>
    <w:rsid w:val="001F0E57"/>
    <w:rsid w:val="001F0FDC"/>
    <w:rsid w:val="001F13DF"/>
    <w:rsid w:val="001F141E"/>
    <w:rsid w:val="001F1487"/>
    <w:rsid w:val="001F1510"/>
    <w:rsid w:val="001F15F2"/>
    <w:rsid w:val="001F1B8C"/>
    <w:rsid w:val="001F1B9C"/>
    <w:rsid w:val="001F1CE1"/>
    <w:rsid w:val="001F1CED"/>
    <w:rsid w:val="001F1E02"/>
    <w:rsid w:val="001F1E26"/>
    <w:rsid w:val="001F2068"/>
    <w:rsid w:val="001F2792"/>
    <w:rsid w:val="001F28D4"/>
    <w:rsid w:val="001F2A44"/>
    <w:rsid w:val="001F2A61"/>
    <w:rsid w:val="001F2B3B"/>
    <w:rsid w:val="001F2FCB"/>
    <w:rsid w:val="001F305E"/>
    <w:rsid w:val="001F30A5"/>
    <w:rsid w:val="001F326C"/>
    <w:rsid w:val="001F34C4"/>
    <w:rsid w:val="001F360D"/>
    <w:rsid w:val="001F370A"/>
    <w:rsid w:val="001F3711"/>
    <w:rsid w:val="001F374E"/>
    <w:rsid w:val="001F3880"/>
    <w:rsid w:val="001F3941"/>
    <w:rsid w:val="001F399B"/>
    <w:rsid w:val="001F3A22"/>
    <w:rsid w:val="001F3AAB"/>
    <w:rsid w:val="001F3B5E"/>
    <w:rsid w:val="001F3E7B"/>
    <w:rsid w:val="001F3F5F"/>
    <w:rsid w:val="001F4251"/>
    <w:rsid w:val="001F4402"/>
    <w:rsid w:val="001F481B"/>
    <w:rsid w:val="001F48EF"/>
    <w:rsid w:val="001F4A8F"/>
    <w:rsid w:val="001F4A98"/>
    <w:rsid w:val="001F4C3E"/>
    <w:rsid w:val="001F4CC7"/>
    <w:rsid w:val="001F4DF1"/>
    <w:rsid w:val="001F4F55"/>
    <w:rsid w:val="001F503A"/>
    <w:rsid w:val="001F50FC"/>
    <w:rsid w:val="001F536D"/>
    <w:rsid w:val="001F5488"/>
    <w:rsid w:val="001F5613"/>
    <w:rsid w:val="001F5676"/>
    <w:rsid w:val="001F56C0"/>
    <w:rsid w:val="001F5774"/>
    <w:rsid w:val="001F58A0"/>
    <w:rsid w:val="001F58CA"/>
    <w:rsid w:val="001F5A74"/>
    <w:rsid w:val="001F5BB3"/>
    <w:rsid w:val="001F5CDE"/>
    <w:rsid w:val="001F5D0A"/>
    <w:rsid w:val="001F5DEF"/>
    <w:rsid w:val="001F5EBA"/>
    <w:rsid w:val="001F5ED9"/>
    <w:rsid w:val="001F62B1"/>
    <w:rsid w:val="001F62F0"/>
    <w:rsid w:val="001F668B"/>
    <w:rsid w:val="001F6B24"/>
    <w:rsid w:val="001F6C3C"/>
    <w:rsid w:val="001F6C6E"/>
    <w:rsid w:val="001F6D03"/>
    <w:rsid w:val="001F6EE9"/>
    <w:rsid w:val="001F705C"/>
    <w:rsid w:val="001F71BB"/>
    <w:rsid w:val="001F71FC"/>
    <w:rsid w:val="001F725F"/>
    <w:rsid w:val="001F7358"/>
    <w:rsid w:val="001F735E"/>
    <w:rsid w:val="001F751F"/>
    <w:rsid w:val="001F77D3"/>
    <w:rsid w:val="001F7B1B"/>
    <w:rsid w:val="00200430"/>
    <w:rsid w:val="00200511"/>
    <w:rsid w:val="002006C2"/>
    <w:rsid w:val="00200809"/>
    <w:rsid w:val="002008EC"/>
    <w:rsid w:val="00200993"/>
    <w:rsid w:val="00200CE1"/>
    <w:rsid w:val="00200E23"/>
    <w:rsid w:val="00200FF8"/>
    <w:rsid w:val="002011D4"/>
    <w:rsid w:val="0020123E"/>
    <w:rsid w:val="0020150B"/>
    <w:rsid w:val="0020157D"/>
    <w:rsid w:val="002015C4"/>
    <w:rsid w:val="00201623"/>
    <w:rsid w:val="00201650"/>
    <w:rsid w:val="00201950"/>
    <w:rsid w:val="002019A9"/>
    <w:rsid w:val="00201A69"/>
    <w:rsid w:val="00201B16"/>
    <w:rsid w:val="00201DF7"/>
    <w:rsid w:val="00201F59"/>
    <w:rsid w:val="002020C5"/>
    <w:rsid w:val="00202498"/>
    <w:rsid w:val="00202555"/>
    <w:rsid w:val="0020283B"/>
    <w:rsid w:val="002029E3"/>
    <w:rsid w:val="00202BC3"/>
    <w:rsid w:val="00202DC9"/>
    <w:rsid w:val="00202DEC"/>
    <w:rsid w:val="00202EF5"/>
    <w:rsid w:val="00203152"/>
    <w:rsid w:val="00203205"/>
    <w:rsid w:val="002033D3"/>
    <w:rsid w:val="00203477"/>
    <w:rsid w:val="0020356A"/>
    <w:rsid w:val="002036EA"/>
    <w:rsid w:val="00203BB2"/>
    <w:rsid w:val="00203F22"/>
    <w:rsid w:val="00204062"/>
    <w:rsid w:val="002040C5"/>
    <w:rsid w:val="002044FA"/>
    <w:rsid w:val="0020473E"/>
    <w:rsid w:val="00204A85"/>
    <w:rsid w:val="00204AF6"/>
    <w:rsid w:val="00204BA6"/>
    <w:rsid w:val="00204CEA"/>
    <w:rsid w:val="00204E69"/>
    <w:rsid w:val="00204FC1"/>
    <w:rsid w:val="002052A3"/>
    <w:rsid w:val="00205404"/>
    <w:rsid w:val="00205454"/>
    <w:rsid w:val="00205562"/>
    <w:rsid w:val="002055C7"/>
    <w:rsid w:val="0020560D"/>
    <w:rsid w:val="002058BC"/>
    <w:rsid w:val="002058C1"/>
    <w:rsid w:val="00205961"/>
    <w:rsid w:val="00205A74"/>
    <w:rsid w:val="00205E0C"/>
    <w:rsid w:val="00206024"/>
    <w:rsid w:val="002061FB"/>
    <w:rsid w:val="002061FF"/>
    <w:rsid w:val="0020632C"/>
    <w:rsid w:val="00206CC5"/>
    <w:rsid w:val="00206CDF"/>
    <w:rsid w:val="00206D50"/>
    <w:rsid w:val="002071E0"/>
    <w:rsid w:val="00207410"/>
    <w:rsid w:val="002074F4"/>
    <w:rsid w:val="002075A0"/>
    <w:rsid w:val="00207CCA"/>
    <w:rsid w:val="0020EF7D"/>
    <w:rsid w:val="002101B1"/>
    <w:rsid w:val="0021030C"/>
    <w:rsid w:val="00210398"/>
    <w:rsid w:val="00210603"/>
    <w:rsid w:val="002106D4"/>
    <w:rsid w:val="002109CD"/>
    <w:rsid w:val="00210FA9"/>
    <w:rsid w:val="00211296"/>
    <w:rsid w:val="00211730"/>
    <w:rsid w:val="00211751"/>
    <w:rsid w:val="00211944"/>
    <w:rsid w:val="002119D8"/>
    <w:rsid w:val="00211D9A"/>
    <w:rsid w:val="00212287"/>
    <w:rsid w:val="0021241A"/>
    <w:rsid w:val="00212554"/>
    <w:rsid w:val="00212564"/>
    <w:rsid w:val="00212A7E"/>
    <w:rsid w:val="00212AAD"/>
    <w:rsid w:val="00212B20"/>
    <w:rsid w:val="00212DBD"/>
    <w:rsid w:val="00213394"/>
    <w:rsid w:val="002134E4"/>
    <w:rsid w:val="002136F8"/>
    <w:rsid w:val="00213A5F"/>
    <w:rsid w:val="00213C0C"/>
    <w:rsid w:val="00213F77"/>
    <w:rsid w:val="002142DE"/>
    <w:rsid w:val="002143FD"/>
    <w:rsid w:val="002144DA"/>
    <w:rsid w:val="00214635"/>
    <w:rsid w:val="00214978"/>
    <w:rsid w:val="00214A31"/>
    <w:rsid w:val="00214AB1"/>
    <w:rsid w:val="00214AE7"/>
    <w:rsid w:val="00214BEE"/>
    <w:rsid w:val="00214EE5"/>
    <w:rsid w:val="0021514C"/>
    <w:rsid w:val="002151A1"/>
    <w:rsid w:val="00215414"/>
    <w:rsid w:val="0021557E"/>
    <w:rsid w:val="0021590E"/>
    <w:rsid w:val="00215979"/>
    <w:rsid w:val="002159D8"/>
    <w:rsid w:val="00215B99"/>
    <w:rsid w:val="00215DB8"/>
    <w:rsid w:val="00215FA0"/>
    <w:rsid w:val="0021601C"/>
    <w:rsid w:val="00216272"/>
    <w:rsid w:val="002162A7"/>
    <w:rsid w:val="00216A3E"/>
    <w:rsid w:val="00216D00"/>
    <w:rsid w:val="00216DB3"/>
    <w:rsid w:val="00216FC1"/>
    <w:rsid w:val="002170CE"/>
    <w:rsid w:val="0021746E"/>
    <w:rsid w:val="002174AE"/>
    <w:rsid w:val="0021761F"/>
    <w:rsid w:val="002176FF"/>
    <w:rsid w:val="0021782B"/>
    <w:rsid w:val="002178BB"/>
    <w:rsid w:val="002179A2"/>
    <w:rsid w:val="00217A22"/>
    <w:rsid w:val="00217CC7"/>
    <w:rsid w:val="00217D4B"/>
    <w:rsid w:val="00217FB0"/>
    <w:rsid w:val="00220024"/>
    <w:rsid w:val="0022038A"/>
    <w:rsid w:val="00220469"/>
    <w:rsid w:val="00220722"/>
    <w:rsid w:val="00220A48"/>
    <w:rsid w:val="00220ABD"/>
    <w:rsid w:val="00220B77"/>
    <w:rsid w:val="00220C4B"/>
    <w:rsid w:val="00220C8F"/>
    <w:rsid w:val="00220F0A"/>
    <w:rsid w:val="00220F34"/>
    <w:rsid w:val="00221160"/>
    <w:rsid w:val="0022146A"/>
    <w:rsid w:val="00221748"/>
    <w:rsid w:val="0022193E"/>
    <w:rsid w:val="00221CB1"/>
    <w:rsid w:val="00221CC7"/>
    <w:rsid w:val="00221D7B"/>
    <w:rsid w:val="0022201A"/>
    <w:rsid w:val="00222244"/>
    <w:rsid w:val="00222682"/>
    <w:rsid w:val="0022291A"/>
    <w:rsid w:val="002229B2"/>
    <w:rsid w:val="00222AA6"/>
    <w:rsid w:val="00222D8C"/>
    <w:rsid w:val="00222DCB"/>
    <w:rsid w:val="00222EDA"/>
    <w:rsid w:val="00222F52"/>
    <w:rsid w:val="00223032"/>
    <w:rsid w:val="00223084"/>
    <w:rsid w:val="00223162"/>
    <w:rsid w:val="00223663"/>
    <w:rsid w:val="002236E6"/>
    <w:rsid w:val="0022389B"/>
    <w:rsid w:val="002239AB"/>
    <w:rsid w:val="00223A92"/>
    <w:rsid w:val="00223C0C"/>
    <w:rsid w:val="00223F09"/>
    <w:rsid w:val="0022404E"/>
    <w:rsid w:val="0022408D"/>
    <w:rsid w:val="002241E5"/>
    <w:rsid w:val="00224275"/>
    <w:rsid w:val="0022430C"/>
    <w:rsid w:val="002243B7"/>
    <w:rsid w:val="00224695"/>
    <w:rsid w:val="002247CC"/>
    <w:rsid w:val="002248F8"/>
    <w:rsid w:val="00224907"/>
    <w:rsid w:val="00224C55"/>
    <w:rsid w:val="00224D25"/>
    <w:rsid w:val="00224EDD"/>
    <w:rsid w:val="00225074"/>
    <w:rsid w:val="002252CF"/>
    <w:rsid w:val="002255DD"/>
    <w:rsid w:val="00225862"/>
    <w:rsid w:val="00225895"/>
    <w:rsid w:val="002259DA"/>
    <w:rsid w:val="00225A61"/>
    <w:rsid w:val="00225D3F"/>
    <w:rsid w:val="00225FC4"/>
    <w:rsid w:val="00225FD9"/>
    <w:rsid w:val="00226010"/>
    <w:rsid w:val="00226261"/>
    <w:rsid w:val="00226329"/>
    <w:rsid w:val="00226D20"/>
    <w:rsid w:val="00226ED9"/>
    <w:rsid w:val="00226FDE"/>
    <w:rsid w:val="00227305"/>
    <w:rsid w:val="002275DF"/>
    <w:rsid w:val="00227661"/>
    <w:rsid w:val="00227986"/>
    <w:rsid w:val="00227D5C"/>
    <w:rsid w:val="00227E39"/>
    <w:rsid w:val="0023001E"/>
    <w:rsid w:val="00230396"/>
    <w:rsid w:val="0023045B"/>
    <w:rsid w:val="002305E0"/>
    <w:rsid w:val="00230AE1"/>
    <w:rsid w:val="00230B90"/>
    <w:rsid w:val="00230D3B"/>
    <w:rsid w:val="00230DFD"/>
    <w:rsid w:val="00231544"/>
    <w:rsid w:val="00231893"/>
    <w:rsid w:val="00231AD0"/>
    <w:rsid w:val="00231AD5"/>
    <w:rsid w:val="00231B26"/>
    <w:rsid w:val="00231BC3"/>
    <w:rsid w:val="00231D62"/>
    <w:rsid w:val="00231F12"/>
    <w:rsid w:val="00232119"/>
    <w:rsid w:val="00232320"/>
    <w:rsid w:val="0023240F"/>
    <w:rsid w:val="00232523"/>
    <w:rsid w:val="00232606"/>
    <w:rsid w:val="00232852"/>
    <w:rsid w:val="00232875"/>
    <w:rsid w:val="00232A4B"/>
    <w:rsid w:val="00232AC3"/>
    <w:rsid w:val="00232B52"/>
    <w:rsid w:val="00232C6B"/>
    <w:rsid w:val="00232FBC"/>
    <w:rsid w:val="00233139"/>
    <w:rsid w:val="0023320D"/>
    <w:rsid w:val="002335BE"/>
    <w:rsid w:val="00233746"/>
    <w:rsid w:val="00233893"/>
    <w:rsid w:val="002338B3"/>
    <w:rsid w:val="00233A3B"/>
    <w:rsid w:val="00233A61"/>
    <w:rsid w:val="00233BC5"/>
    <w:rsid w:val="00233DAE"/>
    <w:rsid w:val="0023407D"/>
    <w:rsid w:val="002344B7"/>
    <w:rsid w:val="00234513"/>
    <w:rsid w:val="00234520"/>
    <w:rsid w:val="0023465E"/>
    <w:rsid w:val="002349E5"/>
    <w:rsid w:val="00234C51"/>
    <w:rsid w:val="00234C65"/>
    <w:rsid w:val="002350E6"/>
    <w:rsid w:val="0023527A"/>
    <w:rsid w:val="002353CE"/>
    <w:rsid w:val="0023552D"/>
    <w:rsid w:val="002355CC"/>
    <w:rsid w:val="00235A9A"/>
    <w:rsid w:val="00235AA7"/>
    <w:rsid w:val="00235B36"/>
    <w:rsid w:val="00235BAD"/>
    <w:rsid w:val="00235BB1"/>
    <w:rsid w:val="00235D68"/>
    <w:rsid w:val="00235F17"/>
    <w:rsid w:val="002360C0"/>
    <w:rsid w:val="002363D5"/>
    <w:rsid w:val="0023646C"/>
    <w:rsid w:val="00236498"/>
    <w:rsid w:val="00236741"/>
    <w:rsid w:val="0023680F"/>
    <w:rsid w:val="0023685F"/>
    <w:rsid w:val="00236994"/>
    <w:rsid w:val="002369FB"/>
    <w:rsid w:val="00236E68"/>
    <w:rsid w:val="00236F66"/>
    <w:rsid w:val="00237100"/>
    <w:rsid w:val="0023711D"/>
    <w:rsid w:val="00237153"/>
    <w:rsid w:val="00237366"/>
    <w:rsid w:val="0023778D"/>
    <w:rsid w:val="00237928"/>
    <w:rsid w:val="00237B44"/>
    <w:rsid w:val="00237D84"/>
    <w:rsid w:val="00237E86"/>
    <w:rsid w:val="00237F67"/>
    <w:rsid w:val="00237F77"/>
    <w:rsid w:val="00237FF1"/>
    <w:rsid w:val="00240043"/>
    <w:rsid w:val="00240046"/>
    <w:rsid w:val="00240078"/>
    <w:rsid w:val="0024042F"/>
    <w:rsid w:val="00240475"/>
    <w:rsid w:val="002404AA"/>
    <w:rsid w:val="00240622"/>
    <w:rsid w:val="002409E3"/>
    <w:rsid w:val="0024101B"/>
    <w:rsid w:val="002410CF"/>
    <w:rsid w:val="00241157"/>
    <w:rsid w:val="0024128A"/>
    <w:rsid w:val="0024129C"/>
    <w:rsid w:val="0024154B"/>
    <w:rsid w:val="00241582"/>
    <w:rsid w:val="0024170D"/>
    <w:rsid w:val="00241C7D"/>
    <w:rsid w:val="00241DAF"/>
    <w:rsid w:val="00241EEC"/>
    <w:rsid w:val="002423D0"/>
    <w:rsid w:val="0024274A"/>
    <w:rsid w:val="00242798"/>
    <w:rsid w:val="00242B56"/>
    <w:rsid w:val="00242BA9"/>
    <w:rsid w:val="00242C7D"/>
    <w:rsid w:val="00242DD4"/>
    <w:rsid w:val="00242E05"/>
    <w:rsid w:val="00243050"/>
    <w:rsid w:val="002432C5"/>
    <w:rsid w:val="00243326"/>
    <w:rsid w:val="002433DE"/>
    <w:rsid w:val="00243718"/>
    <w:rsid w:val="0024450B"/>
    <w:rsid w:val="0024470C"/>
    <w:rsid w:val="00244769"/>
    <w:rsid w:val="00244AB0"/>
    <w:rsid w:val="00244AE0"/>
    <w:rsid w:val="00244B6E"/>
    <w:rsid w:val="00244C0A"/>
    <w:rsid w:val="00244E16"/>
    <w:rsid w:val="00244FAA"/>
    <w:rsid w:val="00245027"/>
    <w:rsid w:val="002450CB"/>
    <w:rsid w:val="002453AA"/>
    <w:rsid w:val="00245947"/>
    <w:rsid w:val="00245B74"/>
    <w:rsid w:val="00245D9A"/>
    <w:rsid w:val="00245F28"/>
    <w:rsid w:val="0024622A"/>
    <w:rsid w:val="00246A99"/>
    <w:rsid w:val="00246AA5"/>
    <w:rsid w:val="00246BA9"/>
    <w:rsid w:val="00246CD8"/>
    <w:rsid w:val="00247368"/>
    <w:rsid w:val="002479B1"/>
    <w:rsid w:val="00247AF6"/>
    <w:rsid w:val="00247B87"/>
    <w:rsid w:val="00247C22"/>
    <w:rsid w:val="00247F1B"/>
    <w:rsid w:val="00250116"/>
    <w:rsid w:val="0025016C"/>
    <w:rsid w:val="002503B4"/>
    <w:rsid w:val="00250970"/>
    <w:rsid w:val="00250A36"/>
    <w:rsid w:val="00251057"/>
    <w:rsid w:val="002510B8"/>
    <w:rsid w:val="0025112B"/>
    <w:rsid w:val="002512BE"/>
    <w:rsid w:val="00251445"/>
    <w:rsid w:val="00251502"/>
    <w:rsid w:val="00251575"/>
    <w:rsid w:val="00251584"/>
    <w:rsid w:val="002515A7"/>
    <w:rsid w:val="0025174E"/>
    <w:rsid w:val="0025180A"/>
    <w:rsid w:val="00251AA2"/>
    <w:rsid w:val="00251BDC"/>
    <w:rsid w:val="00251DB6"/>
    <w:rsid w:val="00252140"/>
    <w:rsid w:val="0025241B"/>
    <w:rsid w:val="00252476"/>
    <w:rsid w:val="00252509"/>
    <w:rsid w:val="00252613"/>
    <w:rsid w:val="0025289D"/>
    <w:rsid w:val="002529AA"/>
    <w:rsid w:val="00252A53"/>
    <w:rsid w:val="00252B43"/>
    <w:rsid w:val="00252B89"/>
    <w:rsid w:val="00252BBC"/>
    <w:rsid w:val="00252D5A"/>
    <w:rsid w:val="00252EEE"/>
    <w:rsid w:val="00252F88"/>
    <w:rsid w:val="002536CD"/>
    <w:rsid w:val="00253768"/>
    <w:rsid w:val="00253C26"/>
    <w:rsid w:val="00253D08"/>
    <w:rsid w:val="00253F00"/>
    <w:rsid w:val="00253F50"/>
    <w:rsid w:val="00253F58"/>
    <w:rsid w:val="00253F85"/>
    <w:rsid w:val="00253FFA"/>
    <w:rsid w:val="00254073"/>
    <w:rsid w:val="002540C4"/>
    <w:rsid w:val="002540E5"/>
    <w:rsid w:val="00254293"/>
    <w:rsid w:val="00254816"/>
    <w:rsid w:val="002549BD"/>
    <w:rsid w:val="00254AE6"/>
    <w:rsid w:val="00254B67"/>
    <w:rsid w:val="00254D56"/>
    <w:rsid w:val="00254DCF"/>
    <w:rsid w:val="0025502A"/>
    <w:rsid w:val="002550D1"/>
    <w:rsid w:val="00255131"/>
    <w:rsid w:val="00255553"/>
    <w:rsid w:val="002556CC"/>
    <w:rsid w:val="00255E6E"/>
    <w:rsid w:val="00255E96"/>
    <w:rsid w:val="00256097"/>
    <w:rsid w:val="002561A5"/>
    <w:rsid w:val="00256223"/>
    <w:rsid w:val="00256688"/>
    <w:rsid w:val="0025681B"/>
    <w:rsid w:val="00256829"/>
    <w:rsid w:val="0025691E"/>
    <w:rsid w:val="00256B30"/>
    <w:rsid w:val="00256C1C"/>
    <w:rsid w:val="00256CCA"/>
    <w:rsid w:val="00256D3E"/>
    <w:rsid w:val="0025721E"/>
    <w:rsid w:val="0025734D"/>
    <w:rsid w:val="00257561"/>
    <w:rsid w:val="00257B36"/>
    <w:rsid w:val="00257BA6"/>
    <w:rsid w:val="00257C5A"/>
    <w:rsid w:val="00260035"/>
    <w:rsid w:val="00260394"/>
    <w:rsid w:val="002603BA"/>
    <w:rsid w:val="002605CE"/>
    <w:rsid w:val="00260650"/>
    <w:rsid w:val="00260662"/>
    <w:rsid w:val="0026082D"/>
    <w:rsid w:val="00260B5E"/>
    <w:rsid w:val="00260BD7"/>
    <w:rsid w:val="00260C4A"/>
    <w:rsid w:val="00260D1F"/>
    <w:rsid w:val="00260E1B"/>
    <w:rsid w:val="00260EB0"/>
    <w:rsid w:val="00261853"/>
    <w:rsid w:val="0026195B"/>
    <w:rsid w:val="00261CC7"/>
    <w:rsid w:val="00261E68"/>
    <w:rsid w:val="00261E6F"/>
    <w:rsid w:val="00261FB8"/>
    <w:rsid w:val="00262038"/>
    <w:rsid w:val="002627BE"/>
    <w:rsid w:val="002628A9"/>
    <w:rsid w:val="00262B5B"/>
    <w:rsid w:val="00262CD2"/>
    <w:rsid w:val="00262DE9"/>
    <w:rsid w:val="00262E00"/>
    <w:rsid w:val="00263097"/>
    <w:rsid w:val="00263151"/>
    <w:rsid w:val="00263300"/>
    <w:rsid w:val="00263481"/>
    <w:rsid w:val="00263491"/>
    <w:rsid w:val="0026356C"/>
    <w:rsid w:val="00263613"/>
    <w:rsid w:val="002636CB"/>
    <w:rsid w:val="002638D2"/>
    <w:rsid w:val="00263975"/>
    <w:rsid w:val="00263A00"/>
    <w:rsid w:val="00263A0E"/>
    <w:rsid w:val="00263B65"/>
    <w:rsid w:val="00263CA0"/>
    <w:rsid w:val="00263D45"/>
    <w:rsid w:val="00263F60"/>
    <w:rsid w:val="002641DE"/>
    <w:rsid w:val="002648EA"/>
    <w:rsid w:val="00264C4D"/>
    <w:rsid w:val="00264CE5"/>
    <w:rsid w:val="00264FA9"/>
    <w:rsid w:val="002658FC"/>
    <w:rsid w:val="0026596E"/>
    <w:rsid w:val="002659DF"/>
    <w:rsid w:val="00265A73"/>
    <w:rsid w:val="00265C2D"/>
    <w:rsid w:val="00265F79"/>
    <w:rsid w:val="002660BC"/>
    <w:rsid w:val="00266A68"/>
    <w:rsid w:val="00266B96"/>
    <w:rsid w:val="00266D0B"/>
    <w:rsid w:val="00266D43"/>
    <w:rsid w:val="00266F12"/>
    <w:rsid w:val="0026705D"/>
    <w:rsid w:val="002673F0"/>
    <w:rsid w:val="00267443"/>
    <w:rsid w:val="00267537"/>
    <w:rsid w:val="00267E7C"/>
    <w:rsid w:val="00270081"/>
    <w:rsid w:val="002701EC"/>
    <w:rsid w:val="002702A0"/>
    <w:rsid w:val="00270487"/>
    <w:rsid w:val="0027072E"/>
    <w:rsid w:val="0027076F"/>
    <w:rsid w:val="00270BA1"/>
    <w:rsid w:val="00270BA3"/>
    <w:rsid w:val="00270DAA"/>
    <w:rsid w:val="002710BB"/>
    <w:rsid w:val="00271210"/>
    <w:rsid w:val="00271329"/>
    <w:rsid w:val="002713FF"/>
    <w:rsid w:val="00271481"/>
    <w:rsid w:val="00271635"/>
    <w:rsid w:val="00271957"/>
    <w:rsid w:val="00271FE8"/>
    <w:rsid w:val="002721AC"/>
    <w:rsid w:val="0027236E"/>
    <w:rsid w:val="002724ED"/>
    <w:rsid w:val="002725A7"/>
    <w:rsid w:val="002729A9"/>
    <w:rsid w:val="00272E11"/>
    <w:rsid w:val="00272E87"/>
    <w:rsid w:val="00272EC5"/>
    <w:rsid w:val="00272ECB"/>
    <w:rsid w:val="0027339E"/>
    <w:rsid w:val="002733E3"/>
    <w:rsid w:val="00273617"/>
    <w:rsid w:val="002736E0"/>
    <w:rsid w:val="002739F4"/>
    <w:rsid w:val="00273B76"/>
    <w:rsid w:val="00273B99"/>
    <w:rsid w:val="00273D80"/>
    <w:rsid w:val="00273F42"/>
    <w:rsid w:val="00273F56"/>
    <w:rsid w:val="002742D9"/>
    <w:rsid w:val="002748CE"/>
    <w:rsid w:val="00274A67"/>
    <w:rsid w:val="00274C17"/>
    <w:rsid w:val="00274C5C"/>
    <w:rsid w:val="00274CE9"/>
    <w:rsid w:val="00274F55"/>
    <w:rsid w:val="00275105"/>
    <w:rsid w:val="002751A1"/>
    <w:rsid w:val="002751FB"/>
    <w:rsid w:val="0027525A"/>
    <w:rsid w:val="00275395"/>
    <w:rsid w:val="002754AF"/>
    <w:rsid w:val="00275865"/>
    <w:rsid w:val="00275A5B"/>
    <w:rsid w:val="00275B42"/>
    <w:rsid w:val="00275F10"/>
    <w:rsid w:val="002761F0"/>
    <w:rsid w:val="002762C9"/>
    <w:rsid w:val="0027636D"/>
    <w:rsid w:val="002764E7"/>
    <w:rsid w:val="0027662B"/>
    <w:rsid w:val="00276960"/>
    <w:rsid w:val="00276973"/>
    <w:rsid w:val="00276988"/>
    <w:rsid w:val="00276AC9"/>
    <w:rsid w:val="00276BD3"/>
    <w:rsid w:val="00276C12"/>
    <w:rsid w:val="00276C7D"/>
    <w:rsid w:val="00276E6A"/>
    <w:rsid w:val="00276E71"/>
    <w:rsid w:val="0027710E"/>
    <w:rsid w:val="00277257"/>
    <w:rsid w:val="00277268"/>
    <w:rsid w:val="00277306"/>
    <w:rsid w:val="002775D6"/>
    <w:rsid w:val="00277931"/>
    <w:rsid w:val="00277D2D"/>
    <w:rsid w:val="00277F1A"/>
    <w:rsid w:val="0028007C"/>
    <w:rsid w:val="00280104"/>
    <w:rsid w:val="002801D8"/>
    <w:rsid w:val="0028025C"/>
    <w:rsid w:val="002805DD"/>
    <w:rsid w:val="002807E9"/>
    <w:rsid w:val="00280955"/>
    <w:rsid w:val="00280998"/>
    <w:rsid w:val="002809E7"/>
    <w:rsid w:val="00280BC1"/>
    <w:rsid w:val="00280F0C"/>
    <w:rsid w:val="002810CF"/>
    <w:rsid w:val="0028115F"/>
    <w:rsid w:val="002811A3"/>
    <w:rsid w:val="002811D4"/>
    <w:rsid w:val="002812B4"/>
    <w:rsid w:val="00281365"/>
    <w:rsid w:val="002814FE"/>
    <w:rsid w:val="00281573"/>
    <w:rsid w:val="00281664"/>
    <w:rsid w:val="00281894"/>
    <w:rsid w:val="00281948"/>
    <w:rsid w:val="00281C28"/>
    <w:rsid w:val="00281D70"/>
    <w:rsid w:val="00281DAB"/>
    <w:rsid w:val="00281E95"/>
    <w:rsid w:val="00281FEC"/>
    <w:rsid w:val="0028216A"/>
    <w:rsid w:val="00282640"/>
    <w:rsid w:val="00282746"/>
    <w:rsid w:val="00282B45"/>
    <w:rsid w:val="00282D4D"/>
    <w:rsid w:val="00282F79"/>
    <w:rsid w:val="00283045"/>
    <w:rsid w:val="002838C6"/>
    <w:rsid w:val="00283B08"/>
    <w:rsid w:val="00283CD4"/>
    <w:rsid w:val="00283F70"/>
    <w:rsid w:val="0028425A"/>
    <w:rsid w:val="0028458C"/>
    <w:rsid w:val="002847EA"/>
    <w:rsid w:val="002848A1"/>
    <w:rsid w:val="00284928"/>
    <w:rsid w:val="00284A46"/>
    <w:rsid w:val="00284E4F"/>
    <w:rsid w:val="00284F26"/>
    <w:rsid w:val="00284F32"/>
    <w:rsid w:val="00284F63"/>
    <w:rsid w:val="00284FF1"/>
    <w:rsid w:val="002853A8"/>
    <w:rsid w:val="0028543A"/>
    <w:rsid w:val="002857ED"/>
    <w:rsid w:val="002857EE"/>
    <w:rsid w:val="002859B1"/>
    <w:rsid w:val="00285C11"/>
    <w:rsid w:val="00285D32"/>
    <w:rsid w:val="00285D47"/>
    <w:rsid w:val="00285D9D"/>
    <w:rsid w:val="00286244"/>
    <w:rsid w:val="0028628B"/>
    <w:rsid w:val="00286383"/>
    <w:rsid w:val="002866CF"/>
    <w:rsid w:val="00286755"/>
    <w:rsid w:val="00286ACB"/>
    <w:rsid w:val="00286BB8"/>
    <w:rsid w:val="00286C59"/>
    <w:rsid w:val="00286DE5"/>
    <w:rsid w:val="002871C1"/>
    <w:rsid w:val="00287326"/>
    <w:rsid w:val="002874AB"/>
    <w:rsid w:val="0028777F"/>
    <w:rsid w:val="002878C5"/>
    <w:rsid w:val="00287E41"/>
    <w:rsid w:val="00287EE0"/>
    <w:rsid w:val="00287FFC"/>
    <w:rsid w:val="0028E383"/>
    <w:rsid w:val="0029028B"/>
    <w:rsid w:val="0029053F"/>
    <w:rsid w:val="002908B3"/>
    <w:rsid w:val="0029096C"/>
    <w:rsid w:val="00290A7D"/>
    <w:rsid w:val="00290DCD"/>
    <w:rsid w:val="0029100C"/>
    <w:rsid w:val="002911CA"/>
    <w:rsid w:val="0029131D"/>
    <w:rsid w:val="00291387"/>
    <w:rsid w:val="002915AE"/>
    <w:rsid w:val="002915ED"/>
    <w:rsid w:val="0029172F"/>
    <w:rsid w:val="00291763"/>
    <w:rsid w:val="00291F2E"/>
    <w:rsid w:val="00291FAC"/>
    <w:rsid w:val="00292180"/>
    <w:rsid w:val="002921BA"/>
    <w:rsid w:val="002922B3"/>
    <w:rsid w:val="00292781"/>
    <w:rsid w:val="0029291A"/>
    <w:rsid w:val="0029292B"/>
    <w:rsid w:val="002929D0"/>
    <w:rsid w:val="00292B80"/>
    <w:rsid w:val="00292F79"/>
    <w:rsid w:val="00292FAF"/>
    <w:rsid w:val="00292FF5"/>
    <w:rsid w:val="00293189"/>
    <w:rsid w:val="00293306"/>
    <w:rsid w:val="002935E7"/>
    <w:rsid w:val="00293636"/>
    <w:rsid w:val="0029376C"/>
    <w:rsid w:val="00293824"/>
    <w:rsid w:val="00293986"/>
    <w:rsid w:val="00293E2D"/>
    <w:rsid w:val="00294228"/>
    <w:rsid w:val="00294295"/>
    <w:rsid w:val="002942FB"/>
    <w:rsid w:val="0029474E"/>
    <w:rsid w:val="00294781"/>
    <w:rsid w:val="00294919"/>
    <w:rsid w:val="002949BA"/>
    <w:rsid w:val="00294B47"/>
    <w:rsid w:val="00294BC6"/>
    <w:rsid w:val="00294C10"/>
    <w:rsid w:val="00294D38"/>
    <w:rsid w:val="00294F2B"/>
    <w:rsid w:val="00294F8E"/>
    <w:rsid w:val="0029546D"/>
    <w:rsid w:val="00295485"/>
    <w:rsid w:val="00295574"/>
    <w:rsid w:val="002955F4"/>
    <w:rsid w:val="00295652"/>
    <w:rsid w:val="00295833"/>
    <w:rsid w:val="00295BAC"/>
    <w:rsid w:val="002962AC"/>
    <w:rsid w:val="002963C7"/>
    <w:rsid w:val="002965A2"/>
    <w:rsid w:val="00296CE4"/>
    <w:rsid w:val="00296E53"/>
    <w:rsid w:val="002971A1"/>
    <w:rsid w:val="00297283"/>
    <w:rsid w:val="0029743C"/>
    <w:rsid w:val="002974D9"/>
    <w:rsid w:val="00297857"/>
    <w:rsid w:val="0029785F"/>
    <w:rsid w:val="002978CE"/>
    <w:rsid w:val="0029795B"/>
    <w:rsid w:val="00297A20"/>
    <w:rsid w:val="00297C53"/>
    <w:rsid w:val="00297DC2"/>
    <w:rsid w:val="002A023D"/>
    <w:rsid w:val="002A0261"/>
    <w:rsid w:val="002A0446"/>
    <w:rsid w:val="002A09C0"/>
    <w:rsid w:val="002A0A03"/>
    <w:rsid w:val="002A0DD7"/>
    <w:rsid w:val="002A0DDE"/>
    <w:rsid w:val="002A0E18"/>
    <w:rsid w:val="002A0F68"/>
    <w:rsid w:val="002A10CF"/>
    <w:rsid w:val="002A122D"/>
    <w:rsid w:val="002A1426"/>
    <w:rsid w:val="002A143E"/>
    <w:rsid w:val="002A14E4"/>
    <w:rsid w:val="002A151E"/>
    <w:rsid w:val="002A1946"/>
    <w:rsid w:val="002A1E6E"/>
    <w:rsid w:val="002A214B"/>
    <w:rsid w:val="002A2259"/>
    <w:rsid w:val="002A227E"/>
    <w:rsid w:val="002A2311"/>
    <w:rsid w:val="002A23C0"/>
    <w:rsid w:val="002A2E19"/>
    <w:rsid w:val="002A2E1A"/>
    <w:rsid w:val="002A31A9"/>
    <w:rsid w:val="002A31ED"/>
    <w:rsid w:val="002A364C"/>
    <w:rsid w:val="002A368D"/>
    <w:rsid w:val="002A381E"/>
    <w:rsid w:val="002A3D9D"/>
    <w:rsid w:val="002A3EEC"/>
    <w:rsid w:val="002A3FC8"/>
    <w:rsid w:val="002A4049"/>
    <w:rsid w:val="002A429B"/>
    <w:rsid w:val="002A43D9"/>
    <w:rsid w:val="002A472D"/>
    <w:rsid w:val="002A4746"/>
    <w:rsid w:val="002A4747"/>
    <w:rsid w:val="002A4928"/>
    <w:rsid w:val="002A4BD9"/>
    <w:rsid w:val="002A4ECC"/>
    <w:rsid w:val="002A51AB"/>
    <w:rsid w:val="002A547F"/>
    <w:rsid w:val="002A589C"/>
    <w:rsid w:val="002A5C9F"/>
    <w:rsid w:val="002A5DC4"/>
    <w:rsid w:val="002A5E5F"/>
    <w:rsid w:val="002A5EE9"/>
    <w:rsid w:val="002A5F26"/>
    <w:rsid w:val="002A6127"/>
    <w:rsid w:val="002A619B"/>
    <w:rsid w:val="002A6C21"/>
    <w:rsid w:val="002A6C71"/>
    <w:rsid w:val="002A6C9E"/>
    <w:rsid w:val="002A6CF9"/>
    <w:rsid w:val="002A70E0"/>
    <w:rsid w:val="002A70F0"/>
    <w:rsid w:val="002A715E"/>
    <w:rsid w:val="002A726E"/>
    <w:rsid w:val="002A7307"/>
    <w:rsid w:val="002A73BA"/>
    <w:rsid w:val="002A74F1"/>
    <w:rsid w:val="002A76B1"/>
    <w:rsid w:val="002A76BD"/>
    <w:rsid w:val="002A76CC"/>
    <w:rsid w:val="002A783F"/>
    <w:rsid w:val="002A78AD"/>
    <w:rsid w:val="002A7A33"/>
    <w:rsid w:val="002A7A5B"/>
    <w:rsid w:val="002A7B98"/>
    <w:rsid w:val="002A7DCF"/>
    <w:rsid w:val="002A7F42"/>
    <w:rsid w:val="002B0774"/>
    <w:rsid w:val="002B0776"/>
    <w:rsid w:val="002B0815"/>
    <w:rsid w:val="002B09FB"/>
    <w:rsid w:val="002B0D11"/>
    <w:rsid w:val="002B0D5F"/>
    <w:rsid w:val="002B0F86"/>
    <w:rsid w:val="002B0FAC"/>
    <w:rsid w:val="002B1097"/>
    <w:rsid w:val="002B1165"/>
    <w:rsid w:val="002B1359"/>
    <w:rsid w:val="002B1367"/>
    <w:rsid w:val="002B16EF"/>
    <w:rsid w:val="002B16F5"/>
    <w:rsid w:val="002B1718"/>
    <w:rsid w:val="002B1A80"/>
    <w:rsid w:val="002B1DFF"/>
    <w:rsid w:val="002B1FA9"/>
    <w:rsid w:val="002B21C0"/>
    <w:rsid w:val="002B2299"/>
    <w:rsid w:val="002B23E6"/>
    <w:rsid w:val="002B24DB"/>
    <w:rsid w:val="002B26CB"/>
    <w:rsid w:val="002B2711"/>
    <w:rsid w:val="002B2740"/>
    <w:rsid w:val="002B291E"/>
    <w:rsid w:val="002B2A60"/>
    <w:rsid w:val="002B3008"/>
    <w:rsid w:val="002B3111"/>
    <w:rsid w:val="002B3189"/>
    <w:rsid w:val="002B35AC"/>
    <w:rsid w:val="002B368B"/>
    <w:rsid w:val="002B3748"/>
    <w:rsid w:val="002B3772"/>
    <w:rsid w:val="002B37B8"/>
    <w:rsid w:val="002B3815"/>
    <w:rsid w:val="002B3A6E"/>
    <w:rsid w:val="002B3DEB"/>
    <w:rsid w:val="002B3F19"/>
    <w:rsid w:val="002B4147"/>
    <w:rsid w:val="002B428D"/>
    <w:rsid w:val="002B4351"/>
    <w:rsid w:val="002B463B"/>
    <w:rsid w:val="002B48B3"/>
    <w:rsid w:val="002B4911"/>
    <w:rsid w:val="002B4B0D"/>
    <w:rsid w:val="002B4D97"/>
    <w:rsid w:val="002B4DB0"/>
    <w:rsid w:val="002B4DF3"/>
    <w:rsid w:val="002B50E5"/>
    <w:rsid w:val="002B552F"/>
    <w:rsid w:val="002B5567"/>
    <w:rsid w:val="002B5924"/>
    <w:rsid w:val="002B59E6"/>
    <w:rsid w:val="002B628B"/>
    <w:rsid w:val="002B62E5"/>
    <w:rsid w:val="002B65A9"/>
    <w:rsid w:val="002B65ED"/>
    <w:rsid w:val="002B6745"/>
    <w:rsid w:val="002B690A"/>
    <w:rsid w:val="002B6923"/>
    <w:rsid w:val="002B6A5E"/>
    <w:rsid w:val="002B6BF7"/>
    <w:rsid w:val="002B6C14"/>
    <w:rsid w:val="002B6D84"/>
    <w:rsid w:val="002B6E98"/>
    <w:rsid w:val="002B7015"/>
    <w:rsid w:val="002B7228"/>
    <w:rsid w:val="002B750E"/>
    <w:rsid w:val="002B7606"/>
    <w:rsid w:val="002B76D2"/>
    <w:rsid w:val="002B789E"/>
    <w:rsid w:val="002B7BEF"/>
    <w:rsid w:val="002C0D49"/>
    <w:rsid w:val="002C0E6F"/>
    <w:rsid w:val="002C118C"/>
    <w:rsid w:val="002C133F"/>
    <w:rsid w:val="002C1371"/>
    <w:rsid w:val="002C1432"/>
    <w:rsid w:val="002C199C"/>
    <w:rsid w:val="002C1ADE"/>
    <w:rsid w:val="002C1ECB"/>
    <w:rsid w:val="002C1F04"/>
    <w:rsid w:val="002C224D"/>
    <w:rsid w:val="002C23D5"/>
    <w:rsid w:val="002C24B4"/>
    <w:rsid w:val="002C2655"/>
    <w:rsid w:val="002C273E"/>
    <w:rsid w:val="002C2ABB"/>
    <w:rsid w:val="002C2D43"/>
    <w:rsid w:val="002C2DC4"/>
    <w:rsid w:val="002C3034"/>
    <w:rsid w:val="002C3098"/>
    <w:rsid w:val="002C30E0"/>
    <w:rsid w:val="002C35C6"/>
    <w:rsid w:val="002C3B75"/>
    <w:rsid w:val="002C3F55"/>
    <w:rsid w:val="002C4162"/>
    <w:rsid w:val="002C4255"/>
    <w:rsid w:val="002C42B3"/>
    <w:rsid w:val="002C47C9"/>
    <w:rsid w:val="002C49F6"/>
    <w:rsid w:val="002C4B60"/>
    <w:rsid w:val="002C4E87"/>
    <w:rsid w:val="002C4EB6"/>
    <w:rsid w:val="002C4ECB"/>
    <w:rsid w:val="002C51B2"/>
    <w:rsid w:val="002C5228"/>
    <w:rsid w:val="002C5465"/>
    <w:rsid w:val="002C546C"/>
    <w:rsid w:val="002C560E"/>
    <w:rsid w:val="002C5966"/>
    <w:rsid w:val="002C6733"/>
    <w:rsid w:val="002C689D"/>
    <w:rsid w:val="002C6B0A"/>
    <w:rsid w:val="002C6C82"/>
    <w:rsid w:val="002C6CE9"/>
    <w:rsid w:val="002C7100"/>
    <w:rsid w:val="002C79A6"/>
    <w:rsid w:val="002C7A4B"/>
    <w:rsid w:val="002C7BBF"/>
    <w:rsid w:val="002C7EF6"/>
    <w:rsid w:val="002D0281"/>
    <w:rsid w:val="002D056F"/>
    <w:rsid w:val="002D067D"/>
    <w:rsid w:val="002D0735"/>
    <w:rsid w:val="002D082E"/>
    <w:rsid w:val="002D0E60"/>
    <w:rsid w:val="002D10A5"/>
    <w:rsid w:val="002D1197"/>
    <w:rsid w:val="002D1513"/>
    <w:rsid w:val="002D16B5"/>
    <w:rsid w:val="002D188E"/>
    <w:rsid w:val="002D190F"/>
    <w:rsid w:val="002D19EC"/>
    <w:rsid w:val="002D1AB2"/>
    <w:rsid w:val="002D1BB8"/>
    <w:rsid w:val="002D1CBD"/>
    <w:rsid w:val="002D1CEF"/>
    <w:rsid w:val="002D1DB3"/>
    <w:rsid w:val="002D1FD3"/>
    <w:rsid w:val="002D212C"/>
    <w:rsid w:val="002D232C"/>
    <w:rsid w:val="002D2449"/>
    <w:rsid w:val="002D2640"/>
    <w:rsid w:val="002D2652"/>
    <w:rsid w:val="002D287B"/>
    <w:rsid w:val="002D2D5A"/>
    <w:rsid w:val="002D2E52"/>
    <w:rsid w:val="002D2EA9"/>
    <w:rsid w:val="002D3626"/>
    <w:rsid w:val="002D3724"/>
    <w:rsid w:val="002D372F"/>
    <w:rsid w:val="002D3763"/>
    <w:rsid w:val="002D37C5"/>
    <w:rsid w:val="002D38AB"/>
    <w:rsid w:val="002D390F"/>
    <w:rsid w:val="002D3CC7"/>
    <w:rsid w:val="002D4397"/>
    <w:rsid w:val="002D459F"/>
    <w:rsid w:val="002D4B47"/>
    <w:rsid w:val="002D4BE2"/>
    <w:rsid w:val="002D4CD1"/>
    <w:rsid w:val="002D4D5B"/>
    <w:rsid w:val="002D5147"/>
    <w:rsid w:val="002D5250"/>
    <w:rsid w:val="002D5333"/>
    <w:rsid w:val="002D547C"/>
    <w:rsid w:val="002D5638"/>
    <w:rsid w:val="002D57F4"/>
    <w:rsid w:val="002D606C"/>
    <w:rsid w:val="002D609D"/>
    <w:rsid w:val="002D6AC1"/>
    <w:rsid w:val="002D6AD0"/>
    <w:rsid w:val="002D6B03"/>
    <w:rsid w:val="002D6B95"/>
    <w:rsid w:val="002D6DEF"/>
    <w:rsid w:val="002D6E99"/>
    <w:rsid w:val="002D74E5"/>
    <w:rsid w:val="002D7523"/>
    <w:rsid w:val="002D7748"/>
    <w:rsid w:val="002D7760"/>
    <w:rsid w:val="002D7A37"/>
    <w:rsid w:val="002D7AF6"/>
    <w:rsid w:val="002D7C22"/>
    <w:rsid w:val="002D7CB1"/>
    <w:rsid w:val="002D7CCB"/>
    <w:rsid w:val="002D7DB8"/>
    <w:rsid w:val="002D7F9B"/>
    <w:rsid w:val="002E0075"/>
    <w:rsid w:val="002E0547"/>
    <w:rsid w:val="002E0B77"/>
    <w:rsid w:val="002E0E1A"/>
    <w:rsid w:val="002E0EA1"/>
    <w:rsid w:val="002E0EE8"/>
    <w:rsid w:val="002E115D"/>
    <w:rsid w:val="002E13E7"/>
    <w:rsid w:val="002E1400"/>
    <w:rsid w:val="002E1610"/>
    <w:rsid w:val="002E1736"/>
    <w:rsid w:val="002E1923"/>
    <w:rsid w:val="002E1933"/>
    <w:rsid w:val="002E1AAF"/>
    <w:rsid w:val="002E1ACD"/>
    <w:rsid w:val="002E1AF3"/>
    <w:rsid w:val="002E1BDD"/>
    <w:rsid w:val="002E1DC1"/>
    <w:rsid w:val="002E1F57"/>
    <w:rsid w:val="002E22C4"/>
    <w:rsid w:val="002E2546"/>
    <w:rsid w:val="002E25DE"/>
    <w:rsid w:val="002E276D"/>
    <w:rsid w:val="002E27EB"/>
    <w:rsid w:val="002E2C6C"/>
    <w:rsid w:val="002E2CC6"/>
    <w:rsid w:val="002E2FA5"/>
    <w:rsid w:val="002E302D"/>
    <w:rsid w:val="002E312C"/>
    <w:rsid w:val="002E322B"/>
    <w:rsid w:val="002E35C4"/>
    <w:rsid w:val="002E36A8"/>
    <w:rsid w:val="002E3871"/>
    <w:rsid w:val="002E3982"/>
    <w:rsid w:val="002E3A07"/>
    <w:rsid w:val="002E3ACE"/>
    <w:rsid w:val="002E3B17"/>
    <w:rsid w:val="002E3BEB"/>
    <w:rsid w:val="002E3C5A"/>
    <w:rsid w:val="002E3FD1"/>
    <w:rsid w:val="002E40C3"/>
    <w:rsid w:val="002E433E"/>
    <w:rsid w:val="002E46FC"/>
    <w:rsid w:val="002E48F6"/>
    <w:rsid w:val="002E4D33"/>
    <w:rsid w:val="002E4DF0"/>
    <w:rsid w:val="002E4F9B"/>
    <w:rsid w:val="002E4FA0"/>
    <w:rsid w:val="002E5001"/>
    <w:rsid w:val="002E5239"/>
    <w:rsid w:val="002E5814"/>
    <w:rsid w:val="002E5AED"/>
    <w:rsid w:val="002E5C62"/>
    <w:rsid w:val="002E60F8"/>
    <w:rsid w:val="002E6109"/>
    <w:rsid w:val="002E64BB"/>
    <w:rsid w:val="002E6564"/>
    <w:rsid w:val="002E703C"/>
    <w:rsid w:val="002E71AA"/>
    <w:rsid w:val="002E7265"/>
    <w:rsid w:val="002E73AB"/>
    <w:rsid w:val="002E73C3"/>
    <w:rsid w:val="002E772C"/>
    <w:rsid w:val="002E7BF0"/>
    <w:rsid w:val="002F024F"/>
    <w:rsid w:val="002F0462"/>
    <w:rsid w:val="002F0619"/>
    <w:rsid w:val="002F0964"/>
    <w:rsid w:val="002F0DFC"/>
    <w:rsid w:val="002F0E31"/>
    <w:rsid w:val="002F0E9E"/>
    <w:rsid w:val="002F0F1B"/>
    <w:rsid w:val="002F16A1"/>
    <w:rsid w:val="002F16FA"/>
    <w:rsid w:val="002F1742"/>
    <w:rsid w:val="002F17E2"/>
    <w:rsid w:val="002F197E"/>
    <w:rsid w:val="002F1D63"/>
    <w:rsid w:val="002F1E16"/>
    <w:rsid w:val="002F1EC0"/>
    <w:rsid w:val="002F1F36"/>
    <w:rsid w:val="002F2001"/>
    <w:rsid w:val="002F2155"/>
    <w:rsid w:val="002F233D"/>
    <w:rsid w:val="002F26C2"/>
    <w:rsid w:val="002F284B"/>
    <w:rsid w:val="002F28F9"/>
    <w:rsid w:val="002F2D40"/>
    <w:rsid w:val="002F2F37"/>
    <w:rsid w:val="002F34DC"/>
    <w:rsid w:val="002F3539"/>
    <w:rsid w:val="002F358A"/>
    <w:rsid w:val="002F362E"/>
    <w:rsid w:val="002F37FF"/>
    <w:rsid w:val="002F380D"/>
    <w:rsid w:val="002F3813"/>
    <w:rsid w:val="002F3865"/>
    <w:rsid w:val="002F3B5A"/>
    <w:rsid w:val="002F3C04"/>
    <w:rsid w:val="002F3C19"/>
    <w:rsid w:val="002F3D86"/>
    <w:rsid w:val="002F3D95"/>
    <w:rsid w:val="002F3E3C"/>
    <w:rsid w:val="002F40BF"/>
    <w:rsid w:val="002F42FE"/>
    <w:rsid w:val="002F45CB"/>
    <w:rsid w:val="002F45CC"/>
    <w:rsid w:val="002F4816"/>
    <w:rsid w:val="002F491B"/>
    <w:rsid w:val="002F4A64"/>
    <w:rsid w:val="002F4A7F"/>
    <w:rsid w:val="002F4DB7"/>
    <w:rsid w:val="002F4FBB"/>
    <w:rsid w:val="002F5066"/>
    <w:rsid w:val="002F5095"/>
    <w:rsid w:val="002F50AC"/>
    <w:rsid w:val="002F50B1"/>
    <w:rsid w:val="002F50E2"/>
    <w:rsid w:val="002F514E"/>
    <w:rsid w:val="002F53F7"/>
    <w:rsid w:val="002F5408"/>
    <w:rsid w:val="002F5489"/>
    <w:rsid w:val="002F554B"/>
    <w:rsid w:val="002F592F"/>
    <w:rsid w:val="002F5B20"/>
    <w:rsid w:val="002F5D22"/>
    <w:rsid w:val="002F5D35"/>
    <w:rsid w:val="002F5D6B"/>
    <w:rsid w:val="002F5E38"/>
    <w:rsid w:val="002F6831"/>
    <w:rsid w:val="002F6858"/>
    <w:rsid w:val="002F68C0"/>
    <w:rsid w:val="002F68F6"/>
    <w:rsid w:val="002F6A42"/>
    <w:rsid w:val="002F6B30"/>
    <w:rsid w:val="002F6C00"/>
    <w:rsid w:val="002F6C75"/>
    <w:rsid w:val="002F6D5A"/>
    <w:rsid w:val="002F6F38"/>
    <w:rsid w:val="002F739F"/>
    <w:rsid w:val="002F77BD"/>
    <w:rsid w:val="002F791A"/>
    <w:rsid w:val="002F79A7"/>
    <w:rsid w:val="002F7A31"/>
    <w:rsid w:val="002F7F23"/>
    <w:rsid w:val="0030001D"/>
    <w:rsid w:val="0030014A"/>
    <w:rsid w:val="00300226"/>
    <w:rsid w:val="00300419"/>
    <w:rsid w:val="0030049A"/>
    <w:rsid w:val="0030060B"/>
    <w:rsid w:val="003006D0"/>
    <w:rsid w:val="00300893"/>
    <w:rsid w:val="003009C4"/>
    <w:rsid w:val="00300ACF"/>
    <w:rsid w:val="00300BFA"/>
    <w:rsid w:val="00300DFB"/>
    <w:rsid w:val="003010E3"/>
    <w:rsid w:val="003011AF"/>
    <w:rsid w:val="00301415"/>
    <w:rsid w:val="003014C2"/>
    <w:rsid w:val="003017E1"/>
    <w:rsid w:val="00301A38"/>
    <w:rsid w:val="00301A82"/>
    <w:rsid w:val="00301F65"/>
    <w:rsid w:val="003020D4"/>
    <w:rsid w:val="00302113"/>
    <w:rsid w:val="00302132"/>
    <w:rsid w:val="0030223F"/>
    <w:rsid w:val="00302419"/>
    <w:rsid w:val="00302561"/>
    <w:rsid w:val="00302562"/>
    <w:rsid w:val="00302E8E"/>
    <w:rsid w:val="00302F6F"/>
    <w:rsid w:val="0030366C"/>
    <w:rsid w:val="00303774"/>
    <w:rsid w:val="00303974"/>
    <w:rsid w:val="00303B1A"/>
    <w:rsid w:val="00303B84"/>
    <w:rsid w:val="00303C8E"/>
    <w:rsid w:val="00303F63"/>
    <w:rsid w:val="003045E4"/>
    <w:rsid w:val="00304777"/>
    <w:rsid w:val="003047BE"/>
    <w:rsid w:val="003047C3"/>
    <w:rsid w:val="00304A04"/>
    <w:rsid w:val="00304CE6"/>
    <w:rsid w:val="00304D98"/>
    <w:rsid w:val="00304F23"/>
    <w:rsid w:val="003051A6"/>
    <w:rsid w:val="0030534C"/>
    <w:rsid w:val="003053D5"/>
    <w:rsid w:val="003054B0"/>
    <w:rsid w:val="0030580E"/>
    <w:rsid w:val="00305E11"/>
    <w:rsid w:val="00306381"/>
    <w:rsid w:val="00306388"/>
    <w:rsid w:val="00306475"/>
    <w:rsid w:val="00306786"/>
    <w:rsid w:val="00306A13"/>
    <w:rsid w:val="00306ACF"/>
    <w:rsid w:val="00306C00"/>
    <w:rsid w:val="00306C07"/>
    <w:rsid w:val="003070A1"/>
    <w:rsid w:val="003071BD"/>
    <w:rsid w:val="00307261"/>
    <w:rsid w:val="003072CE"/>
    <w:rsid w:val="003073E2"/>
    <w:rsid w:val="003076BD"/>
    <w:rsid w:val="00307737"/>
    <w:rsid w:val="0030796B"/>
    <w:rsid w:val="00307B9E"/>
    <w:rsid w:val="00307BF9"/>
    <w:rsid w:val="00307D64"/>
    <w:rsid w:val="00307ED7"/>
    <w:rsid w:val="0030881C"/>
    <w:rsid w:val="00310323"/>
    <w:rsid w:val="00310B67"/>
    <w:rsid w:val="00310D0C"/>
    <w:rsid w:val="00310E47"/>
    <w:rsid w:val="0031146F"/>
    <w:rsid w:val="003117E3"/>
    <w:rsid w:val="003117F8"/>
    <w:rsid w:val="003118E2"/>
    <w:rsid w:val="00311C49"/>
    <w:rsid w:val="00311CC9"/>
    <w:rsid w:val="00311E36"/>
    <w:rsid w:val="00311F6A"/>
    <w:rsid w:val="003120CB"/>
    <w:rsid w:val="00312296"/>
    <w:rsid w:val="003124AF"/>
    <w:rsid w:val="0031293E"/>
    <w:rsid w:val="00312A07"/>
    <w:rsid w:val="00312A3C"/>
    <w:rsid w:val="00312C9C"/>
    <w:rsid w:val="00312D1F"/>
    <w:rsid w:val="00313032"/>
    <w:rsid w:val="00313056"/>
    <w:rsid w:val="00313057"/>
    <w:rsid w:val="00313157"/>
    <w:rsid w:val="0031326A"/>
    <w:rsid w:val="00313385"/>
    <w:rsid w:val="003137E3"/>
    <w:rsid w:val="00313A3F"/>
    <w:rsid w:val="00313B23"/>
    <w:rsid w:val="00313CF4"/>
    <w:rsid w:val="00314064"/>
    <w:rsid w:val="003142F3"/>
    <w:rsid w:val="003144DF"/>
    <w:rsid w:val="003148A1"/>
    <w:rsid w:val="0031494D"/>
    <w:rsid w:val="00314B12"/>
    <w:rsid w:val="00314B82"/>
    <w:rsid w:val="00314CF7"/>
    <w:rsid w:val="00314D1C"/>
    <w:rsid w:val="00314D91"/>
    <w:rsid w:val="00314DCF"/>
    <w:rsid w:val="00314ED8"/>
    <w:rsid w:val="0031509D"/>
    <w:rsid w:val="00315252"/>
    <w:rsid w:val="00315262"/>
    <w:rsid w:val="003154F3"/>
    <w:rsid w:val="00315660"/>
    <w:rsid w:val="003158EF"/>
    <w:rsid w:val="00315B1B"/>
    <w:rsid w:val="00315FD9"/>
    <w:rsid w:val="0031611E"/>
    <w:rsid w:val="0031615A"/>
    <w:rsid w:val="0031639F"/>
    <w:rsid w:val="003166C9"/>
    <w:rsid w:val="0031673D"/>
    <w:rsid w:val="00316954"/>
    <w:rsid w:val="00316BC5"/>
    <w:rsid w:val="00316BD6"/>
    <w:rsid w:val="00316DBD"/>
    <w:rsid w:val="00316E21"/>
    <w:rsid w:val="003171F5"/>
    <w:rsid w:val="00317586"/>
    <w:rsid w:val="003176F8"/>
    <w:rsid w:val="003178CF"/>
    <w:rsid w:val="00317E2C"/>
    <w:rsid w:val="003204A2"/>
    <w:rsid w:val="003204D3"/>
    <w:rsid w:val="003208BD"/>
    <w:rsid w:val="003208EC"/>
    <w:rsid w:val="003209EE"/>
    <w:rsid w:val="00320A11"/>
    <w:rsid w:val="00320B57"/>
    <w:rsid w:val="003213BA"/>
    <w:rsid w:val="00321410"/>
    <w:rsid w:val="00321464"/>
    <w:rsid w:val="00321811"/>
    <w:rsid w:val="0032194F"/>
    <w:rsid w:val="003219A6"/>
    <w:rsid w:val="00321A95"/>
    <w:rsid w:val="00321B20"/>
    <w:rsid w:val="00321B7E"/>
    <w:rsid w:val="00321BA5"/>
    <w:rsid w:val="00321C8A"/>
    <w:rsid w:val="00321DE4"/>
    <w:rsid w:val="00321F76"/>
    <w:rsid w:val="0032206C"/>
    <w:rsid w:val="003220D2"/>
    <w:rsid w:val="003220FB"/>
    <w:rsid w:val="003221B2"/>
    <w:rsid w:val="00322239"/>
    <w:rsid w:val="003225D0"/>
    <w:rsid w:val="00322675"/>
    <w:rsid w:val="0032284F"/>
    <w:rsid w:val="00322C80"/>
    <w:rsid w:val="00322E00"/>
    <w:rsid w:val="00322E1A"/>
    <w:rsid w:val="00322F5B"/>
    <w:rsid w:val="003231AB"/>
    <w:rsid w:val="0032345C"/>
    <w:rsid w:val="003235F9"/>
    <w:rsid w:val="00323654"/>
    <w:rsid w:val="0032374C"/>
    <w:rsid w:val="003239DB"/>
    <w:rsid w:val="00323D25"/>
    <w:rsid w:val="003240A3"/>
    <w:rsid w:val="00324296"/>
    <w:rsid w:val="0032432E"/>
    <w:rsid w:val="00324497"/>
    <w:rsid w:val="003244C8"/>
    <w:rsid w:val="003247EA"/>
    <w:rsid w:val="003249EC"/>
    <w:rsid w:val="00324BA0"/>
    <w:rsid w:val="00324C4E"/>
    <w:rsid w:val="0032510D"/>
    <w:rsid w:val="0032523E"/>
    <w:rsid w:val="00325285"/>
    <w:rsid w:val="00325867"/>
    <w:rsid w:val="003258C3"/>
    <w:rsid w:val="003259AA"/>
    <w:rsid w:val="00325E0B"/>
    <w:rsid w:val="00325EC6"/>
    <w:rsid w:val="00325EDE"/>
    <w:rsid w:val="00325F97"/>
    <w:rsid w:val="00326193"/>
    <w:rsid w:val="00326218"/>
    <w:rsid w:val="00326239"/>
    <w:rsid w:val="0032646E"/>
    <w:rsid w:val="003266AD"/>
    <w:rsid w:val="00326C07"/>
    <w:rsid w:val="00326C2C"/>
    <w:rsid w:val="00326F02"/>
    <w:rsid w:val="00326F9B"/>
    <w:rsid w:val="003270B0"/>
    <w:rsid w:val="003271C0"/>
    <w:rsid w:val="00327C3E"/>
    <w:rsid w:val="00327FD3"/>
    <w:rsid w:val="003302BC"/>
    <w:rsid w:val="003302CC"/>
    <w:rsid w:val="00330706"/>
    <w:rsid w:val="003308AF"/>
    <w:rsid w:val="00330BE8"/>
    <w:rsid w:val="00330C26"/>
    <w:rsid w:val="00330EF8"/>
    <w:rsid w:val="00330F2D"/>
    <w:rsid w:val="00331069"/>
    <w:rsid w:val="00331085"/>
    <w:rsid w:val="00331285"/>
    <w:rsid w:val="003312AE"/>
    <w:rsid w:val="00331461"/>
    <w:rsid w:val="0033180A"/>
    <w:rsid w:val="00331AC3"/>
    <w:rsid w:val="00331B5F"/>
    <w:rsid w:val="00331D99"/>
    <w:rsid w:val="00332034"/>
    <w:rsid w:val="003321D8"/>
    <w:rsid w:val="003323C4"/>
    <w:rsid w:val="00332685"/>
    <w:rsid w:val="003326A7"/>
    <w:rsid w:val="003326CC"/>
    <w:rsid w:val="003327E3"/>
    <w:rsid w:val="00332974"/>
    <w:rsid w:val="00332999"/>
    <w:rsid w:val="00332B64"/>
    <w:rsid w:val="00332B78"/>
    <w:rsid w:val="00332CEE"/>
    <w:rsid w:val="00332D07"/>
    <w:rsid w:val="00332E9F"/>
    <w:rsid w:val="00332EFE"/>
    <w:rsid w:val="00332FE3"/>
    <w:rsid w:val="0033388D"/>
    <w:rsid w:val="00333CD8"/>
    <w:rsid w:val="003342FD"/>
    <w:rsid w:val="00334636"/>
    <w:rsid w:val="0033470F"/>
    <w:rsid w:val="003349FB"/>
    <w:rsid w:val="00334ABE"/>
    <w:rsid w:val="00334C4A"/>
    <w:rsid w:val="003351D8"/>
    <w:rsid w:val="0033521D"/>
    <w:rsid w:val="0033533E"/>
    <w:rsid w:val="0033566D"/>
    <w:rsid w:val="0033575C"/>
    <w:rsid w:val="00335942"/>
    <w:rsid w:val="003359DB"/>
    <w:rsid w:val="003359E4"/>
    <w:rsid w:val="00335CF4"/>
    <w:rsid w:val="00335E17"/>
    <w:rsid w:val="00335F1E"/>
    <w:rsid w:val="00336051"/>
    <w:rsid w:val="003362F3"/>
    <w:rsid w:val="0033663A"/>
    <w:rsid w:val="00336989"/>
    <w:rsid w:val="003369D4"/>
    <w:rsid w:val="003369F5"/>
    <w:rsid w:val="00336B85"/>
    <w:rsid w:val="00336B9D"/>
    <w:rsid w:val="00336BA4"/>
    <w:rsid w:val="00336C61"/>
    <w:rsid w:val="00336EEC"/>
    <w:rsid w:val="00337071"/>
    <w:rsid w:val="003371B5"/>
    <w:rsid w:val="0033749B"/>
    <w:rsid w:val="00337D37"/>
    <w:rsid w:val="00337EA3"/>
    <w:rsid w:val="00337F4A"/>
    <w:rsid w:val="00340852"/>
    <w:rsid w:val="00340AC2"/>
    <w:rsid w:val="00340B08"/>
    <w:rsid w:val="00340C76"/>
    <w:rsid w:val="00340DF5"/>
    <w:rsid w:val="00340E08"/>
    <w:rsid w:val="00341060"/>
    <w:rsid w:val="003411A9"/>
    <w:rsid w:val="0034159C"/>
    <w:rsid w:val="00341705"/>
    <w:rsid w:val="00341805"/>
    <w:rsid w:val="00341955"/>
    <w:rsid w:val="003419D0"/>
    <w:rsid w:val="00341CF3"/>
    <w:rsid w:val="00341E67"/>
    <w:rsid w:val="0034236E"/>
    <w:rsid w:val="00342473"/>
    <w:rsid w:val="003428E6"/>
    <w:rsid w:val="00342930"/>
    <w:rsid w:val="00342979"/>
    <w:rsid w:val="00342A89"/>
    <w:rsid w:val="00342BE9"/>
    <w:rsid w:val="00342ED6"/>
    <w:rsid w:val="00342F72"/>
    <w:rsid w:val="00343052"/>
    <w:rsid w:val="00343224"/>
    <w:rsid w:val="00343262"/>
    <w:rsid w:val="00343420"/>
    <w:rsid w:val="0034376D"/>
    <w:rsid w:val="0034382F"/>
    <w:rsid w:val="00343AA9"/>
    <w:rsid w:val="00343AC3"/>
    <w:rsid w:val="00343B45"/>
    <w:rsid w:val="00343C74"/>
    <w:rsid w:val="00343DF7"/>
    <w:rsid w:val="00343EDF"/>
    <w:rsid w:val="0034449C"/>
    <w:rsid w:val="00344541"/>
    <w:rsid w:val="00344844"/>
    <w:rsid w:val="00344A20"/>
    <w:rsid w:val="00344E8D"/>
    <w:rsid w:val="00345015"/>
    <w:rsid w:val="003450D6"/>
    <w:rsid w:val="003452AB"/>
    <w:rsid w:val="00345379"/>
    <w:rsid w:val="003455F7"/>
    <w:rsid w:val="00345619"/>
    <w:rsid w:val="0034562E"/>
    <w:rsid w:val="00345644"/>
    <w:rsid w:val="0034569E"/>
    <w:rsid w:val="00345810"/>
    <w:rsid w:val="00345FE7"/>
    <w:rsid w:val="003460B7"/>
    <w:rsid w:val="00346264"/>
    <w:rsid w:val="0034653C"/>
    <w:rsid w:val="00346988"/>
    <w:rsid w:val="00346A3C"/>
    <w:rsid w:val="00346B81"/>
    <w:rsid w:val="00346E9F"/>
    <w:rsid w:val="00346EDD"/>
    <w:rsid w:val="0034724F"/>
    <w:rsid w:val="00347444"/>
    <w:rsid w:val="003475F4"/>
    <w:rsid w:val="00347798"/>
    <w:rsid w:val="003478D1"/>
    <w:rsid w:val="00347E4C"/>
    <w:rsid w:val="00350046"/>
    <w:rsid w:val="0035005A"/>
    <w:rsid w:val="00350905"/>
    <w:rsid w:val="00350C56"/>
    <w:rsid w:val="00350D76"/>
    <w:rsid w:val="00350E5F"/>
    <w:rsid w:val="00350F67"/>
    <w:rsid w:val="003512E2"/>
    <w:rsid w:val="0035165E"/>
    <w:rsid w:val="00351769"/>
    <w:rsid w:val="0035199C"/>
    <w:rsid w:val="00351A09"/>
    <w:rsid w:val="00351BF5"/>
    <w:rsid w:val="00351DB7"/>
    <w:rsid w:val="00351DEC"/>
    <w:rsid w:val="0035206C"/>
    <w:rsid w:val="003520E0"/>
    <w:rsid w:val="00352274"/>
    <w:rsid w:val="00352362"/>
    <w:rsid w:val="00352C0C"/>
    <w:rsid w:val="00352DBD"/>
    <w:rsid w:val="00353291"/>
    <w:rsid w:val="0035330C"/>
    <w:rsid w:val="0035345D"/>
    <w:rsid w:val="003535C4"/>
    <w:rsid w:val="00353890"/>
    <w:rsid w:val="003540F2"/>
    <w:rsid w:val="00354166"/>
    <w:rsid w:val="00354410"/>
    <w:rsid w:val="0035449D"/>
    <w:rsid w:val="00354529"/>
    <w:rsid w:val="0035453F"/>
    <w:rsid w:val="003548CF"/>
    <w:rsid w:val="00355295"/>
    <w:rsid w:val="0035548B"/>
    <w:rsid w:val="00355760"/>
    <w:rsid w:val="00355883"/>
    <w:rsid w:val="003559E8"/>
    <w:rsid w:val="00355C86"/>
    <w:rsid w:val="00355CD5"/>
    <w:rsid w:val="00355F3C"/>
    <w:rsid w:val="003564AF"/>
    <w:rsid w:val="0035666F"/>
    <w:rsid w:val="00356EDC"/>
    <w:rsid w:val="0035711E"/>
    <w:rsid w:val="00357166"/>
    <w:rsid w:val="0035732F"/>
    <w:rsid w:val="003573F0"/>
    <w:rsid w:val="003576FC"/>
    <w:rsid w:val="00357712"/>
    <w:rsid w:val="0035799B"/>
    <w:rsid w:val="00357BA7"/>
    <w:rsid w:val="00357EC6"/>
    <w:rsid w:val="00357F76"/>
    <w:rsid w:val="00360009"/>
    <w:rsid w:val="003600E5"/>
    <w:rsid w:val="003601AC"/>
    <w:rsid w:val="003601EC"/>
    <w:rsid w:val="0036043A"/>
    <w:rsid w:val="0036047C"/>
    <w:rsid w:val="0036052C"/>
    <w:rsid w:val="0036065A"/>
    <w:rsid w:val="00360CB4"/>
    <w:rsid w:val="00361046"/>
    <w:rsid w:val="0036139D"/>
    <w:rsid w:val="0036148E"/>
    <w:rsid w:val="00361613"/>
    <w:rsid w:val="003616E2"/>
    <w:rsid w:val="0036180F"/>
    <w:rsid w:val="003618C1"/>
    <w:rsid w:val="00361A00"/>
    <w:rsid w:val="00361C2C"/>
    <w:rsid w:val="00361CA9"/>
    <w:rsid w:val="00361E6A"/>
    <w:rsid w:val="003626F0"/>
    <w:rsid w:val="00362779"/>
    <w:rsid w:val="00362822"/>
    <w:rsid w:val="00362841"/>
    <w:rsid w:val="00362943"/>
    <w:rsid w:val="003629AE"/>
    <w:rsid w:val="00362ABF"/>
    <w:rsid w:val="00362B37"/>
    <w:rsid w:val="00362E6B"/>
    <w:rsid w:val="00362F56"/>
    <w:rsid w:val="003630D2"/>
    <w:rsid w:val="0036315B"/>
    <w:rsid w:val="003631FF"/>
    <w:rsid w:val="00363391"/>
    <w:rsid w:val="003634D4"/>
    <w:rsid w:val="003636FD"/>
    <w:rsid w:val="00363A4E"/>
    <w:rsid w:val="00363A9D"/>
    <w:rsid w:val="00363ADA"/>
    <w:rsid w:val="00363B07"/>
    <w:rsid w:val="00363D30"/>
    <w:rsid w:val="00363F7B"/>
    <w:rsid w:val="00363F98"/>
    <w:rsid w:val="00364048"/>
    <w:rsid w:val="00364122"/>
    <w:rsid w:val="003644EE"/>
    <w:rsid w:val="003645C5"/>
    <w:rsid w:val="00364966"/>
    <w:rsid w:val="00364B59"/>
    <w:rsid w:val="00364BA7"/>
    <w:rsid w:val="00364D4F"/>
    <w:rsid w:val="00364F55"/>
    <w:rsid w:val="0036541E"/>
    <w:rsid w:val="00365456"/>
    <w:rsid w:val="0036556D"/>
    <w:rsid w:val="003657DA"/>
    <w:rsid w:val="003659DC"/>
    <w:rsid w:val="00365CAA"/>
    <w:rsid w:val="00365D9C"/>
    <w:rsid w:val="003660BF"/>
    <w:rsid w:val="00366371"/>
    <w:rsid w:val="003663D9"/>
    <w:rsid w:val="003663DE"/>
    <w:rsid w:val="0036654A"/>
    <w:rsid w:val="00366652"/>
    <w:rsid w:val="003666D4"/>
    <w:rsid w:val="0036692F"/>
    <w:rsid w:val="00366B30"/>
    <w:rsid w:val="00366CF9"/>
    <w:rsid w:val="00366D39"/>
    <w:rsid w:val="0036708E"/>
    <w:rsid w:val="003671D1"/>
    <w:rsid w:val="003671E9"/>
    <w:rsid w:val="0036743B"/>
    <w:rsid w:val="0036744F"/>
    <w:rsid w:val="00367550"/>
    <w:rsid w:val="003675EA"/>
    <w:rsid w:val="00367E32"/>
    <w:rsid w:val="00367FD0"/>
    <w:rsid w:val="003700F0"/>
    <w:rsid w:val="00370342"/>
    <w:rsid w:val="0037036D"/>
    <w:rsid w:val="0037087D"/>
    <w:rsid w:val="00370A66"/>
    <w:rsid w:val="00370B8B"/>
    <w:rsid w:val="00370BFC"/>
    <w:rsid w:val="00370C51"/>
    <w:rsid w:val="00370D38"/>
    <w:rsid w:val="003713C4"/>
    <w:rsid w:val="00371531"/>
    <w:rsid w:val="003715B4"/>
    <w:rsid w:val="003716FC"/>
    <w:rsid w:val="003717A5"/>
    <w:rsid w:val="00371841"/>
    <w:rsid w:val="00371BBD"/>
    <w:rsid w:val="00371FC1"/>
    <w:rsid w:val="003720AA"/>
    <w:rsid w:val="00372190"/>
    <w:rsid w:val="003723CC"/>
    <w:rsid w:val="0037261A"/>
    <w:rsid w:val="0037276D"/>
    <w:rsid w:val="00372A3E"/>
    <w:rsid w:val="00372CB4"/>
    <w:rsid w:val="00372DE1"/>
    <w:rsid w:val="00372E5C"/>
    <w:rsid w:val="00372FB6"/>
    <w:rsid w:val="003731E6"/>
    <w:rsid w:val="00373715"/>
    <w:rsid w:val="003737E9"/>
    <w:rsid w:val="00373A7B"/>
    <w:rsid w:val="00373B5A"/>
    <w:rsid w:val="00373BF3"/>
    <w:rsid w:val="00373C78"/>
    <w:rsid w:val="00373E0B"/>
    <w:rsid w:val="0037445C"/>
    <w:rsid w:val="003749DA"/>
    <w:rsid w:val="00374C56"/>
    <w:rsid w:val="00374CE3"/>
    <w:rsid w:val="00374E5F"/>
    <w:rsid w:val="003752C6"/>
    <w:rsid w:val="003756C9"/>
    <w:rsid w:val="00375AC2"/>
    <w:rsid w:val="00375C12"/>
    <w:rsid w:val="00375DB7"/>
    <w:rsid w:val="00375E81"/>
    <w:rsid w:val="00375ECF"/>
    <w:rsid w:val="00376682"/>
    <w:rsid w:val="00376798"/>
    <w:rsid w:val="00376AA6"/>
    <w:rsid w:val="00376C5D"/>
    <w:rsid w:val="00376CCD"/>
    <w:rsid w:val="00376D75"/>
    <w:rsid w:val="00376D99"/>
    <w:rsid w:val="00376F3C"/>
    <w:rsid w:val="00377069"/>
    <w:rsid w:val="00377179"/>
    <w:rsid w:val="003771DB"/>
    <w:rsid w:val="003776FE"/>
    <w:rsid w:val="00377A01"/>
    <w:rsid w:val="00377AAB"/>
    <w:rsid w:val="00377C94"/>
    <w:rsid w:val="00377DEE"/>
    <w:rsid w:val="003800BE"/>
    <w:rsid w:val="00380563"/>
    <w:rsid w:val="003806DC"/>
    <w:rsid w:val="00380830"/>
    <w:rsid w:val="003809D8"/>
    <w:rsid w:val="00380B91"/>
    <w:rsid w:val="00380EF2"/>
    <w:rsid w:val="00380F24"/>
    <w:rsid w:val="0038183B"/>
    <w:rsid w:val="00381B8B"/>
    <w:rsid w:val="00381BFB"/>
    <w:rsid w:val="00381DD1"/>
    <w:rsid w:val="00381F85"/>
    <w:rsid w:val="00381F8B"/>
    <w:rsid w:val="003824F0"/>
    <w:rsid w:val="00382867"/>
    <w:rsid w:val="003829C6"/>
    <w:rsid w:val="00382CA6"/>
    <w:rsid w:val="00382E5C"/>
    <w:rsid w:val="0038315B"/>
    <w:rsid w:val="003831C2"/>
    <w:rsid w:val="003832AB"/>
    <w:rsid w:val="003834EA"/>
    <w:rsid w:val="0038368A"/>
    <w:rsid w:val="003837FC"/>
    <w:rsid w:val="003839A0"/>
    <w:rsid w:val="00383ABB"/>
    <w:rsid w:val="00383ACF"/>
    <w:rsid w:val="00383F3C"/>
    <w:rsid w:val="003843B7"/>
    <w:rsid w:val="00384479"/>
    <w:rsid w:val="003844F3"/>
    <w:rsid w:val="0038456B"/>
    <w:rsid w:val="00384831"/>
    <w:rsid w:val="0038489D"/>
    <w:rsid w:val="00384BD6"/>
    <w:rsid w:val="00384E9A"/>
    <w:rsid w:val="003851BB"/>
    <w:rsid w:val="00385357"/>
    <w:rsid w:val="00385AC4"/>
    <w:rsid w:val="00385D26"/>
    <w:rsid w:val="00385EE6"/>
    <w:rsid w:val="003860E1"/>
    <w:rsid w:val="00386174"/>
    <w:rsid w:val="003861EA"/>
    <w:rsid w:val="0038638D"/>
    <w:rsid w:val="00386908"/>
    <w:rsid w:val="00386BFD"/>
    <w:rsid w:val="00386C3D"/>
    <w:rsid w:val="0038746F"/>
    <w:rsid w:val="00387601"/>
    <w:rsid w:val="00387640"/>
    <w:rsid w:val="0038783C"/>
    <w:rsid w:val="00387853"/>
    <w:rsid w:val="003878AC"/>
    <w:rsid w:val="00387EB1"/>
    <w:rsid w:val="00387ECD"/>
    <w:rsid w:val="00387EF7"/>
    <w:rsid w:val="00387F75"/>
    <w:rsid w:val="0039034C"/>
    <w:rsid w:val="0039080B"/>
    <w:rsid w:val="003909B8"/>
    <w:rsid w:val="00390B2E"/>
    <w:rsid w:val="00390CA2"/>
    <w:rsid w:val="00390D94"/>
    <w:rsid w:val="00390DA4"/>
    <w:rsid w:val="003911CD"/>
    <w:rsid w:val="00391604"/>
    <w:rsid w:val="00391714"/>
    <w:rsid w:val="00391840"/>
    <w:rsid w:val="0039195F"/>
    <w:rsid w:val="00391C55"/>
    <w:rsid w:val="00391C8A"/>
    <w:rsid w:val="00391EEB"/>
    <w:rsid w:val="00392141"/>
    <w:rsid w:val="0039214B"/>
    <w:rsid w:val="00392350"/>
    <w:rsid w:val="0039239E"/>
    <w:rsid w:val="003925E2"/>
    <w:rsid w:val="0039265F"/>
    <w:rsid w:val="0039285B"/>
    <w:rsid w:val="003928F5"/>
    <w:rsid w:val="00392AC1"/>
    <w:rsid w:val="00392DD5"/>
    <w:rsid w:val="00392DE7"/>
    <w:rsid w:val="00393271"/>
    <w:rsid w:val="003934C7"/>
    <w:rsid w:val="003934EF"/>
    <w:rsid w:val="0039358E"/>
    <w:rsid w:val="0039366D"/>
    <w:rsid w:val="003938AA"/>
    <w:rsid w:val="00393981"/>
    <w:rsid w:val="00394214"/>
    <w:rsid w:val="00394224"/>
    <w:rsid w:val="0039438C"/>
    <w:rsid w:val="003947E3"/>
    <w:rsid w:val="00394803"/>
    <w:rsid w:val="0039480D"/>
    <w:rsid w:val="003949D5"/>
    <w:rsid w:val="00394B20"/>
    <w:rsid w:val="00394C69"/>
    <w:rsid w:val="00394FBE"/>
    <w:rsid w:val="003950FA"/>
    <w:rsid w:val="00395210"/>
    <w:rsid w:val="0039550C"/>
    <w:rsid w:val="003955A1"/>
    <w:rsid w:val="003956E1"/>
    <w:rsid w:val="0039591B"/>
    <w:rsid w:val="00395A84"/>
    <w:rsid w:val="00395AAA"/>
    <w:rsid w:val="0039605A"/>
    <w:rsid w:val="00396298"/>
    <w:rsid w:val="0039631A"/>
    <w:rsid w:val="003963D2"/>
    <w:rsid w:val="003963FE"/>
    <w:rsid w:val="0039646F"/>
    <w:rsid w:val="00396501"/>
    <w:rsid w:val="003965A8"/>
    <w:rsid w:val="003965B8"/>
    <w:rsid w:val="003967FB"/>
    <w:rsid w:val="00396883"/>
    <w:rsid w:val="0039688C"/>
    <w:rsid w:val="00396899"/>
    <w:rsid w:val="00396BFA"/>
    <w:rsid w:val="00396DBE"/>
    <w:rsid w:val="00396ECB"/>
    <w:rsid w:val="00396F68"/>
    <w:rsid w:val="00397128"/>
    <w:rsid w:val="00397383"/>
    <w:rsid w:val="00397427"/>
    <w:rsid w:val="003974E8"/>
    <w:rsid w:val="0039772E"/>
    <w:rsid w:val="0039778D"/>
    <w:rsid w:val="00397C37"/>
    <w:rsid w:val="00397D4B"/>
    <w:rsid w:val="00397DA4"/>
    <w:rsid w:val="00397E6B"/>
    <w:rsid w:val="00398913"/>
    <w:rsid w:val="003A0027"/>
    <w:rsid w:val="003A010E"/>
    <w:rsid w:val="003A0152"/>
    <w:rsid w:val="003A01F9"/>
    <w:rsid w:val="003A01FC"/>
    <w:rsid w:val="003A0323"/>
    <w:rsid w:val="003A06DF"/>
    <w:rsid w:val="003A0B59"/>
    <w:rsid w:val="003A0D87"/>
    <w:rsid w:val="003A0EB6"/>
    <w:rsid w:val="003A10CD"/>
    <w:rsid w:val="003A1124"/>
    <w:rsid w:val="003A1157"/>
    <w:rsid w:val="003A11D1"/>
    <w:rsid w:val="003A1487"/>
    <w:rsid w:val="003A1634"/>
    <w:rsid w:val="003A195C"/>
    <w:rsid w:val="003A1CAE"/>
    <w:rsid w:val="003A1EFB"/>
    <w:rsid w:val="003A1F25"/>
    <w:rsid w:val="003A22C7"/>
    <w:rsid w:val="003A242E"/>
    <w:rsid w:val="003A276A"/>
    <w:rsid w:val="003A2829"/>
    <w:rsid w:val="003A2A7E"/>
    <w:rsid w:val="003A2C4A"/>
    <w:rsid w:val="003A2CE6"/>
    <w:rsid w:val="003A2F5D"/>
    <w:rsid w:val="003A3013"/>
    <w:rsid w:val="003A3110"/>
    <w:rsid w:val="003A3407"/>
    <w:rsid w:val="003A34CF"/>
    <w:rsid w:val="003A3811"/>
    <w:rsid w:val="003A3818"/>
    <w:rsid w:val="003A3A57"/>
    <w:rsid w:val="003A3ABB"/>
    <w:rsid w:val="003A3C50"/>
    <w:rsid w:val="003A3D3D"/>
    <w:rsid w:val="003A3D5D"/>
    <w:rsid w:val="003A4034"/>
    <w:rsid w:val="003A41FA"/>
    <w:rsid w:val="003A4303"/>
    <w:rsid w:val="003A4486"/>
    <w:rsid w:val="003A4853"/>
    <w:rsid w:val="003A4960"/>
    <w:rsid w:val="003A4979"/>
    <w:rsid w:val="003A4B7D"/>
    <w:rsid w:val="003A4C06"/>
    <w:rsid w:val="003A4CD5"/>
    <w:rsid w:val="003A4D0F"/>
    <w:rsid w:val="003A4D56"/>
    <w:rsid w:val="003A4DFD"/>
    <w:rsid w:val="003A4EEF"/>
    <w:rsid w:val="003A503E"/>
    <w:rsid w:val="003A5280"/>
    <w:rsid w:val="003A5633"/>
    <w:rsid w:val="003A5645"/>
    <w:rsid w:val="003A5A2A"/>
    <w:rsid w:val="003A5E41"/>
    <w:rsid w:val="003A60F4"/>
    <w:rsid w:val="003A6177"/>
    <w:rsid w:val="003A6284"/>
    <w:rsid w:val="003A62F8"/>
    <w:rsid w:val="003A62FE"/>
    <w:rsid w:val="003A6326"/>
    <w:rsid w:val="003A6593"/>
    <w:rsid w:val="003A6741"/>
    <w:rsid w:val="003A67E5"/>
    <w:rsid w:val="003A6D68"/>
    <w:rsid w:val="003A6E6D"/>
    <w:rsid w:val="003A7066"/>
    <w:rsid w:val="003A71E4"/>
    <w:rsid w:val="003A7336"/>
    <w:rsid w:val="003A74A4"/>
    <w:rsid w:val="003A7B64"/>
    <w:rsid w:val="003A7F1A"/>
    <w:rsid w:val="003B0478"/>
    <w:rsid w:val="003B04EE"/>
    <w:rsid w:val="003B078F"/>
    <w:rsid w:val="003B08D1"/>
    <w:rsid w:val="003B10E0"/>
    <w:rsid w:val="003B10E9"/>
    <w:rsid w:val="003B11BD"/>
    <w:rsid w:val="003B13A7"/>
    <w:rsid w:val="003B145A"/>
    <w:rsid w:val="003B1528"/>
    <w:rsid w:val="003B1A23"/>
    <w:rsid w:val="003B1FBD"/>
    <w:rsid w:val="003B1FBF"/>
    <w:rsid w:val="003B206C"/>
    <w:rsid w:val="003B2223"/>
    <w:rsid w:val="003B2844"/>
    <w:rsid w:val="003B2B6D"/>
    <w:rsid w:val="003B2BC5"/>
    <w:rsid w:val="003B2CBD"/>
    <w:rsid w:val="003B2E43"/>
    <w:rsid w:val="003B2FEB"/>
    <w:rsid w:val="003B3029"/>
    <w:rsid w:val="003B3211"/>
    <w:rsid w:val="003B3847"/>
    <w:rsid w:val="003B3CB2"/>
    <w:rsid w:val="003B3D84"/>
    <w:rsid w:val="003B3F99"/>
    <w:rsid w:val="003B401B"/>
    <w:rsid w:val="003B464F"/>
    <w:rsid w:val="003B46AF"/>
    <w:rsid w:val="003B4727"/>
    <w:rsid w:val="003B490D"/>
    <w:rsid w:val="003B49B9"/>
    <w:rsid w:val="003B49DC"/>
    <w:rsid w:val="003B4A08"/>
    <w:rsid w:val="003B4A86"/>
    <w:rsid w:val="003B4C01"/>
    <w:rsid w:val="003B4C14"/>
    <w:rsid w:val="003B4CCF"/>
    <w:rsid w:val="003B4F7C"/>
    <w:rsid w:val="003B5107"/>
    <w:rsid w:val="003B5244"/>
    <w:rsid w:val="003B5311"/>
    <w:rsid w:val="003B54C6"/>
    <w:rsid w:val="003B5614"/>
    <w:rsid w:val="003B580E"/>
    <w:rsid w:val="003B5C39"/>
    <w:rsid w:val="003B5D52"/>
    <w:rsid w:val="003B5DCA"/>
    <w:rsid w:val="003B6264"/>
    <w:rsid w:val="003B6350"/>
    <w:rsid w:val="003B6433"/>
    <w:rsid w:val="003B6908"/>
    <w:rsid w:val="003B6B78"/>
    <w:rsid w:val="003B6C26"/>
    <w:rsid w:val="003B6E26"/>
    <w:rsid w:val="003B6ED3"/>
    <w:rsid w:val="003B74BE"/>
    <w:rsid w:val="003B75F5"/>
    <w:rsid w:val="003B7670"/>
    <w:rsid w:val="003B7A0D"/>
    <w:rsid w:val="003B7CE5"/>
    <w:rsid w:val="003B7DFF"/>
    <w:rsid w:val="003C01CB"/>
    <w:rsid w:val="003C05C1"/>
    <w:rsid w:val="003C063C"/>
    <w:rsid w:val="003C0673"/>
    <w:rsid w:val="003C06FC"/>
    <w:rsid w:val="003C0732"/>
    <w:rsid w:val="003C0733"/>
    <w:rsid w:val="003C0781"/>
    <w:rsid w:val="003C0B23"/>
    <w:rsid w:val="003C0B57"/>
    <w:rsid w:val="003C0D1F"/>
    <w:rsid w:val="003C0E09"/>
    <w:rsid w:val="003C14D2"/>
    <w:rsid w:val="003C1501"/>
    <w:rsid w:val="003C16A1"/>
    <w:rsid w:val="003C16A6"/>
    <w:rsid w:val="003C1831"/>
    <w:rsid w:val="003C1A64"/>
    <w:rsid w:val="003C1BC4"/>
    <w:rsid w:val="003C1C79"/>
    <w:rsid w:val="003C1E84"/>
    <w:rsid w:val="003C205F"/>
    <w:rsid w:val="003C28C6"/>
    <w:rsid w:val="003C2A07"/>
    <w:rsid w:val="003C2A44"/>
    <w:rsid w:val="003C2C76"/>
    <w:rsid w:val="003C2CC2"/>
    <w:rsid w:val="003C2FDB"/>
    <w:rsid w:val="003C304B"/>
    <w:rsid w:val="003C39C7"/>
    <w:rsid w:val="003C3B58"/>
    <w:rsid w:val="003C3BFE"/>
    <w:rsid w:val="003C3DBE"/>
    <w:rsid w:val="003C3EC9"/>
    <w:rsid w:val="003C4250"/>
    <w:rsid w:val="003C4402"/>
    <w:rsid w:val="003C457A"/>
    <w:rsid w:val="003C45F6"/>
    <w:rsid w:val="003C47A6"/>
    <w:rsid w:val="003C496E"/>
    <w:rsid w:val="003C4ADE"/>
    <w:rsid w:val="003C4CAE"/>
    <w:rsid w:val="003C5262"/>
    <w:rsid w:val="003C5B16"/>
    <w:rsid w:val="003C5C19"/>
    <w:rsid w:val="003C5CA0"/>
    <w:rsid w:val="003C5EEF"/>
    <w:rsid w:val="003C5F3E"/>
    <w:rsid w:val="003C61F3"/>
    <w:rsid w:val="003C635B"/>
    <w:rsid w:val="003C6513"/>
    <w:rsid w:val="003C6538"/>
    <w:rsid w:val="003C6618"/>
    <w:rsid w:val="003C667A"/>
    <w:rsid w:val="003C66DB"/>
    <w:rsid w:val="003C67F4"/>
    <w:rsid w:val="003C6817"/>
    <w:rsid w:val="003C68D2"/>
    <w:rsid w:val="003C69E9"/>
    <w:rsid w:val="003C6BEC"/>
    <w:rsid w:val="003C6D46"/>
    <w:rsid w:val="003C6E14"/>
    <w:rsid w:val="003C6F97"/>
    <w:rsid w:val="003C6FBA"/>
    <w:rsid w:val="003C7261"/>
    <w:rsid w:val="003C7328"/>
    <w:rsid w:val="003C75A7"/>
    <w:rsid w:val="003C7652"/>
    <w:rsid w:val="003C790A"/>
    <w:rsid w:val="003C7BD4"/>
    <w:rsid w:val="003C7FD8"/>
    <w:rsid w:val="003D011B"/>
    <w:rsid w:val="003D0144"/>
    <w:rsid w:val="003D01A7"/>
    <w:rsid w:val="003D0315"/>
    <w:rsid w:val="003D044E"/>
    <w:rsid w:val="003D08B4"/>
    <w:rsid w:val="003D0911"/>
    <w:rsid w:val="003D091C"/>
    <w:rsid w:val="003D0924"/>
    <w:rsid w:val="003D09AD"/>
    <w:rsid w:val="003D0AF1"/>
    <w:rsid w:val="003D1027"/>
    <w:rsid w:val="003D1306"/>
    <w:rsid w:val="003D1400"/>
    <w:rsid w:val="003D15FA"/>
    <w:rsid w:val="003D1615"/>
    <w:rsid w:val="003D182F"/>
    <w:rsid w:val="003D1AF6"/>
    <w:rsid w:val="003D1BE8"/>
    <w:rsid w:val="003D1C89"/>
    <w:rsid w:val="003D1D5F"/>
    <w:rsid w:val="003D1DE3"/>
    <w:rsid w:val="003D21C1"/>
    <w:rsid w:val="003D220E"/>
    <w:rsid w:val="003D2222"/>
    <w:rsid w:val="003D2252"/>
    <w:rsid w:val="003D2470"/>
    <w:rsid w:val="003D25EB"/>
    <w:rsid w:val="003D26C7"/>
    <w:rsid w:val="003D2891"/>
    <w:rsid w:val="003D293C"/>
    <w:rsid w:val="003D2953"/>
    <w:rsid w:val="003D2C01"/>
    <w:rsid w:val="003D2CA2"/>
    <w:rsid w:val="003D3270"/>
    <w:rsid w:val="003D3375"/>
    <w:rsid w:val="003D3387"/>
    <w:rsid w:val="003D37AF"/>
    <w:rsid w:val="003D3813"/>
    <w:rsid w:val="003D3894"/>
    <w:rsid w:val="003D3AA8"/>
    <w:rsid w:val="003D3ABD"/>
    <w:rsid w:val="003D3BDC"/>
    <w:rsid w:val="003D3D1E"/>
    <w:rsid w:val="003D42C0"/>
    <w:rsid w:val="003D4379"/>
    <w:rsid w:val="003D4538"/>
    <w:rsid w:val="003D45C3"/>
    <w:rsid w:val="003D464E"/>
    <w:rsid w:val="003D4DD7"/>
    <w:rsid w:val="003D4DDE"/>
    <w:rsid w:val="003D4E1F"/>
    <w:rsid w:val="003D4EE7"/>
    <w:rsid w:val="003D5322"/>
    <w:rsid w:val="003D5340"/>
    <w:rsid w:val="003D56E0"/>
    <w:rsid w:val="003D5728"/>
    <w:rsid w:val="003D5A36"/>
    <w:rsid w:val="003D5B13"/>
    <w:rsid w:val="003D5B82"/>
    <w:rsid w:val="003D5FAB"/>
    <w:rsid w:val="003D6096"/>
    <w:rsid w:val="003D61CC"/>
    <w:rsid w:val="003D6277"/>
    <w:rsid w:val="003D64FE"/>
    <w:rsid w:val="003D6562"/>
    <w:rsid w:val="003D66CD"/>
    <w:rsid w:val="003D6776"/>
    <w:rsid w:val="003D6802"/>
    <w:rsid w:val="003D6876"/>
    <w:rsid w:val="003D69FF"/>
    <w:rsid w:val="003D6D72"/>
    <w:rsid w:val="003D6FBA"/>
    <w:rsid w:val="003D701A"/>
    <w:rsid w:val="003D73B0"/>
    <w:rsid w:val="003D768E"/>
    <w:rsid w:val="003D7A7F"/>
    <w:rsid w:val="003D7B5F"/>
    <w:rsid w:val="003D7C17"/>
    <w:rsid w:val="003D7CCB"/>
    <w:rsid w:val="003DB3F6"/>
    <w:rsid w:val="003E0045"/>
    <w:rsid w:val="003E00D2"/>
    <w:rsid w:val="003E010F"/>
    <w:rsid w:val="003E0440"/>
    <w:rsid w:val="003E0623"/>
    <w:rsid w:val="003E06BD"/>
    <w:rsid w:val="003E0809"/>
    <w:rsid w:val="003E0B2D"/>
    <w:rsid w:val="003E0B64"/>
    <w:rsid w:val="003E0F91"/>
    <w:rsid w:val="003E0FB9"/>
    <w:rsid w:val="003E10AD"/>
    <w:rsid w:val="003E1690"/>
    <w:rsid w:val="003E17AF"/>
    <w:rsid w:val="003E18E0"/>
    <w:rsid w:val="003E1D82"/>
    <w:rsid w:val="003E1EC8"/>
    <w:rsid w:val="003E1F76"/>
    <w:rsid w:val="003E2137"/>
    <w:rsid w:val="003E2270"/>
    <w:rsid w:val="003E2565"/>
    <w:rsid w:val="003E259F"/>
    <w:rsid w:val="003E25EC"/>
    <w:rsid w:val="003E26EE"/>
    <w:rsid w:val="003E2744"/>
    <w:rsid w:val="003E2ADC"/>
    <w:rsid w:val="003E2FE4"/>
    <w:rsid w:val="003E3225"/>
    <w:rsid w:val="003E325A"/>
    <w:rsid w:val="003E325D"/>
    <w:rsid w:val="003E3504"/>
    <w:rsid w:val="003E3552"/>
    <w:rsid w:val="003E3559"/>
    <w:rsid w:val="003E4199"/>
    <w:rsid w:val="003E42A3"/>
    <w:rsid w:val="003E43D3"/>
    <w:rsid w:val="003E453F"/>
    <w:rsid w:val="003E4613"/>
    <w:rsid w:val="003E49C5"/>
    <w:rsid w:val="003E4C57"/>
    <w:rsid w:val="003E4D43"/>
    <w:rsid w:val="003E4E7F"/>
    <w:rsid w:val="003E56A7"/>
    <w:rsid w:val="003E581B"/>
    <w:rsid w:val="003E592D"/>
    <w:rsid w:val="003E5B76"/>
    <w:rsid w:val="003E5BA8"/>
    <w:rsid w:val="003E5DD4"/>
    <w:rsid w:val="003E5E10"/>
    <w:rsid w:val="003E6026"/>
    <w:rsid w:val="003E615E"/>
    <w:rsid w:val="003E6201"/>
    <w:rsid w:val="003E6479"/>
    <w:rsid w:val="003E64CF"/>
    <w:rsid w:val="003E6BA3"/>
    <w:rsid w:val="003E6C4B"/>
    <w:rsid w:val="003E7467"/>
    <w:rsid w:val="003E7522"/>
    <w:rsid w:val="003E7640"/>
    <w:rsid w:val="003E7723"/>
    <w:rsid w:val="003E7917"/>
    <w:rsid w:val="003E7B9D"/>
    <w:rsid w:val="003E7C30"/>
    <w:rsid w:val="003E7D11"/>
    <w:rsid w:val="003E7EEC"/>
    <w:rsid w:val="003EAA31"/>
    <w:rsid w:val="003F0293"/>
    <w:rsid w:val="003F033E"/>
    <w:rsid w:val="003F0425"/>
    <w:rsid w:val="003F0A06"/>
    <w:rsid w:val="003F0DB4"/>
    <w:rsid w:val="003F0F96"/>
    <w:rsid w:val="003F10E7"/>
    <w:rsid w:val="003F124B"/>
    <w:rsid w:val="003F1415"/>
    <w:rsid w:val="003F1572"/>
    <w:rsid w:val="003F16D5"/>
    <w:rsid w:val="003F1872"/>
    <w:rsid w:val="003F18C7"/>
    <w:rsid w:val="003F1A11"/>
    <w:rsid w:val="003F1A12"/>
    <w:rsid w:val="003F1FB9"/>
    <w:rsid w:val="003F20B9"/>
    <w:rsid w:val="003F221C"/>
    <w:rsid w:val="003F22CD"/>
    <w:rsid w:val="003F2584"/>
    <w:rsid w:val="003F25E0"/>
    <w:rsid w:val="003F2658"/>
    <w:rsid w:val="003F26B8"/>
    <w:rsid w:val="003F2E1F"/>
    <w:rsid w:val="003F2E3C"/>
    <w:rsid w:val="003F2FE4"/>
    <w:rsid w:val="003F318B"/>
    <w:rsid w:val="003F320A"/>
    <w:rsid w:val="003F393F"/>
    <w:rsid w:val="003F39DB"/>
    <w:rsid w:val="003F3B05"/>
    <w:rsid w:val="003F3F1A"/>
    <w:rsid w:val="003F3F7D"/>
    <w:rsid w:val="003F4173"/>
    <w:rsid w:val="003F43C6"/>
    <w:rsid w:val="003F46E7"/>
    <w:rsid w:val="003F4777"/>
    <w:rsid w:val="003F4985"/>
    <w:rsid w:val="003F4BDD"/>
    <w:rsid w:val="003F4DE0"/>
    <w:rsid w:val="003F53E5"/>
    <w:rsid w:val="003F54A8"/>
    <w:rsid w:val="003F553D"/>
    <w:rsid w:val="003F585F"/>
    <w:rsid w:val="003F5949"/>
    <w:rsid w:val="003F598B"/>
    <w:rsid w:val="003F59BD"/>
    <w:rsid w:val="003F5B13"/>
    <w:rsid w:val="003F5CFD"/>
    <w:rsid w:val="003F64D3"/>
    <w:rsid w:val="003F665D"/>
    <w:rsid w:val="003F66F2"/>
    <w:rsid w:val="003F6747"/>
    <w:rsid w:val="003F675B"/>
    <w:rsid w:val="003F6B38"/>
    <w:rsid w:val="003F6D1F"/>
    <w:rsid w:val="003F6D43"/>
    <w:rsid w:val="003F6EE2"/>
    <w:rsid w:val="003F71C2"/>
    <w:rsid w:val="003F728F"/>
    <w:rsid w:val="003F7759"/>
    <w:rsid w:val="003F79B1"/>
    <w:rsid w:val="003F7B18"/>
    <w:rsid w:val="003F7C37"/>
    <w:rsid w:val="003F7E7D"/>
    <w:rsid w:val="003FEEC9"/>
    <w:rsid w:val="004001C3"/>
    <w:rsid w:val="004003BB"/>
    <w:rsid w:val="0040050C"/>
    <w:rsid w:val="00400AC7"/>
    <w:rsid w:val="00400C7A"/>
    <w:rsid w:val="00400CC9"/>
    <w:rsid w:val="00401498"/>
    <w:rsid w:val="004015CD"/>
    <w:rsid w:val="00401A13"/>
    <w:rsid w:val="00401D99"/>
    <w:rsid w:val="00401FC1"/>
    <w:rsid w:val="00401FF5"/>
    <w:rsid w:val="00402162"/>
    <w:rsid w:val="004024EE"/>
    <w:rsid w:val="00402655"/>
    <w:rsid w:val="00402AB5"/>
    <w:rsid w:val="00402BF9"/>
    <w:rsid w:val="00402D53"/>
    <w:rsid w:val="00402EC2"/>
    <w:rsid w:val="00403007"/>
    <w:rsid w:val="004030DA"/>
    <w:rsid w:val="004031D8"/>
    <w:rsid w:val="004033F2"/>
    <w:rsid w:val="00403454"/>
    <w:rsid w:val="0040355A"/>
    <w:rsid w:val="004036CD"/>
    <w:rsid w:val="0040390F"/>
    <w:rsid w:val="00403E1A"/>
    <w:rsid w:val="00403F29"/>
    <w:rsid w:val="00404001"/>
    <w:rsid w:val="004042DA"/>
    <w:rsid w:val="00404301"/>
    <w:rsid w:val="004043BA"/>
    <w:rsid w:val="004045B2"/>
    <w:rsid w:val="004047A6"/>
    <w:rsid w:val="00404B4C"/>
    <w:rsid w:val="00404E24"/>
    <w:rsid w:val="00404F43"/>
    <w:rsid w:val="0040509D"/>
    <w:rsid w:val="00405170"/>
    <w:rsid w:val="0040565F"/>
    <w:rsid w:val="0040585B"/>
    <w:rsid w:val="004058BE"/>
    <w:rsid w:val="00405AD7"/>
    <w:rsid w:val="00405EE5"/>
    <w:rsid w:val="00405FDC"/>
    <w:rsid w:val="004060CF"/>
    <w:rsid w:val="0040621C"/>
    <w:rsid w:val="004062EE"/>
    <w:rsid w:val="00406381"/>
    <w:rsid w:val="004063CD"/>
    <w:rsid w:val="00406438"/>
    <w:rsid w:val="00406570"/>
    <w:rsid w:val="0040657C"/>
    <w:rsid w:val="004066ED"/>
    <w:rsid w:val="0040675B"/>
    <w:rsid w:val="00406FE3"/>
    <w:rsid w:val="00406FFF"/>
    <w:rsid w:val="0040700C"/>
    <w:rsid w:val="0040715D"/>
    <w:rsid w:val="00407414"/>
    <w:rsid w:val="00407594"/>
    <w:rsid w:val="004076C3"/>
    <w:rsid w:val="00407813"/>
    <w:rsid w:val="0040789B"/>
    <w:rsid w:val="004078DB"/>
    <w:rsid w:val="004079DC"/>
    <w:rsid w:val="00407D2A"/>
    <w:rsid w:val="00407ED5"/>
    <w:rsid w:val="00407F1F"/>
    <w:rsid w:val="004100BD"/>
    <w:rsid w:val="00410117"/>
    <w:rsid w:val="004106E1"/>
    <w:rsid w:val="004108E7"/>
    <w:rsid w:val="00410A2A"/>
    <w:rsid w:val="00410A6A"/>
    <w:rsid w:val="00410A75"/>
    <w:rsid w:val="00410CA1"/>
    <w:rsid w:val="00410CD4"/>
    <w:rsid w:val="00410E88"/>
    <w:rsid w:val="00410ED0"/>
    <w:rsid w:val="00410EF6"/>
    <w:rsid w:val="00410F37"/>
    <w:rsid w:val="004110DF"/>
    <w:rsid w:val="004111D2"/>
    <w:rsid w:val="0041125A"/>
    <w:rsid w:val="00411288"/>
    <w:rsid w:val="004112AC"/>
    <w:rsid w:val="004112C1"/>
    <w:rsid w:val="00411611"/>
    <w:rsid w:val="00411677"/>
    <w:rsid w:val="00411AEF"/>
    <w:rsid w:val="0041249B"/>
    <w:rsid w:val="004125A1"/>
    <w:rsid w:val="00412703"/>
    <w:rsid w:val="004127BB"/>
    <w:rsid w:val="00412A7C"/>
    <w:rsid w:val="00412A91"/>
    <w:rsid w:val="00412B45"/>
    <w:rsid w:val="00412B82"/>
    <w:rsid w:val="00412BD9"/>
    <w:rsid w:val="00412DC2"/>
    <w:rsid w:val="004131EC"/>
    <w:rsid w:val="004134AA"/>
    <w:rsid w:val="0041350C"/>
    <w:rsid w:val="004138BE"/>
    <w:rsid w:val="00413946"/>
    <w:rsid w:val="00413AE6"/>
    <w:rsid w:val="00413B61"/>
    <w:rsid w:val="00413B9B"/>
    <w:rsid w:val="00413E95"/>
    <w:rsid w:val="00413F8C"/>
    <w:rsid w:val="0041435B"/>
    <w:rsid w:val="004143CA"/>
    <w:rsid w:val="00414668"/>
    <w:rsid w:val="00414ADE"/>
    <w:rsid w:val="00414B35"/>
    <w:rsid w:val="00414B5B"/>
    <w:rsid w:val="00414C7D"/>
    <w:rsid w:val="004150EE"/>
    <w:rsid w:val="00415166"/>
    <w:rsid w:val="00415376"/>
    <w:rsid w:val="004153F1"/>
    <w:rsid w:val="004154DB"/>
    <w:rsid w:val="00415561"/>
    <w:rsid w:val="004155E4"/>
    <w:rsid w:val="00415762"/>
    <w:rsid w:val="0041589E"/>
    <w:rsid w:val="00415965"/>
    <w:rsid w:val="00415A93"/>
    <w:rsid w:val="00415EBC"/>
    <w:rsid w:val="00416023"/>
    <w:rsid w:val="0041602D"/>
    <w:rsid w:val="00416078"/>
    <w:rsid w:val="00416377"/>
    <w:rsid w:val="004163F6"/>
    <w:rsid w:val="00416540"/>
    <w:rsid w:val="004165B0"/>
    <w:rsid w:val="0041673A"/>
    <w:rsid w:val="0041687F"/>
    <w:rsid w:val="00416B95"/>
    <w:rsid w:val="00416BA4"/>
    <w:rsid w:val="00416CB4"/>
    <w:rsid w:val="00416CD4"/>
    <w:rsid w:val="00417387"/>
    <w:rsid w:val="004173BC"/>
    <w:rsid w:val="0041768B"/>
    <w:rsid w:val="00417961"/>
    <w:rsid w:val="00417C56"/>
    <w:rsid w:val="00417D48"/>
    <w:rsid w:val="00417F4F"/>
    <w:rsid w:val="00417FDE"/>
    <w:rsid w:val="004203A1"/>
    <w:rsid w:val="004206C8"/>
    <w:rsid w:val="0042071D"/>
    <w:rsid w:val="00420724"/>
    <w:rsid w:val="004209A6"/>
    <w:rsid w:val="00420AD3"/>
    <w:rsid w:val="00420D84"/>
    <w:rsid w:val="00420DDF"/>
    <w:rsid w:val="0042104F"/>
    <w:rsid w:val="00421255"/>
    <w:rsid w:val="00421341"/>
    <w:rsid w:val="0042136A"/>
    <w:rsid w:val="00421683"/>
    <w:rsid w:val="00421781"/>
    <w:rsid w:val="00421A49"/>
    <w:rsid w:val="00421A76"/>
    <w:rsid w:val="00421D56"/>
    <w:rsid w:val="00421F7E"/>
    <w:rsid w:val="004221C2"/>
    <w:rsid w:val="004221C5"/>
    <w:rsid w:val="0042220E"/>
    <w:rsid w:val="00422259"/>
    <w:rsid w:val="0042257C"/>
    <w:rsid w:val="004225D0"/>
    <w:rsid w:val="004227B6"/>
    <w:rsid w:val="004228D3"/>
    <w:rsid w:val="00422A94"/>
    <w:rsid w:val="00422B02"/>
    <w:rsid w:val="00422B64"/>
    <w:rsid w:val="00422DFC"/>
    <w:rsid w:val="00422E94"/>
    <w:rsid w:val="00423006"/>
    <w:rsid w:val="00423181"/>
    <w:rsid w:val="004233A5"/>
    <w:rsid w:val="00423553"/>
    <w:rsid w:val="0042361C"/>
    <w:rsid w:val="0042364F"/>
    <w:rsid w:val="00423897"/>
    <w:rsid w:val="00423ACB"/>
    <w:rsid w:val="00423B6C"/>
    <w:rsid w:val="0042441D"/>
    <w:rsid w:val="0042486B"/>
    <w:rsid w:val="00424C8B"/>
    <w:rsid w:val="00425129"/>
    <w:rsid w:val="0042558E"/>
    <w:rsid w:val="0042587C"/>
    <w:rsid w:val="0042594C"/>
    <w:rsid w:val="0042596A"/>
    <w:rsid w:val="00425A19"/>
    <w:rsid w:val="00425C3E"/>
    <w:rsid w:val="00425E6F"/>
    <w:rsid w:val="00425F20"/>
    <w:rsid w:val="00425F24"/>
    <w:rsid w:val="004262B1"/>
    <w:rsid w:val="004262BE"/>
    <w:rsid w:val="00426446"/>
    <w:rsid w:val="00426598"/>
    <w:rsid w:val="004267BF"/>
    <w:rsid w:val="00426911"/>
    <w:rsid w:val="00426B23"/>
    <w:rsid w:val="00426DB6"/>
    <w:rsid w:val="00426E2B"/>
    <w:rsid w:val="00426E3C"/>
    <w:rsid w:val="00426F93"/>
    <w:rsid w:val="00427314"/>
    <w:rsid w:val="00427898"/>
    <w:rsid w:val="00427A05"/>
    <w:rsid w:val="00427A71"/>
    <w:rsid w:val="00427B23"/>
    <w:rsid w:val="00427D8E"/>
    <w:rsid w:val="0043053A"/>
    <w:rsid w:val="00430E0E"/>
    <w:rsid w:val="00431037"/>
    <w:rsid w:val="004310F5"/>
    <w:rsid w:val="004311F6"/>
    <w:rsid w:val="00431374"/>
    <w:rsid w:val="0043156B"/>
    <w:rsid w:val="00431CEB"/>
    <w:rsid w:val="00431FD3"/>
    <w:rsid w:val="004321C2"/>
    <w:rsid w:val="004321E5"/>
    <w:rsid w:val="004325F2"/>
    <w:rsid w:val="00432604"/>
    <w:rsid w:val="0043271B"/>
    <w:rsid w:val="0043276C"/>
    <w:rsid w:val="004328B5"/>
    <w:rsid w:val="004329A4"/>
    <w:rsid w:val="00432A42"/>
    <w:rsid w:val="00432B63"/>
    <w:rsid w:val="00432C90"/>
    <w:rsid w:val="00432EF7"/>
    <w:rsid w:val="004330C9"/>
    <w:rsid w:val="00433471"/>
    <w:rsid w:val="0043355F"/>
    <w:rsid w:val="0043365D"/>
    <w:rsid w:val="00433869"/>
    <w:rsid w:val="00433A70"/>
    <w:rsid w:val="00433B17"/>
    <w:rsid w:val="00433D89"/>
    <w:rsid w:val="00433F96"/>
    <w:rsid w:val="00434145"/>
    <w:rsid w:val="0043430A"/>
    <w:rsid w:val="0043434A"/>
    <w:rsid w:val="004344A4"/>
    <w:rsid w:val="004347B2"/>
    <w:rsid w:val="004348FD"/>
    <w:rsid w:val="00434A1B"/>
    <w:rsid w:val="00434CBD"/>
    <w:rsid w:val="00434D27"/>
    <w:rsid w:val="00434E4B"/>
    <w:rsid w:val="004351F5"/>
    <w:rsid w:val="00435269"/>
    <w:rsid w:val="004353A4"/>
    <w:rsid w:val="0043545B"/>
    <w:rsid w:val="0043547A"/>
    <w:rsid w:val="004355F4"/>
    <w:rsid w:val="00435C1A"/>
    <w:rsid w:val="00435CCA"/>
    <w:rsid w:val="0043615C"/>
    <w:rsid w:val="00436324"/>
    <w:rsid w:val="00436336"/>
    <w:rsid w:val="004367E4"/>
    <w:rsid w:val="0043695F"/>
    <w:rsid w:val="00436C11"/>
    <w:rsid w:val="00436D50"/>
    <w:rsid w:val="0043707B"/>
    <w:rsid w:val="0043756E"/>
    <w:rsid w:val="0043770E"/>
    <w:rsid w:val="0043789A"/>
    <w:rsid w:val="004379FE"/>
    <w:rsid w:val="00437C25"/>
    <w:rsid w:val="00437CB5"/>
    <w:rsid w:val="00437DC0"/>
    <w:rsid w:val="00437F3C"/>
    <w:rsid w:val="0043AFBB"/>
    <w:rsid w:val="0043CF99"/>
    <w:rsid w:val="00440120"/>
    <w:rsid w:val="00440551"/>
    <w:rsid w:val="004405F9"/>
    <w:rsid w:val="00440855"/>
    <w:rsid w:val="004408E0"/>
    <w:rsid w:val="00440A93"/>
    <w:rsid w:val="00440B0E"/>
    <w:rsid w:val="00440C42"/>
    <w:rsid w:val="00440D1E"/>
    <w:rsid w:val="00440F7B"/>
    <w:rsid w:val="00441258"/>
    <w:rsid w:val="004412A9"/>
    <w:rsid w:val="004412C0"/>
    <w:rsid w:val="0044153F"/>
    <w:rsid w:val="004416FC"/>
    <w:rsid w:val="004417BC"/>
    <w:rsid w:val="004417C3"/>
    <w:rsid w:val="004418FB"/>
    <w:rsid w:val="00441FE1"/>
    <w:rsid w:val="0044201A"/>
    <w:rsid w:val="004425AD"/>
    <w:rsid w:val="004427D4"/>
    <w:rsid w:val="00442B8E"/>
    <w:rsid w:val="00442EDB"/>
    <w:rsid w:val="00443094"/>
    <w:rsid w:val="004432E7"/>
    <w:rsid w:val="00443468"/>
    <w:rsid w:val="004435BE"/>
    <w:rsid w:val="004436BB"/>
    <w:rsid w:val="004436EF"/>
    <w:rsid w:val="0044379B"/>
    <w:rsid w:val="00443830"/>
    <w:rsid w:val="00443AC6"/>
    <w:rsid w:val="00443AD3"/>
    <w:rsid w:val="00443CD7"/>
    <w:rsid w:val="00443D9B"/>
    <w:rsid w:val="00444231"/>
    <w:rsid w:val="004443BC"/>
    <w:rsid w:val="004445FC"/>
    <w:rsid w:val="0044466C"/>
    <w:rsid w:val="004446E1"/>
    <w:rsid w:val="00444DED"/>
    <w:rsid w:val="00444FE7"/>
    <w:rsid w:val="0044503F"/>
    <w:rsid w:val="0044541C"/>
    <w:rsid w:val="00445AC4"/>
    <w:rsid w:val="00445B6B"/>
    <w:rsid w:val="00445B93"/>
    <w:rsid w:val="00446083"/>
    <w:rsid w:val="00446098"/>
    <w:rsid w:val="00446371"/>
    <w:rsid w:val="00446561"/>
    <w:rsid w:val="0044658B"/>
    <w:rsid w:val="00446CF2"/>
    <w:rsid w:val="00446DD0"/>
    <w:rsid w:val="00446FF1"/>
    <w:rsid w:val="00446FFA"/>
    <w:rsid w:val="0044720E"/>
    <w:rsid w:val="004475BD"/>
    <w:rsid w:val="00447695"/>
    <w:rsid w:val="00447ACB"/>
    <w:rsid w:val="00447BFA"/>
    <w:rsid w:val="00447C89"/>
    <w:rsid w:val="00447E62"/>
    <w:rsid w:val="00447FCA"/>
    <w:rsid w:val="0045003C"/>
    <w:rsid w:val="0045027A"/>
    <w:rsid w:val="0045029B"/>
    <w:rsid w:val="00450850"/>
    <w:rsid w:val="00450883"/>
    <w:rsid w:val="004508B9"/>
    <w:rsid w:val="00450C37"/>
    <w:rsid w:val="00450F5D"/>
    <w:rsid w:val="004512D0"/>
    <w:rsid w:val="004518E3"/>
    <w:rsid w:val="00451A2C"/>
    <w:rsid w:val="00451D5A"/>
    <w:rsid w:val="00451EBB"/>
    <w:rsid w:val="00451ED3"/>
    <w:rsid w:val="00452197"/>
    <w:rsid w:val="00452727"/>
    <w:rsid w:val="0045280C"/>
    <w:rsid w:val="00452909"/>
    <w:rsid w:val="00452ADA"/>
    <w:rsid w:val="00452D08"/>
    <w:rsid w:val="00452E27"/>
    <w:rsid w:val="00452FA3"/>
    <w:rsid w:val="00452FED"/>
    <w:rsid w:val="00452FF8"/>
    <w:rsid w:val="00453086"/>
    <w:rsid w:val="0045322F"/>
    <w:rsid w:val="0045343F"/>
    <w:rsid w:val="00453862"/>
    <w:rsid w:val="00453B04"/>
    <w:rsid w:val="00453D6C"/>
    <w:rsid w:val="00453EC0"/>
    <w:rsid w:val="00453F22"/>
    <w:rsid w:val="004544DC"/>
    <w:rsid w:val="00454568"/>
    <w:rsid w:val="00454731"/>
    <w:rsid w:val="00454875"/>
    <w:rsid w:val="00454B8B"/>
    <w:rsid w:val="00454BFF"/>
    <w:rsid w:val="00454D7A"/>
    <w:rsid w:val="00455177"/>
    <w:rsid w:val="0045519D"/>
    <w:rsid w:val="00455B2C"/>
    <w:rsid w:val="00455DA3"/>
    <w:rsid w:val="00456101"/>
    <w:rsid w:val="004565A5"/>
    <w:rsid w:val="004567EC"/>
    <w:rsid w:val="00456B89"/>
    <w:rsid w:val="00456E74"/>
    <w:rsid w:val="0045718A"/>
    <w:rsid w:val="00457263"/>
    <w:rsid w:val="004574C7"/>
    <w:rsid w:val="00457540"/>
    <w:rsid w:val="00457586"/>
    <w:rsid w:val="004577C2"/>
    <w:rsid w:val="00457C4F"/>
    <w:rsid w:val="00457EB5"/>
    <w:rsid w:val="00460051"/>
    <w:rsid w:val="00460079"/>
    <w:rsid w:val="0046011F"/>
    <w:rsid w:val="004601F3"/>
    <w:rsid w:val="004601FF"/>
    <w:rsid w:val="0046029A"/>
    <w:rsid w:val="004605EC"/>
    <w:rsid w:val="004607B3"/>
    <w:rsid w:val="00460A01"/>
    <w:rsid w:val="00460BC7"/>
    <w:rsid w:val="00460E16"/>
    <w:rsid w:val="004619A1"/>
    <w:rsid w:val="00461A95"/>
    <w:rsid w:val="00461BA0"/>
    <w:rsid w:val="00461CFF"/>
    <w:rsid w:val="00461F77"/>
    <w:rsid w:val="004620CE"/>
    <w:rsid w:val="004620FA"/>
    <w:rsid w:val="00462167"/>
    <w:rsid w:val="004626C7"/>
    <w:rsid w:val="0046280C"/>
    <w:rsid w:val="00462B3A"/>
    <w:rsid w:val="00462B9D"/>
    <w:rsid w:val="0046300F"/>
    <w:rsid w:val="00463034"/>
    <w:rsid w:val="004631FF"/>
    <w:rsid w:val="00463227"/>
    <w:rsid w:val="00463553"/>
    <w:rsid w:val="0046383C"/>
    <w:rsid w:val="00463C73"/>
    <w:rsid w:val="00463F4F"/>
    <w:rsid w:val="00463F5D"/>
    <w:rsid w:val="00464650"/>
    <w:rsid w:val="00464996"/>
    <w:rsid w:val="00464BA4"/>
    <w:rsid w:val="00464C27"/>
    <w:rsid w:val="00464D03"/>
    <w:rsid w:val="00464DDB"/>
    <w:rsid w:val="00464F6D"/>
    <w:rsid w:val="00465172"/>
    <w:rsid w:val="004653C4"/>
    <w:rsid w:val="004655B6"/>
    <w:rsid w:val="004655C6"/>
    <w:rsid w:val="00465639"/>
    <w:rsid w:val="0046565F"/>
    <w:rsid w:val="0046578A"/>
    <w:rsid w:val="00466032"/>
    <w:rsid w:val="00466091"/>
    <w:rsid w:val="004660BF"/>
    <w:rsid w:val="004663AB"/>
    <w:rsid w:val="0046640A"/>
    <w:rsid w:val="0046687F"/>
    <w:rsid w:val="00466EA9"/>
    <w:rsid w:val="00467228"/>
    <w:rsid w:val="0046780B"/>
    <w:rsid w:val="004679F1"/>
    <w:rsid w:val="00467B50"/>
    <w:rsid w:val="00467CC2"/>
    <w:rsid w:val="00467DFB"/>
    <w:rsid w:val="00467EFA"/>
    <w:rsid w:val="00469983"/>
    <w:rsid w:val="0047001F"/>
    <w:rsid w:val="00470173"/>
    <w:rsid w:val="00470541"/>
    <w:rsid w:val="004708C7"/>
    <w:rsid w:val="00470DF7"/>
    <w:rsid w:val="004717E3"/>
    <w:rsid w:val="00471869"/>
    <w:rsid w:val="00471AB5"/>
    <w:rsid w:val="00471DC8"/>
    <w:rsid w:val="004722C7"/>
    <w:rsid w:val="00472471"/>
    <w:rsid w:val="004726E9"/>
    <w:rsid w:val="0047272C"/>
    <w:rsid w:val="00472998"/>
    <w:rsid w:val="0047299E"/>
    <w:rsid w:val="00472CC0"/>
    <w:rsid w:val="00472E56"/>
    <w:rsid w:val="00472F26"/>
    <w:rsid w:val="0047311F"/>
    <w:rsid w:val="00473525"/>
    <w:rsid w:val="0047365E"/>
    <w:rsid w:val="0047387A"/>
    <w:rsid w:val="00473A9A"/>
    <w:rsid w:val="00473C8F"/>
    <w:rsid w:val="00474067"/>
    <w:rsid w:val="004740A7"/>
    <w:rsid w:val="00474268"/>
    <w:rsid w:val="0047495B"/>
    <w:rsid w:val="00474A52"/>
    <w:rsid w:val="00474AE5"/>
    <w:rsid w:val="00474BD8"/>
    <w:rsid w:val="00474C1E"/>
    <w:rsid w:val="00474CA0"/>
    <w:rsid w:val="00474D2A"/>
    <w:rsid w:val="004751A7"/>
    <w:rsid w:val="00475209"/>
    <w:rsid w:val="00475564"/>
    <w:rsid w:val="0047568A"/>
    <w:rsid w:val="00475772"/>
    <w:rsid w:val="004757A9"/>
    <w:rsid w:val="00475B38"/>
    <w:rsid w:val="00475E1F"/>
    <w:rsid w:val="00475EFB"/>
    <w:rsid w:val="00475FA8"/>
    <w:rsid w:val="00476236"/>
    <w:rsid w:val="004767A5"/>
    <w:rsid w:val="004767BA"/>
    <w:rsid w:val="0047689A"/>
    <w:rsid w:val="00476BC9"/>
    <w:rsid w:val="00476D0E"/>
    <w:rsid w:val="00476E7F"/>
    <w:rsid w:val="0047713D"/>
    <w:rsid w:val="00477354"/>
    <w:rsid w:val="00477664"/>
    <w:rsid w:val="004776AE"/>
    <w:rsid w:val="004778B9"/>
    <w:rsid w:val="00477C45"/>
    <w:rsid w:val="00477FD2"/>
    <w:rsid w:val="00480216"/>
    <w:rsid w:val="0048032F"/>
    <w:rsid w:val="0048063C"/>
    <w:rsid w:val="00480837"/>
    <w:rsid w:val="00480955"/>
    <w:rsid w:val="00480AD8"/>
    <w:rsid w:val="00480B3D"/>
    <w:rsid w:val="00480DF1"/>
    <w:rsid w:val="004810FB"/>
    <w:rsid w:val="0048134F"/>
    <w:rsid w:val="00481381"/>
    <w:rsid w:val="004814D2"/>
    <w:rsid w:val="004815F3"/>
    <w:rsid w:val="004816E5"/>
    <w:rsid w:val="0048174E"/>
    <w:rsid w:val="004817A8"/>
    <w:rsid w:val="0048187A"/>
    <w:rsid w:val="0048198D"/>
    <w:rsid w:val="00481B59"/>
    <w:rsid w:val="00481BF7"/>
    <w:rsid w:val="00481D57"/>
    <w:rsid w:val="00481EC7"/>
    <w:rsid w:val="0048274C"/>
    <w:rsid w:val="004828ED"/>
    <w:rsid w:val="004829BB"/>
    <w:rsid w:val="00482DD2"/>
    <w:rsid w:val="00482F59"/>
    <w:rsid w:val="0048319B"/>
    <w:rsid w:val="004832C0"/>
    <w:rsid w:val="004834D5"/>
    <w:rsid w:val="004834E8"/>
    <w:rsid w:val="0048358C"/>
    <w:rsid w:val="004839A5"/>
    <w:rsid w:val="004839E0"/>
    <w:rsid w:val="00483D47"/>
    <w:rsid w:val="00483E48"/>
    <w:rsid w:val="00484106"/>
    <w:rsid w:val="004843A5"/>
    <w:rsid w:val="00484607"/>
    <w:rsid w:val="00484B69"/>
    <w:rsid w:val="00484BB2"/>
    <w:rsid w:val="00484C6D"/>
    <w:rsid w:val="004850F0"/>
    <w:rsid w:val="00485131"/>
    <w:rsid w:val="00485660"/>
    <w:rsid w:val="00485868"/>
    <w:rsid w:val="0048588D"/>
    <w:rsid w:val="00485B9C"/>
    <w:rsid w:val="00485CB8"/>
    <w:rsid w:val="00485E92"/>
    <w:rsid w:val="00485F43"/>
    <w:rsid w:val="00485FB6"/>
    <w:rsid w:val="0048658B"/>
    <w:rsid w:val="004867E3"/>
    <w:rsid w:val="004868C9"/>
    <w:rsid w:val="00486A8F"/>
    <w:rsid w:val="00486AF5"/>
    <w:rsid w:val="00486B7E"/>
    <w:rsid w:val="00486BCC"/>
    <w:rsid w:val="00486DCE"/>
    <w:rsid w:val="00486E50"/>
    <w:rsid w:val="0048717F"/>
    <w:rsid w:val="004871A0"/>
    <w:rsid w:val="0048724B"/>
    <w:rsid w:val="0048728B"/>
    <w:rsid w:val="004872C5"/>
    <w:rsid w:val="004873F4"/>
    <w:rsid w:val="004874EE"/>
    <w:rsid w:val="00487504"/>
    <w:rsid w:val="004876BD"/>
    <w:rsid w:val="0048779F"/>
    <w:rsid w:val="004877FE"/>
    <w:rsid w:val="0048787F"/>
    <w:rsid w:val="00487961"/>
    <w:rsid w:val="00487B33"/>
    <w:rsid w:val="00487DCF"/>
    <w:rsid w:val="00490173"/>
    <w:rsid w:val="004901AD"/>
    <w:rsid w:val="00490376"/>
    <w:rsid w:val="00490BF7"/>
    <w:rsid w:val="00490D4A"/>
    <w:rsid w:val="0049106B"/>
    <w:rsid w:val="00491075"/>
    <w:rsid w:val="00491147"/>
    <w:rsid w:val="00491582"/>
    <w:rsid w:val="0049167C"/>
    <w:rsid w:val="0049182E"/>
    <w:rsid w:val="00491923"/>
    <w:rsid w:val="00491BDB"/>
    <w:rsid w:val="00491C47"/>
    <w:rsid w:val="00491FDB"/>
    <w:rsid w:val="0049203E"/>
    <w:rsid w:val="004923CB"/>
    <w:rsid w:val="004928CD"/>
    <w:rsid w:val="00492989"/>
    <w:rsid w:val="00492B25"/>
    <w:rsid w:val="00492F30"/>
    <w:rsid w:val="00492F81"/>
    <w:rsid w:val="004935BC"/>
    <w:rsid w:val="00493A15"/>
    <w:rsid w:val="00493B7C"/>
    <w:rsid w:val="00493BFD"/>
    <w:rsid w:val="00493C52"/>
    <w:rsid w:val="00493DB3"/>
    <w:rsid w:val="00493ECB"/>
    <w:rsid w:val="00494069"/>
    <w:rsid w:val="00494168"/>
    <w:rsid w:val="0049456C"/>
    <w:rsid w:val="00494582"/>
    <w:rsid w:val="00494659"/>
    <w:rsid w:val="00494B89"/>
    <w:rsid w:val="00494DF6"/>
    <w:rsid w:val="00494EAB"/>
    <w:rsid w:val="0049528B"/>
    <w:rsid w:val="0049532F"/>
    <w:rsid w:val="00495664"/>
    <w:rsid w:val="004956B1"/>
    <w:rsid w:val="004958F3"/>
    <w:rsid w:val="0049592D"/>
    <w:rsid w:val="004959C8"/>
    <w:rsid w:val="00495B15"/>
    <w:rsid w:val="00495D41"/>
    <w:rsid w:val="00495DAC"/>
    <w:rsid w:val="00495DAD"/>
    <w:rsid w:val="0049613C"/>
    <w:rsid w:val="004961B0"/>
    <w:rsid w:val="00496226"/>
    <w:rsid w:val="004964FE"/>
    <w:rsid w:val="004965A1"/>
    <w:rsid w:val="00496818"/>
    <w:rsid w:val="00496B46"/>
    <w:rsid w:val="00496EB9"/>
    <w:rsid w:val="004971B1"/>
    <w:rsid w:val="00497490"/>
    <w:rsid w:val="004974DD"/>
    <w:rsid w:val="00497782"/>
    <w:rsid w:val="0049787C"/>
    <w:rsid w:val="00497AF0"/>
    <w:rsid w:val="00497FB6"/>
    <w:rsid w:val="004A000F"/>
    <w:rsid w:val="004A0071"/>
    <w:rsid w:val="004A007C"/>
    <w:rsid w:val="004A0262"/>
    <w:rsid w:val="004A04D3"/>
    <w:rsid w:val="004A0640"/>
    <w:rsid w:val="004A093A"/>
    <w:rsid w:val="004A0C8B"/>
    <w:rsid w:val="004A0D66"/>
    <w:rsid w:val="004A0D70"/>
    <w:rsid w:val="004A0EE6"/>
    <w:rsid w:val="004A0F20"/>
    <w:rsid w:val="004A0F53"/>
    <w:rsid w:val="004A1019"/>
    <w:rsid w:val="004A10C5"/>
    <w:rsid w:val="004A117D"/>
    <w:rsid w:val="004A134F"/>
    <w:rsid w:val="004A1464"/>
    <w:rsid w:val="004A1474"/>
    <w:rsid w:val="004A1692"/>
    <w:rsid w:val="004A1BDC"/>
    <w:rsid w:val="004A1C8A"/>
    <w:rsid w:val="004A1E0C"/>
    <w:rsid w:val="004A219F"/>
    <w:rsid w:val="004A22D0"/>
    <w:rsid w:val="004A2832"/>
    <w:rsid w:val="004A285E"/>
    <w:rsid w:val="004A2888"/>
    <w:rsid w:val="004A292B"/>
    <w:rsid w:val="004A29CC"/>
    <w:rsid w:val="004A29DA"/>
    <w:rsid w:val="004A2D06"/>
    <w:rsid w:val="004A33A4"/>
    <w:rsid w:val="004A3874"/>
    <w:rsid w:val="004A3A60"/>
    <w:rsid w:val="004A3C87"/>
    <w:rsid w:val="004A3D63"/>
    <w:rsid w:val="004A3D7E"/>
    <w:rsid w:val="004A4032"/>
    <w:rsid w:val="004A4337"/>
    <w:rsid w:val="004A4703"/>
    <w:rsid w:val="004A4A5E"/>
    <w:rsid w:val="004A4C6A"/>
    <w:rsid w:val="004A4D5D"/>
    <w:rsid w:val="004A4F8C"/>
    <w:rsid w:val="004A50DD"/>
    <w:rsid w:val="004A53AB"/>
    <w:rsid w:val="004A53E4"/>
    <w:rsid w:val="004A545D"/>
    <w:rsid w:val="004A5608"/>
    <w:rsid w:val="004A5834"/>
    <w:rsid w:val="004A58C8"/>
    <w:rsid w:val="004A5BA1"/>
    <w:rsid w:val="004A6037"/>
    <w:rsid w:val="004A6138"/>
    <w:rsid w:val="004A61E1"/>
    <w:rsid w:val="004A68C7"/>
    <w:rsid w:val="004A69B8"/>
    <w:rsid w:val="004A6AC9"/>
    <w:rsid w:val="004A6B45"/>
    <w:rsid w:val="004A6BB2"/>
    <w:rsid w:val="004A6D80"/>
    <w:rsid w:val="004A6E3F"/>
    <w:rsid w:val="004A7146"/>
    <w:rsid w:val="004A73EC"/>
    <w:rsid w:val="004A75A2"/>
    <w:rsid w:val="004A77DB"/>
    <w:rsid w:val="004A7C3A"/>
    <w:rsid w:val="004A88D8"/>
    <w:rsid w:val="004ACD6F"/>
    <w:rsid w:val="004B0082"/>
    <w:rsid w:val="004B00F3"/>
    <w:rsid w:val="004B03FF"/>
    <w:rsid w:val="004B08CA"/>
    <w:rsid w:val="004B0A96"/>
    <w:rsid w:val="004B0CCF"/>
    <w:rsid w:val="004B0DA7"/>
    <w:rsid w:val="004B0F57"/>
    <w:rsid w:val="004B0FF4"/>
    <w:rsid w:val="004B1380"/>
    <w:rsid w:val="004B139A"/>
    <w:rsid w:val="004B147F"/>
    <w:rsid w:val="004B17A1"/>
    <w:rsid w:val="004B1BF5"/>
    <w:rsid w:val="004B1C13"/>
    <w:rsid w:val="004B1EB9"/>
    <w:rsid w:val="004B1EDA"/>
    <w:rsid w:val="004B1FFC"/>
    <w:rsid w:val="004B2104"/>
    <w:rsid w:val="004B2204"/>
    <w:rsid w:val="004B22DB"/>
    <w:rsid w:val="004B2590"/>
    <w:rsid w:val="004B2622"/>
    <w:rsid w:val="004B28D1"/>
    <w:rsid w:val="004B2A22"/>
    <w:rsid w:val="004B2AED"/>
    <w:rsid w:val="004B2D7A"/>
    <w:rsid w:val="004B2E16"/>
    <w:rsid w:val="004B30D3"/>
    <w:rsid w:val="004B3531"/>
    <w:rsid w:val="004B3836"/>
    <w:rsid w:val="004B3A17"/>
    <w:rsid w:val="004B3A6D"/>
    <w:rsid w:val="004B3B8C"/>
    <w:rsid w:val="004B3C1A"/>
    <w:rsid w:val="004B44E8"/>
    <w:rsid w:val="004B47FF"/>
    <w:rsid w:val="004B4840"/>
    <w:rsid w:val="004B4A25"/>
    <w:rsid w:val="004B5103"/>
    <w:rsid w:val="004B5146"/>
    <w:rsid w:val="004B51C2"/>
    <w:rsid w:val="004B51FB"/>
    <w:rsid w:val="004B54AF"/>
    <w:rsid w:val="004B5544"/>
    <w:rsid w:val="004B56B1"/>
    <w:rsid w:val="004B5787"/>
    <w:rsid w:val="004B5B50"/>
    <w:rsid w:val="004B5E1F"/>
    <w:rsid w:val="004B5F70"/>
    <w:rsid w:val="004B5F9C"/>
    <w:rsid w:val="004B60AF"/>
    <w:rsid w:val="004B6864"/>
    <w:rsid w:val="004B6A76"/>
    <w:rsid w:val="004B6B54"/>
    <w:rsid w:val="004B6C3E"/>
    <w:rsid w:val="004B6CF6"/>
    <w:rsid w:val="004B6DEE"/>
    <w:rsid w:val="004B7336"/>
    <w:rsid w:val="004B7B47"/>
    <w:rsid w:val="004B7B59"/>
    <w:rsid w:val="004B7BF1"/>
    <w:rsid w:val="004B7CF2"/>
    <w:rsid w:val="004B7D02"/>
    <w:rsid w:val="004B7FC8"/>
    <w:rsid w:val="004C0144"/>
    <w:rsid w:val="004C03EA"/>
    <w:rsid w:val="004C05C7"/>
    <w:rsid w:val="004C06C3"/>
    <w:rsid w:val="004C082E"/>
    <w:rsid w:val="004C0C86"/>
    <w:rsid w:val="004C0CC8"/>
    <w:rsid w:val="004C1036"/>
    <w:rsid w:val="004C1068"/>
    <w:rsid w:val="004C1666"/>
    <w:rsid w:val="004C17FB"/>
    <w:rsid w:val="004C1A87"/>
    <w:rsid w:val="004C1AE2"/>
    <w:rsid w:val="004C1DC8"/>
    <w:rsid w:val="004C2233"/>
    <w:rsid w:val="004C22D5"/>
    <w:rsid w:val="004C23B4"/>
    <w:rsid w:val="004C2767"/>
    <w:rsid w:val="004C2845"/>
    <w:rsid w:val="004C28AF"/>
    <w:rsid w:val="004C2A27"/>
    <w:rsid w:val="004C2DEE"/>
    <w:rsid w:val="004C3126"/>
    <w:rsid w:val="004C320F"/>
    <w:rsid w:val="004C3326"/>
    <w:rsid w:val="004C340B"/>
    <w:rsid w:val="004C34BC"/>
    <w:rsid w:val="004C3639"/>
    <w:rsid w:val="004C372F"/>
    <w:rsid w:val="004C373C"/>
    <w:rsid w:val="004C3808"/>
    <w:rsid w:val="004C3ECA"/>
    <w:rsid w:val="004C40A4"/>
    <w:rsid w:val="004C4357"/>
    <w:rsid w:val="004C435A"/>
    <w:rsid w:val="004C49E1"/>
    <w:rsid w:val="004C4A5D"/>
    <w:rsid w:val="004C4ADD"/>
    <w:rsid w:val="004C4C55"/>
    <w:rsid w:val="004C4DAC"/>
    <w:rsid w:val="004C4EE2"/>
    <w:rsid w:val="004C514A"/>
    <w:rsid w:val="004C5291"/>
    <w:rsid w:val="004C56C6"/>
    <w:rsid w:val="004C5725"/>
    <w:rsid w:val="004C58C1"/>
    <w:rsid w:val="004C5A63"/>
    <w:rsid w:val="004C5A68"/>
    <w:rsid w:val="004C5A91"/>
    <w:rsid w:val="004C5CD5"/>
    <w:rsid w:val="004C618F"/>
    <w:rsid w:val="004C635E"/>
    <w:rsid w:val="004C6693"/>
    <w:rsid w:val="004C69AE"/>
    <w:rsid w:val="004C6B98"/>
    <w:rsid w:val="004C6DFC"/>
    <w:rsid w:val="004C7080"/>
    <w:rsid w:val="004C7191"/>
    <w:rsid w:val="004C7807"/>
    <w:rsid w:val="004C7A9E"/>
    <w:rsid w:val="004C7AB8"/>
    <w:rsid w:val="004CD516"/>
    <w:rsid w:val="004D01B2"/>
    <w:rsid w:val="004D05DC"/>
    <w:rsid w:val="004D06A8"/>
    <w:rsid w:val="004D09C1"/>
    <w:rsid w:val="004D0AE5"/>
    <w:rsid w:val="004D0C5A"/>
    <w:rsid w:val="004D1114"/>
    <w:rsid w:val="004D13DF"/>
    <w:rsid w:val="004D144A"/>
    <w:rsid w:val="004D1468"/>
    <w:rsid w:val="004D172A"/>
    <w:rsid w:val="004D1755"/>
    <w:rsid w:val="004D1952"/>
    <w:rsid w:val="004D19E7"/>
    <w:rsid w:val="004D1C28"/>
    <w:rsid w:val="004D1C3F"/>
    <w:rsid w:val="004D1EAF"/>
    <w:rsid w:val="004D2398"/>
    <w:rsid w:val="004D23D7"/>
    <w:rsid w:val="004D2446"/>
    <w:rsid w:val="004D258F"/>
    <w:rsid w:val="004D26DF"/>
    <w:rsid w:val="004D2928"/>
    <w:rsid w:val="004D2962"/>
    <w:rsid w:val="004D2BEE"/>
    <w:rsid w:val="004D2BFE"/>
    <w:rsid w:val="004D2DB1"/>
    <w:rsid w:val="004D2FE0"/>
    <w:rsid w:val="004D2FE6"/>
    <w:rsid w:val="004D34D1"/>
    <w:rsid w:val="004D3591"/>
    <w:rsid w:val="004D35E9"/>
    <w:rsid w:val="004D35F5"/>
    <w:rsid w:val="004D37D1"/>
    <w:rsid w:val="004D3873"/>
    <w:rsid w:val="004D3B87"/>
    <w:rsid w:val="004D3D65"/>
    <w:rsid w:val="004D3DD7"/>
    <w:rsid w:val="004D3E0E"/>
    <w:rsid w:val="004D3F05"/>
    <w:rsid w:val="004D400C"/>
    <w:rsid w:val="004D4269"/>
    <w:rsid w:val="004D469F"/>
    <w:rsid w:val="004D46E2"/>
    <w:rsid w:val="004D474F"/>
    <w:rsid w:val="004D4AD6"/>
    <w:rsid w:val="004D4E03"/>
    <w:rsid w:val="004D4FC6"/>
    <w:rsid w:val="004D5249"/>
    <w:rsid w:val="004D5252"/>
    <w:rsid w:val="004D542E"/>
    <w:rsid w:val="004D549E"/>
    <w:rsid w:val="004D568C"/>
    <w:rsid w:val="004D57FA"/>
    <w:rsid w:val="004D58FB"/>
    <w:rsid w:val="004D5900"/>
    <w:rsid w:val="004D5A51"/>
    <w:rsid w:val="004D5B3E"/>
    <w:rsid w:val="004D5E10"/>
    <w:rsid w:val="004D60D7"/>
    <w:rsid w:val="004D6435"/>
    <w:rsid w:val="004D6551"/>
    <w:rsid w:val="004D68A0"/>
    <w:rsid w:val="004D6A98"/>
    <w:rsid w:val="004D6B36"/>
    <w:rsid w:val="004D6EC6"/>
    <w:rsid w:val="004D7314"/>
    <w:rsid w:val="004D779E"/>
    <w:rsid w:val="004D7B3C"/>
    <w:rsid w:val="004D7B47"/>
    <w:rsid w:val="004D7C5F"/>
    <w:rsid w:val="004D7D3E"/>
    <w:rsid w:val="004D7E2B"/>
    <w:rsid w:val="004D7E75"/>
    <w:rsid w:val="004D7EC7"/>
    <w:rsid w:val="004D7EC9"/>
    <w:rsid w:val="004DFC8D"/>
    <w:rsid w:val="004E00E6"/>
    <w:rsid w:val="004E0569"/>
    <w:rsid w:val="004E06AD"/>
    <w:rsid w:val="004E079F"/>
    <w:rsid w:val="004E0C93"/>
    <w:rsid w:val="004E0D10"/>
    <w:rsid w:val="004E10F9"/>
    <w:rsid w:val="004E146D"/>
    <w:rsid w:val="004E14EF"/>
    <w:rsid w:val="004E19F2"/>
    <w:rsid w:val="004E1B63"/>
    <w:rsid w:val="004E1C14"/>
    <w:rsid w:val="004E1D8B"/>
    <w:rsid w:val="004E1D97"/>
    <w:rsid w:val="004E1E7B"/>
    <w:rsid w:val="004E203F"/>
    <w:rsid w:val="004E2300"/>
    <w:rsid w:val="004E2719"/>
    <w:rsid w:val="004E27B0"/>
    <w:rsid w:val="004E28AD"/>
    <w:rsid w:val="004E2A8A"/>
    <w:rsid w:val="004E2B8F"/>
    <w:rsid w:val="004E2B92"/>
    <w:rsid w:val="004E3150"/>
    <w:rsid w:val="004E333D"/>
    <w:rsid w:val="004E33E6"/>
    <w:rsid w:val="004E36C7"/>
    <w:rsid w:val="004E376F"/>
    <w:rsid w:val="004E37C2"/>
    <w:rsid w:val="004E3A30"/>
    <w:rsid w:val="004E415E"/>
    <w:rsid w:val="004E499A"/>
    <w:rsid w:val="004E4A55"/>
    <w:rsid w:val="004E4E67"/>
    <w:rsid w:val="004E4F14"/>
    <w:rsid w:val="004E52E4"/>
    <w:rsid w:val="004E5BCB"/>
    <w:rsid w:val="004E5E69"/>
    <w:rsid w:val="004E627E"/>
    <w:rsid w:val="004E6286"/>
    <w:rsid w:val="004E6289"/>
    <w:rsid w:val="004E6300"/>
    <w:rsid w:val="004E653E"/>
    <w:rsid w:val="004E6712"/>
    <w:rsid w:val="004E6858"/>
    <w:rsid w:val="004E6972"/>
    <w:rsid w:val="004E6979"/>
    <w:rsid w:val="004E6B3D"/>
    <w:rsid w:val="004E6BAC"/>
    <w:rsid w:val="004E6E9E"/>
    <w:rsid w:val="004E70C2"/>
    <w:rsid w:val="004E7238"/>
    <w:rsid w:val="004E7299"/>
    <w:rsid w:val="004E7BEA"/>
    <w:rsid w:val="004E7C08"/>
    <w:rsid w:val="004E7C28"/>
    <w:rsid w:val="004E7D4D"/>
    <w:rsid w:val="004E7E46"/>
    <w:rsid w:val="004F0184"/>
    <w:rsid w:val="004F02E6"/>
    <w:rsid w:val="004F0621"/>
    <w:rsid w:val="004F079B"/>
    <w:rsid w:val="004F0BE3"/>
    <w:rsid w:val="004F0CAF"/>
    <w:rsid w:val="004F1435"/>
    <w:rsid w:val="004F1618"/>
    <w:rsid w:val="004F1638"/>
    <w:rsid w:val="004F1EDE"/>
    <w:rsid w:val="004F2157"/>
    <w:rsid w:val="004F21B6"/>
    <w:rsid w:val="004F237C"/>
    <w:rsid w:val="004F2825"/>
    <w:rsid w:val="004F2B04"/>
    <w:rsid w:val="004F2C47"/>
    <w:rsid w:val="004F2C79"/>
    <w:rsid w:val="004F3120"/>
    <w:rsid w:val="004F3137"/>
    <w:rsid w:val="004F32D7"/>
    <w:rsid w:val="004F3A42"/>
    <w:rsid w:val="004F3BEA"/>
    <w:rsid w:val="004F3C08"/>
    <w:rsid w:val="004F3DFE"/>
    <w:rsid w:val="004F3FD6"/>
    <w:rsid w:val="004F3FE4"/>
    <w:rsid w:val="004F460D"/>
    <w:rsid w:val="004F4B34"/>
    <w:rsid w:val="004F4CEC"/>
    <w:rsid w:val="004F4D45"/>
    <w:rsid w:val="004F4E01"/>
    <w:rsid w:val="004F5228"/>
    <w:rsid w:val="004F52AA"/>
    <w:rsid w:val="004F5309"/>
    <w:rsid w:val="004F5329"/>
    <w:rsid w:val="004F53F4"/>
    <w:rsid w:val="004F559F"/>
    <w:rsid w:val="004F58C3"/>
    <w:rsid w:val="004F58E0"/>
    <w:rsid w:val="004F595F"/>
    <w:rsid w:val="004F5BF0"/>
    <w:rsid w:val="004F5C94"/>
    <w:rsid w:val="004F5FD0"/>
    <w:rsid w:val="004F5FFA"/>
    <w:rsid w:val="004F6277"/>
    <w:rsid w:val="004F63E3"/>
    <w:rsid w:val="004F65A6"/>
    <w:rsid w:val="004F6695"/>
    <w:rsid w:val="004F66FB"/>
    <w:rsid w:val="004F674B"/>
    <w:rsid w:val="004F6903"/>
    <w:rsid w:val="004F69B2"/>
    <w:rsid w:val="004F6B8E"/>
    <w:rsid w:val="004F6C03"/>
    <w:rsid w:val="004F6C34"/>
    <w:rsid w:val="004F6D4B"/>
    <w:rsid w:val="004F6F74"/>
    <w:rsid w:val="004F7007"/>
    <w:rsid w:val="004F7073"/>
    <w:rsid w:val="004F71AA"/>
    <w:rsid w:val="004F71FA"/>
    <w:rsid w:val="004F72FA"/>
    <w:rsid w:val="004F73E0"/>
    <w:rsid w:val="004F75B8"/>
    <w:rsid w:val="004F7FCB"/>
    <w:rsid w:val="004F9936"/>
    <w:rsid w:val="0050005A"/>
    <w:rsid w:val="005000D0"/>
    <w:rsid w:val="005001F0"/>
    <w:rsid w:val="005009EF"/>
    <w:rsid w:val="00500E43"/>
    <w:rsid w:val="00500E6A"/>
    <w:rsid w:val="00500F34"/>
    <w:rsid w:val="005014A6"/>
    <w:rsid w:val="005015AC"/>
    <w:rsid w:val="0050176C"/>
    <w:rsid w:val="0050185C"/>
    <w:rsid w:val="005018A5"/>
    <w:rsid w:val="00501994"/>
    <w:rsid w:val="00501B23"/>
    <w:rsid w:val="00501C1F"/>
    <w:rsid w:val="00501C9B"/>
    <w:rsid w:val="00502014"/>
    <w:rsid w:val="005020D9"/>
    <w:rsid w:val="005021AC"/>
    <w:rsid w:val="00502342"/>
    <w:rsid w:val="0050255D"/>
    <w:rsid w:val="00502866"/>
    <w:rsid w:val="00502C41"/>
    <w:rsid w:val="00502CAC"/>
    <w:rsid w:val="00502E9B"/>
    <w:rsid w:val="00502EC2"/>
    <w:rsid w:val="00502FD5"/>
    <w:rsid w:val="00503008"/>
    <w:rsid w:val="00503262"/>
    <w:rsid w:val="0050373A"/>
    <w:rsid w:val="005038A8"/>
    <w:rsid w:val="005038BD"/>
    <w:rsid w:val="00503C12"/>
    <w:rsid w:val="0050407A"/>
    <w:rsid w:val="005041E7"/>
    <w:rsid w:val="00504200"/>
    <w:rsid w:val="005042AB"/>
    <w:rsid w:val="005044BD"/>
    <w:rsid w:val="005046E7"/>
    <w:rsid w:val="005048C9"/>
    <w:rsid w:val="005048E3"/>
    <w:rsid w:val="00504A00"/>
    <w:rsid w:val="00504A4D"/>
    <w:rsid w:val="00504B6C"/>
    <w:rsid w:val="00504BA9"/>
    <w:rsid w:val="00504BB5"/>
    <w:rsid w:val="00504C59"/>
    <w:rsid w:val="00504CC9"/>
    <w:rsid w:val="00504DD6"/>
    <w:rsid w:val="00504DE7"/>
    <w:rsid w:val="00504E9E"/>
    <w:rsid w:val="00504F15"/>
    <w:rsid w:val="00504FA9"/>
    <w:rsid w:val="00504FB8"/>
    <w:rsid w:val="0050508B"/>
    <w:rsid w:val="00505873"/>
    <w:rsid w:val="00505BE0"/>
    <w:rsid w:val="00505C80"/>
    <w:rsid w:val="00505D5F"/>
    <w:rsid w:val="00505EE1"/>
    <w:rsid w:val="00505F40"/>
    <w:rsid w:val="00505F54"/>
    <w:rsid w:val="00506131"/>
    <w:rsid w:val="0050614B"/>
    <w:rsid w:val="00506468"/>
    <w:rsid w:val="00506490"/>
    <w:rsid w:val="005064E9"/>
    <w:rsid w:val="005065D5"/>
    <w:rsid w:val="00506843"/>
    <w:rsid w:val="005068F3"/>
    <w:rsid w:val="00506B4F"/>
    <w:rsid w:val="00506DD5"/>
    <w:rsid w:val="00507231"/>
    <w:rsid w:val="005073F3"/>
    <w:rsid w:val="005078C5"/>
    <w:rsid w:val="0050793A"/>
    <w:rsid w:val="005079C7"/>
    <w:rsid w:val="00507ADB"/>
    <w:rsid w:val="00507B22"/>
    <w:rsid w:val="00507B64"/>
    <w:rsid w:val="00507B8B"/>
    <w:rsid w:val="00507C34"/>
    <w:rsid w:val="00507E1D"/>
    <w:rsid w:val="00507E26"/>
    <w:rsid w:val="0051023D"/>
    <w:rsid w:val="00510566"/>
    <w:rsid w:val="005105D8"/>
    <w:rsid w:val="00510A63"/>
    <w:rsid w:val="005112A1"/>
    <w:rsid w:val="005115A1"/>
    <w:rsid w:val="00511653"/>
    <w:rsid w:val="00511A78"/>
    <w:rsid w:val="00511B22"/>
    <w:rsid w:val="00511D81"/>
    <w:rsid w:val="00512148"/>
    <w:rsid w:val="00512151"/>
    <w:rsid w:val="00512157"/>
    <w:rsid w:val="005123C1"/>
    <w:rsid w:val="0051247E"/>
    <w:rsid w:val="0051262F"/>
    <w:rsid w:val="00512647"/>
    <w:rsid w:val="0051280C"/>
    <w:rsid w:val="00512830"/>
    <w:rsid w:val="00512BAD"/>
    <w:rsid w:val="00512BFC"/>
    <w:rsid w:val="00512C97"/>
    <w:rsid w:val="00512E40"/>
    <w:rsid w:val="00512FC2"/>
    <w:rsid w:val="00513214"/>
    <w:rsid w:val="00513457"/>
    <w:rsid w:val="0051347A"/>
    <w:rsid w:val="0051352E"/>
    <w:rsid w:val="005136C2"/>
    <w:rsid w:val="005137C1"/>
    <w:rsid w:val="005139FF"/>
    <w:rsid w:val="00513B06"/>
    <w:rsid w:val="00513C76"/>
    <w:rsid w:val="005140E3"/>
    <w:rsid w:val="0051412C"/>
    <w:rsid w:val="00514284"/>
    <w:rsid w:val="005142E7"/>
    <w:rsid w:val="00514322"/>
    <w:rsid w:val="00514441"/>
    <w:rsid w:val="00514631"/>
    <w:rsid w:val="00514634"/>
    <w:rsid w:val="00514696"/>
    <w:rsid w:val="005147C1"/>
    <w:rsid w:val="00514A3D"/>
    <w:rsid w:val="00514A5A"/>
    <w:rsid w:val="00514B2C"/>
    <w:rsid w:val="00514F49"/>
    <w:rsid w:val="00514FEB"/>
    <w:rsid w:val="00514FFF"/>
    <w:rsid w:val="005150F7"/>
    <w:rsid w:val="005151B1"/>
    <w:rsid w:val="0051528D"/>
    <w:rsid w:val="0051536C"/>
    <w:rsid w:val="005153FD"/>
    <w:rsid w:val="00515450"/>
    <w:rsid w:val="0051564A"/>
    <w:rsid w:val="005156DE"/>
    <w:rsid w:val="00515CD9"/>
    <w:rsid w:val="00515FEB"/>
    <w:rsid w:val="005163C8"/>
    <w:rsid w:val="00516687"/>
    <w:rsid w:val="005169EA"/>
    <w:rsid w:val="00516A56"/>
    <w:rsid w:val="00516AE6"/>
    <w:rsid w:val="00516B08"/>
    <w:rsid w:val="00516C8B"/>
    <w:rsid w:val="00516CA4"/>
    <w:rsid w:val="00516D91"/>
    <w:rsid w:val="00516F19"/>
    <w:rsid w:val="00516F67"/>
    <w:rsid w:val="0051711C"/>
    <w:rsid w:val="00517136"/>
    <w:rsid w:val="0051716D"/>
    <w:rsid w:val="00517360"/>
    <w:rsid w:val="0051744F"/>
    <w:rsid w:val="0051746D"/>
    <w:rsid w:val="00517672"/>
    <w:rsid w:val="0051786A"/>
    <w:rsid w:val="00517C10"/>
    <w:rsid w:val="00517C6E"/>
    <w:rsid w:val="00517DD3"/>
    <w:rsid w:val="0052006E"/>
    <w:rsid w:val="00520158"/>
    <w:rsid w:val="005202DB"/>
    <w:rsid w:val="0052037B"/>
    <w:rsid w:val="005203CC"/>
    <w:rsid w:val="00520401"/>
    <w:rsid w:val="005204BA"/>
    <w:rsid w:val="00520507"/>
    <w:rsid w:val="005207F3"/>
    <w:rsid w:val="005209C3"/>
    <w:rsid w:val="00520C04"/>
    <w:rsid w:val="00520C4F"/>
    <w:rsid w:val="00520D8D"/>
    <w:rsid w:val="00520E06"/>
    <w:rsid w:val="00520F9E"/>
    <w:rsid w:val="005212FD"/>
    <w:rsid w:val="0052150A"/>
    <w:rsid w:val="0052154A"/>
    <w:rsid w:val="005216F4"/>
    <w:rsid w:val="005217D7"/>
    <w:rsid w:val="005217F3"/>
    <w:rsid w:val="00521862"/>
    <w:rsid w:val="00521FA8"/>
    <w:rsid w:val="005226DC"/>
    <w:rsid w:val="00522986"/>
    <w:rsid w:val="005229BF"/>
    <w:rsid w:val="005229DA"/>
    <w:rsid w:val="00522E77"/>
    <w:rsid w:val="005231F7"/>
    <w:rsid w:val="005235B2"/>
    <w:rsid w:val="00523656"/>
    <w:rsid w:val="005237DC"/>
    <w:rsid w:val="0052387C"/>
    <w:rsid w:val="00523A28"/>
    <w:rsid w:val="00523AE3"/>
    <w:rsid w:val="00523BAE"/>
    <w:rsid w:val="00523D04"/>
    <w:rsid w:val="00523DF1"/>
    <w:rsid w:val="0052403C"/>
    <w:rsid w:val="005241D3"/>
    <w:rsid w:val="0052447C"/>
    <w:rsid w:val="005247BA"/>
    <w:rsid w:val="00524CBF"/>
    <w:rsid w:val="005250CD"/>
    <w:rsid w:val="00525332"/>
    <w:rsid w:val="00525647"/>
    <w:rsid w:val="0052571A"/>
    <w:rsid w:val="0052576A"/>
    <w:rsid w:val="005258DA"/>
    <w:rsid w:val="005259A4"/>
    <w:rsid w:val="005259EE"/>
    <w:rsid w:val="00525B34"/>
    <w:rsid w:val="00525BDD"/>
    <w:rsid w:val="00525BE2"/>
    <w:rsid w:val="00525D30"/>
    <w:rsid w:val="00525F3F"/>
    <w:rsid w:val="00525FFC"/>
    <w:rsid w:val="0052631C"/>
    <w:rsid w:val="00526B5C"/>
    <w:rsid w:val="00526D43"/>
    <w:rsid w:val="00526FDB"/>
    <w:rsid w:val="005270BA"/>
    <w:rsid w:val="00527908"/>
    <w:rsid w:val="00527940"/>
    <w:rsid w:val="00527A23"/>
    <w:rsid w:val="00527BE1"/>
    <w:rsid w:val="00527F38"/>
    <w:rsid w:val="00527F76"/>
    <w:rsid w:val="005302FB"/>
    <w:rsid w:val="0053030D"/>
    <w:rsid w:val="005303C9"/>
    <w:rsid w:val="00530447"/>
    <w:rsid w:val="005305C5"/>
    <w:rsid w:val="00530672"/>
    <w:rsid w:val="00530837"/>
    <w:rsid w:val="005309A1"/>
    <w:rsid w:val="00530C79"/>
    <w:rsid w:val="00530E1E"/>
    <w:rsid w:val="00530EBA"/>
    <w:rsid w:val="0053118E"/>
    <w:rsid w:val="005311DA"/>
    <w:rsid w:val="00531623"/>
    <w:rsid w:val="0053175B"/>
    <w:rsid w:val="00531B63"/>
    <w:rsid w:val="00531C3F"/>
    <w:rsid w:val="00531DE3"/>
    <w:rsid w:val="00532057"/>
    <w:rsid w:val="00532128"/>
    <w:rsid w:val="005324C7"/>
    <w:rsid w:val="00532637"/>
    <w:rsid w:val="00532C28"/>
    <w:rsid w:val="00532C39"/>
    <w:rsid w:val="00532C68"/>
    <w:rsid w:val="0053316B"/>
    <w:rsid w:val="005333B1"/>
    <w:rsid w:val="00533771"/>
    <w:rsid w:val="005338B6"/>
    <w:rsid w:val="00533A3E"/>
    <w:rsid w:val="00533A69"/>
    <w:rsid w:val="00533D30"/>
    <w:rsid w:val="00533ED4"/>
    <w:rsid w:val="0053417E"/>
    <w:rsid w:val="00534209"/>
    <w:rsid w:val="00534638"/>
    <w:rsid w:val="0053464C"/>
    <w:rsid w:val="00534A5A"/>
    <w:rsid w:val="00534E3B"/>
    <w:rsid w:val="0053517B"/>
    <w:rsid w:val="0053522F"/>
    <w:rsid w:val="00535368"/>
    <w:rsid w:val="00535372"/>
    <w:rsid w:val="00535384"/>
    <w:rsid w:val="00535418"/>
    <w:rsid w:val="00535497"/>
    <w:rsid w:val="0053549C"/>
    <w:rsid w:val="005356B7"/>
    <w:rsid w:val="00535B07"/>
    <w:rsid w:val="00535BF8"/>
    <w:rsid w:val="00535CF1"/>
    <w:rsid w:val="00535D03"/>
    <w:rsid w:val="00535D23"/>
    <w:rsid w:val="005360B9"/>
    <w:rsid w:val="005360F7"/>
    <w:rsid w:val="00536250"/>
    <w:rsid w:val="0053626E"/>
    <w:rsid w:val="00536404"/>
    <w:rsid w:val="005366A2"/>
    <w:rsid w:val="005368D5"/>
    <w:rsid w:val="00536A6D"/>
    <w:rsid w:val="00536C84"/>
    <w:rsid w:val="00536E13"/>
    <w:rsid w:val="00536E9E"/>
    <w:rsid w:val="00537268"/>
    <w:rsid w:val="00537496"/>
    <w:rsid w:val="005374C0"/>
    <w:rsid w:val="00537996"/>
    <w:rsid w:val="005379E8"/>
    <w:rsid w:val="00537B2C"/>
    <w:rsid w:val="00537B33"/>
    <w:rsid w:val="00537CDC"/>
    <w:rsid w:val="00537D91"/>
    <w:rsid w:val="00537EB2"/>
    <w:rsid w:val="00537EBB"/>
    <w:rsid w:val="00537F3E"/>
    <w:rsid w:val="005400A0"/>
    <w:rsid w:val="00540380"/>
    <w:rsid w:val="00540389"/>
    <w:rsid w:val="005404A7"/>
    <w:rsid w:val="005404CC"/>
    <w:rsid w:val="00540584"/>
    <w:rsid w:val="00540635"/>
    <w:rsid w:val="005409BA"/>
    <w:rsid w:val="005409C8"/>
    <w:rsid w:val="00540A80"/>
    <w:rsid w:val="00540B7A"/>
    <w:rsid w:val="00540C40"/>
    <w:rsid w:val="00540D99"/>
    <w:rsid w:val="00540DC1"/>
    <w:rsid w:val="00540DDF"/>
    <w:rsid w:val="0054121F"/>
    <w:rsid w:val="00541445"/>
    <w:rsid w:val="00541521"/>
    <w:rsid w:val="00541972"/>
    <w:rsid w:val="00541B36"/>
    <w:rsid w:val="00541C14"/>
    <w:rsid w:val="00541CEF"/>
    <w:rsid w:val="00541E9B"/>
    <w:rsid w:val="00541FCA"/>
    <w:rsid w:val="00542A78"/>
    <w:rsid w:val="00542AD7"/>
    <w:rsid w:val="00542E1D"/>
    <w:rsid w:val="0054305E"/>
    <w:rsid w:val="00543162"/>
    <w:rsid w:val="0054327D"/>
    <w:rsid w:val="00543A94"/>
    <w:rsid w:val="00543B7C"/>
    <w:rsid w:val="00543BCD"/>
    <w:rsid w:val="00543BFE"/>
    <w:rsid w:val="00543DA4"/>
    <w:rsid w:val="0054412E"/>
    <w:rsid w:val="00544745"/>
    <w:rsid w:val="005448B2"/>
    <w:rsid w:val="00544D3A"/>
    <w:rsid w:val="00545119"/>
    <w:rsid w:val="005452EA"/>
    <w:rsid w:val="005452FC"/>
    <w:rsid w:val="00545B64"/>
    <w:rsid w:val="00545F79"/>
    <w:rsid w:val="00545FBD"/>
    <w:rsid w:val="00546159"/>
    <w:rsid w:val="0054631A"/>
    <w:rsid w:val="00546773"/>
    <w:rsid w:val="00546782"/>
    <w:rsid w:val="00546934"/>
    <w:rsid w:val="00546A31"/>
    <w:rsid w:val="00546A5E"/>
    <w:rsid w:val="00546B9C"/>
    <w:rsid w:val="00546C54"/>
    <w:rsid w:val="00546F03"/>
    <w:rsid w:val="00546F2B"/>
    <w:rsid w:val="0054739A"/>
    <w:rsid w:val="005473C5"/>
    <w:rsid w:val="0054744C"/>
    <w:rsid w:val="00547BC8"/>
    <w:rsid w:val="00547DB6"/>
    <w:rsid w:val="00547E71"/>
    <w:rsid w:val="00547EC9"/>
    <w:rsid w:val="005500E4"/>
    <w:rsid w:val="005501A9"/>
    <w:rsid w:val="005503FC"/>
    <w:rsid w:val="00550518"/>
    <w:rsid w:val="00550759"/>
    <w:rsid w:val="00550853"/>
    <w:rsid w:val="0055087D"/>
    <w:rsid w:val="005509AE"/>
    <w:rsid w:val="00550C1C"/>
    <w:rsid w:val="0055109F"/>
    <w:rsid w:val="005510DB"/>
    <w:rsid w:val="00551280"/>
    <w:rsid w:val="00551333"/>
    <w:rsid w:val="005515D1"/>
    <w:rsid w:val="00551648"/>
    <w:rsid w:val="005518E0"/>
    <w:rsid w:val="00551A81"/>
    <w:rsid w:val="00551C4E"/>
    <w:rsid w:val="00551C88"/>
    <w:rsid w:val="00551E47"/>
    <w:rsid w:val="005520DF"/>
    <w:rsid w:val="0055210D"/>
    <w:rsid w:val="00552213"/>
    <w:rsid w:val="005523BB"/>
    <w:rsid w:val="005523DE"/>
    <w:rsid w:val="005524B7"/>
    <w:rsid w:val="005524C8"/>
    <w:rsid w:val="0055257B"/>
    <w:rsid w:val="0055277B"/>
    <w:rsid w:val="00552847"/>
    <w:rsid w:val="005529E8"/>
    <w:rsid w:val="00552A72"/>
    <w:rsid w:val="00552B87"/>
    <w:rsid w:val="00552BE7"/>
    <w:rsid w:val="005531C6"/>
    <w:rsid w:val="005535E2"/>
    <w:rsid w:val="00553677"/>
    <w:rsid w:val="005539A6"/>
    <w:rsid w:val="00553AEB"/>
    <w:rsid w:val="00553C0A"/>
    <w:rsid w:val="00553C57"/>
    <w:rsid w:val="00553D47"/>
    <w:rsid w:val="00553DBF"/>
    <w:rsid w:val="00553EBE"/>
    <w:rsid w:val="00553EFA"/>
    <w:rsid w:val="0055412C"/>
    <w:rsid w:val="0055421B"/>
    <w:rsid w:val="00554273"/>
    <w:rsid w:val="0055429A"/>
    <w:rsid w:val="005545DC"/>
    <w:rsid w:val="0055470E"/>
    <w:rsid w:val="005548FD"/>
    <w:rsid w:val="00554988"/>
    <w:rsid w:val="005549D1"/>
    <w:rsid w:val="00554C3B"/>
    <w:rsid w:val="00554D66"/>
    <w:rsid w:val="00554DA5"/>
    <w:rsid w:val="00554DFE"/>
    <w:rsid w:val="005553FD"/>
    <w:rsid w:val="0055558E"/>
    <w:rsid w:val="00555753"/>
    <w:rsid w:val="005558F9"/>
    <w:rsid w:val="00555AE6"/>
    <w:rsid w:val="00555BA8"/>
    <w:rsid w:val="00555DF5"/>
    <w:rsid w:val="00556497"/>
    <w:rsid w:val="00556562"/>
    <w:rsid w:val="005565C9"/>
    <w:rsid w:val="00556673"/>
    <w:rsid w:val="005568B7"/>
    <w:rsid w:val="005568D0"/>
    <w:rsid w:val="0055694C"/>
    <w:rsid w:val="0055697A"/>
    <w:rsid w:val="0055698B"/>
    <w:rsid w:val="00556C84"/>
    <w:rsid w:val="00556CCE"/>
    <w:rsid w:val="00556DD9"/>
    <w:rsid w:val="00556F7B"/>
    <w:rsid w:val="0055702D"/>
    <w:rsid w:val="00557348"/>
    <w:rsid w:val="005575F8"/>
    <w:rsid w:val="00557BA5"/>
    <w:rsid w:val="00557BC2"/>
    <w:rsid w:val="00557CF5"/>
    <w:rsid w:val="00557D29"/>
    <w:rsid w:val="00557D93"/>
    <w:rsid w:val="00557EA2"/>
    <w:rsid w:val="00557FB2"/>
    <w:rsid w:val="00560533"/>
    <w:rsid w:val="00560640"/>
    <w:rsid w:val="00560931"/>
    <w:rsid w:val="005609A1"/>
    <w:rsid w:val="005609A6"/>
    <w:rsid w:val="00560ADF"/>
    <w:rsid w:val="00560C6B"/>
    <w:rsid w:val="00560ECF"/>
    <w:rsid w:val="005612E9"/>
    <w:rsid w:val="005613D3"/>
    <w:rsid w:val="00561457"/>
    <w:rsid w:val="00561604"/>
    <w:rsid w:val="0056193C"/>
    <w:rsid w:val="0056195A"/>
    <w:rsid w:val="00561B6C"/>
    <w:rsid w:val="00561C06"/>
    <w:rsid w:val="00561C68"/>
    <w:rsid w:val="00561FF2"/>
    <w:rsid w:val="00562009"/>
    <w:rsid w:val="005621B1"/>
    <w:rsid w:val="005622A6"/>
    <w:rsid w:val="00562317"/>
    <w:rsid w:val="00562336"/>
    <w:rsid w:val="00562468"/>
    <w:rsid w:val="00562544"/>
    <w:rsid w:val="00562559"/>
    <w:rsid w:val="00562560"/>
    <w:rsid w:val="0056285C"/>
    <w:rsid w:val="00562861"/>
    <w:rsid w:val="00562A86"/>
    <w:rsid w:val="00562B9E"/>
    <w:rsid w:val="00562D73"/>
    <w:rsid w:val="00562D7B"/>
    <w:rsid w:val="005630D9"/>
    <w:rsid w:val="00563238"/>
    <w:rsid w:val="00563349"/>
    <w:rsid w:val="005634F1"/>
    <w:rsid w:val="0056359C"/>
    <w:rsid w:val="00563A5F"/>
    <w:rsid w:val="00563B5D"/>
    <w:rsid w:val="00563BA6"/>
    <w:rsid w:val="00563BC6"/>
    <w:rsid w:val="00563BEF"/>
    <w:rsid w:val="00563D06"/>
    <w:rsid w:val="00563D1B"/>
    <w:rsid w:val="00564181"/>
    <w:rsid w:val="00564297"/>
    <w:rsid w:val="005644B3"/>
    <w:rsid w:val="0056476A"/>
    <w:rsid w:val="0056484E"/>
    <w:rsid w:val="005649C5"/>
    <w:rsid w:val="00564B4A"/>
    <w:rsid w:val="00564E03"/>
    <w:rsid w:val="00564E87"/>
    <w:rsid w:val="00564EB1"/>
    <w:rsid w:val="005652DD"/>
    <w:rsid w:val="0056555D"/>
    <w:rsid w:val="005656C8"/>
    <w:rsid w:val="00565711"/>
    <w:rsid w:val="005657DB"/>
    <w:rsid w:val="00565AFE"/>
    <w:rsid w:val="00565BE9"/>
    <w:rsid w:val="00565EF5"/>
    <w:rsid w:val="0056601E"/>
    <w:rsid w:val="00566055"/>
    <w:rsid w:val="0056635D"/>
    <w:rsid w:val="0056662F"/>
    <w:rsid w:val="00566693"/>
    <w:rsid w:val="00566A49"/>
    <w:rsid w:val="00566A5C"/>
    <w:rsid w:val="00566D69"/>
    <w:rsid w:val="00566E39"/>
    <w:rsid w:val="00566F6C"/>
    <w:rsid w:val="005670F9"/>
    <w:rsid w:val="0056759C"/>
    <w:rsid w:val="005677A5"/>
    <w:rsid w:val="00567E67"/>
    <w:rsid w:val="00567F18"/>
    <w:rsid w:val="00567FC1"/>
    <w:rsid w:val="0056F910"/>
    <w:rsid w:val="005701B8"/>
    <w:rsid w:val="0057026A"/>
    <w:rsid w:val="00570276"/>
    <w:rsid w:val="005702A9"/>
    <w:rsid w:val="005706EA"/>
    <w:rsid w:val="00570B18"/>
    <w:rsid w:val="00570BAC"/>
    <w:rsid w:val="00570CF0"/>
    <w:rsid w:val="00570E27"/>
    <w:rsid w:val="00570F42"/>
    <w:rsid w:val="0057105C"/>
    <w:rsid w:val="0057116A"/>
    <w:rsid w:val="005712F2"/>
    <w:rsid w:val="0057135C"/>
    <w:rsid w:val="00571757"/>
    <w:rsid w:val="00571D26"/>
    <w:rsid w:val="0057219D"/>
    <w:rsid w:val="005723DE"/>
    <w:rsid w:val="00572742"/>
    <w:rsid w:val="0057277A"/>
    <w:rsid w:val="00572907"/>
    <w:rsid w:val="00572931"/>
    <w:rsid w:val="005729D2"/>
    <w:rsid w:val="00572A5E"/>
    <w:rsid w:val="00572A99"/>
    <w:rsid w:val="00572AC4"/>
    <w:rsid w:val="00572F95"/>
    <w:rsid w:val="005730A0"/>
    <w:rsid w:val="0057315C"/>
    <w:rsid w:val="00573161"/>
    <w:rsid w:val="00573322"/>
    <w:rsid w:val="00573771"/>
    <w:rsid w:val="00573909"/>
    <w:rsid w:val="00573B94"/>
    <w:rsid w:val="00573C1C"/>
    <w:rsid w:val="00573EEF"/>
    <w:rsid w:val="0057407A"/>
    <w:rsid w:val="0057434A"/>
    <w:rsid w:val="005744C8"/>
    <w:rsid w:val="005744CE"/>
    <w:rsid w:val="005745DD"/>
    <w:rsid w:val="00574675"/>
    <w:rsid w:val="005746DE"/>
    <w:rsid w:val="00574B97"/>
    <w:rsid w:val="00574BFA"/>
    <w:rsid w:val="00574C79"/>
    <w:rsid w:val="00574D9F"/>
    <w:rsid w:val="00574FD7"/>
    <w:rsid w:val="0057546C"/>
    <w:rsid w:val="005756C5"/>
    <w:rsid w:val="00575711"/>
    <w:rsid w:val="00575720"/>
    <w:rsid w:val="0057579F"/>
    <w:rsid w:val="00575B6A"/>
    <w:rsid w:val="00575D81"/>
    <w:rsid w:val="00576170"/>
    <w:rsid w:val="00576305"/>
    <w:rsid w:val="005763A3"/>
    <w:rsid w:val="005766FE"/>
    <w:rsid w:val="005769D1"/>
    <w:rsid w:val="005769EE"/>
    <w:rsid w:val="0057703D"/>
    <w:rsid w:val="005770AA"/>
    <w:rsid w:val="0057761B"/>
    <w:rsid w:val="00577661"/>
    <w:rsid w:val="00577795"/>
    <w:rsid w:val="005778ED"/>
    <w:rsid w:val="00577AA6"/>
    <w:rsid w:val="00577D49"/>
    <w:rsid w:val="00577F10"/>
    <w:rsid w:val="00578BE6"/>
    <w:rsid w:val="005802F3"/>
    <w:rsid w:val="005803B1"/>
    <w:rsid w:val="0058051A"/>
    <w:rsid w:val="00580654"/>
    <w:rsid w:val="005807ED"/>
    <w:rsid w:val="00580A66"/>
    <w:rsid w:val="00580C86"/>
    <w:rsid w:val="00580C9C"/>
    <w:rsid w:val="00580CF8"/>
    <w:rsid w:val="00580D1D"/>
    <w:rsid w:val="00580E76"/>
    <w:rsid w:val="00580F0E"/>
    <w:rsid w:val="00581175"/>
    <w:rsid w:val="005812D0"/>
    <w:rsid w:val="00581376"/>
    <w:rsid w:val="00581391"/>
    <w:rsid w:val="00581579"/>
    <w:rsid w:val="005816C9"/>
    <w:rsid w:val="005818E2"/>
    <w:rsid w:val="00581AE7"/>
    <w:rsid w:val="00581B31"/>
    <w:rsid w:val="00582144"/>
    <w:rsid w:val="0058219E"/>
    <w:rsid w:val="0058235C"/>
    <w:rsid w:val="00582847"/>
    <w:rsid w:val="0058299B"/>
    <w:rsid w:val="00582A64"/>
    <w:rsid w:val="00582E06"/>
    <w:rsid w:val="00582FA1"/>
    <w:rsid w:val="0058304A"/>
    <w:rsid w:val="00583187"/>
    <w:rsid w:val="0058371F"/>
    <w:rsid w:val="00583B02"/>
    <w:rsid w:val="00583C2D"/>
    <w:rsid w:val="00583D76"/>
    <w:rsid w:val="00583D94"/>
    <w:rsid w:val="00583E06"/>
    <w:rsid w:val="00583E88"/>
    <w:rsid w:val="0058403D"/>
    <w:rsid w:val="00584044"/>
    <w:rsid w:val="005840C9"/>
    <w:rsid w:val="0058415A"/>
    <w:rsid w:val="00584326"/>
    <w:rsid w:val="00584476"/>
    <w:rsid w:val="00584502"/>
    <w:rsid w:val="0058473E"/>
    <w:rsid w:val="00584802"/>
    <w:rsid w:val="005848B2"/>
    <w:rsid w:val="00584C70"/>
    <w:rsid w:val="00584E54"/>
    <w:rsid w:val="00584E76"/>
    <w:rsid w:val="00585034"/>
    <w:rsid w:val="0058507F"/>
    <w:rsid w:val="005850B6"/>
    <w:rsid w:val="005850DF"/>
    <w:rsid w:val="00585163"/>
    <w:rsid w:val="005852A4"/>
    <w:rsid w:val="00585318"/>
    <w:rsid w:val="00585861"/>
    <w:rsid w:val="005858B2"/>
    <w:rsid w:val="00585986"/>
    <w:rsid w:val="00585E3A"/>
    <w:rsid w:val="00585F7E"/>
    <w:rsid w:val="005863AB"/>
    <w:rsid w:val="00586646"/>
    <w:rsid w:val="0058666D"/>
    <w:rsid w:val="00586867"/>
    <w:rsid w:val="0058693C"/>
    <w:rsid w:val="005869FB"/>
    <w:rsid w:val="00586C8D"/>
    <w:rsid w:val="00586D85"/>
    <w:rsid w:val="005872AA"/>
    <w:rsid w:val="005872B0"/>
    <w:rsid w:val="005872DE"/>
    <w:rsid w:val="00587515"/>
    <w:rsid w:val="00587553"/>
    <w:rsid w:val="00587598"/>
    <w:rsid w:val="00587A2A"/>
    <w:rsid w:val="00587FC3"/>
    <w:rsid w:val="005900C1"/>
    <w:rsid w:val="005902A0"/>
    <w:rsid w:val="0059040A"/>
    <w:rsid w:val="00590608"/>
    <w:rsid w:val="005908FD"/>
    <w:rsid w:val="00590B91"/>
    <w:rsid w:val="0059119E"/>
    <w:rsid w:val="00591420"/>
    <w:rsid w:val="00591690"/>
    <w:rsid w:val="005916C4"/>
    <w:rsid w:val="0059174B"/>
    <w:rsid w:val="00591B1E"/>
    <w:rsid w:val="00591C95"/>
    <w:rsid w:val="00591CBE"/>
    <w:rsid w:val="00591D0F"/>
    <w:rsid w:val="00591E8C"/>
    <w:rsid w:val="00591F93"/>
    <w:rsid w:val="0059204C"/>
    <w:rsid w:val="00592088"/>
    <w:rsid w:val="005920F7"/>
    <w:rsid w:val="005921BF"/>
    <w:rsid w:val="005923AF"/>
    <w:rsid w:val="00592564"/>
    <w:rsid w:val="0059267D"/>
    <w:rsid w:val="00592A5E"/>
    <w:rsid w:val="00592DDE"/>
    <w:rsid w:val="00592F8F"/>
    <w:rsid w:val="00592FE1"/>
    <w:rsid w:val="005932BC"/>
    <w:rsid w:val="00593A46"/>
    <w:rsid w:val="00593C33"/>
    <w:rsid w:val="00593D6D"/>
    <w:rsid w:val="00593E84"/>
    <w:rsid w:val="005941DD"/>
    <w:rsid w:val="0059448A"/>
    <w:rsid w:val="00594AC8"/>
    <w:rsid w:val="00594B4B"/>
    <w:rsid w:val="00594F1E"/>
    <w:rsid w:val="00594F6C"/>
    <w:rsid w:val="00595B06"/>
    <w:rsid w:val="00595B0A"/>
    <w:rsid w:val="00595F49"/>
    <w:rsid w:val="00596556"/>
    <w:rsid w:val="00596599"/>
    <w:rsid w:val="005965C2"/>
    <w:rsid w:val="0059660B"/>
    <w:rsid w:val="0059685E"/>
    <w:rsid w:val="00596C92"/>
    <w:rsid w:val="00596CD1"/>
    <w:rsid w:val="00596DE3"/>
    <w:rsid w:val="005973C3"/>
    <w:rsid w:val="005978DA"/>
    <w:rsid w:val="005978E9"/>
    <w:rsid w:val="00597B83"/>
    <w:rsid w:val="00597F7C"/>
    <w:rsid w:val="005A037C"/>
    <w:rsid w:val="005A046D"/>
    <w:rsid w:val="005A05C7"/>
    <w:rsid w:val="005A0A39"/>
    <w:rsid w:val="005A1049"/>
    <w:rsid w:val="005A1207"/>
    <w:rsid w:val="005A1239"/>
    <w:rsid w:val="005A1334"/>
    <w:rsid w:val="005A138F"/>
    <w:rsid w:val="005A1562"/>
    <w:rsid w:val="005A15C5"/>
    <w:rsid w:val="005A1609"/>
    <w:rsid w:val="005A16D3"/>
    <w:rsid w:val="005A16F4"/>
    <w:rsid w:val="005A1BAD"/>
    <w:rsid w:val="005A1E76"/>
    <w:rsid w:val="005A1F4E"/>
    <w:rsid w:val="005A2042"/>
    <w:rsid w:val="005A2660"/>
    <w:rsid w:val="005A2823"/>
    <w:rsid w:val="005A2B26"/>
    <w:rsid w:val="005A2C4C"/>
    <w:rsid w:val="005A2F68"/>
    <w:rsid w:val="005A31D8"/>
    <w:rsid w:val="005A37A4"/>
    <w:rsid w:val="005A383E"/>
    <w:rsid w:val="005A3A92"/>
    <w:rsid w:val="005A3DAC"/>
    <w:rsid w:val="005A3DE9"/>
    <w:rsid w:val="005A3F59"/>
    <w:rsid w:val="005A4279"/>
    <w:rsid w:val="005A42BA"/>
    <w:rsid w:val="005A4A04"/>
    <w:rsid w:val="005A4BE5"/>
    <w:rsid w:val="005A4C1A"/>
    <w:rsid w:val="005A4D54"/>
    <w:rsid w:val="005A50B8"/>
    <w:rsid w:val="005A55D4"/>
    <w:rsid w:val="005A5630"/>
    <w:rsid w:val="005A56D6"/>
    <w:rsid w:val="005A5715"/>
    <w:rsid w:val="005A5717"/>
    <w:rsid w:val="005A5DA9"/>
    <w:rsid w:val="005A5F1B"/>
    <w:rsid w:val="005A6286"/>
    <w:rsid w:val="005A638B"/>
    <w:rsid w:val="005A64A4"/>
    <w:rsid w:val="005A66F3"/>
    <w:rsid w:val="005A6736"/>
    <w:rsid w:val="005A68C9"/>
    <w:rsid w:val="005A69B3"/>
    <w:rsid w:val="005A69D3"/>
    <w:rsid w:val="005A6D75"/>
    <w:rsid w:val="005A70B2"/>
    <w:rsid w:val="005A7191"/>
    <w:rsid w:val="005A7230"/>
    <w:rsid w:val="005A72AE"/>
    <w:rsid w:val="005A7A91"/>
    <w:rsid w:val="005A7C56"/>
    <w:rsid w:val="005A7E00"/>
    <w:rsid w:val="005A7F3A"/>
    <w:rsid w:val="005B0115"/>
    <w:rsid w:val="005B01F4"/>
    <w:rsid w:val="005B0235"/>
    <w:rsid w:val="005B03A9"/>
    <w:rsid w:val="005B0738"/>
    <w:rsid w:val="005B0B98"/>
    <w:rsid w:val="005B0BF9"/>
    <w:rsid w:val="005B0C76"/>
    <w:rsid w:val="005B10CB"/>
    <w:rsid w:val="005B1150"/>
    <w:rsid w:val="005B140C"/>
    <w:rsid w:val="005B1584"/>
    <w:rsid w:val="005B1703"/>
    <w:rsid w:val="005B1769"/>
    <w:rsid w:val="005B17D8"/>
    <w:rsid w:val="005B1867"/>
    <w:rsid w:val="005B1983"/>
    <w:rsid w:val="005B1AAD"/>
    <w:rsid w:val="005B1AAF"/>
    <w:rsid w:val="005B1CC5"/>
    <w:rsid w:val="005B229D"/>
    <w:rsid w:val="005B265C"/>
    <w:rsid w:val="005B28F3"/>
    <w:rsid w:val="005B2D75"/>
    <w:rsid w:val="005B317B"/>
    <w:rsid w:val="005B34D5"/>
    <w:rsid w:val="005B3572"/>
    <w:rsid w:val="005B35DC"/>
    <w:rsid w:val="005B37C5"/>
    <w:rsid w:val="005B3A35"/>
    <w:rsid w:val="005B3EC4"/>
    <w:rsid w:val="005B4189"/>
    <w:rsid w:val="005B427E"/>
    <w:rsid w:val="005B431D"/>
    <w:rsid w:val="005B48A9"/>
    <w:rsid w:val="005B49ED"/>
    <w:rsid w:val="005B4B45"/>
    <w:rsid w:val="005B4E84"/>
    <w:rsid w:val="005B4F16"/>
    <w:rsid w:val="005B5020"/>
    <w:rsid w:val="005B5321"/>
    <w:rsid w:val="005B54E9"/>
    <w:rsid w:val="005B5571"/>
    <w:rsid w:val="005B574E"/>
    <w:rsid w:val="005B5781"/>
    <w:rsid w:val="005B587A"/>
    <w:rsid w:val="005B5893"/>
    <w:rsid w:val="005B5A1D"/>
    <w:rsid w:val="005B5B5A"/>
    <w:rsid w:val="005B5C52"/>
    <w:rsid w:val="005B5E0B"/>
    <w:rsid w:val="005B5ECE"/>
    <w:rsid w:val="005B5EF8"/>
    <w:rsid w:val="005B659D"/>
    <w:rsid w:val="005B660D"/>
    <w:rsid w:val="005B672A"/>
    <w:rsid w:val="005B68A1"/>
    <w:rsid w:val="005B69D0"/>
    <w:rsid w:val="005B6A16"/>
    <w:rsid w:val="005B6B54"/>
    <w:rsid w:val="005B6BA3"/>
    <w:rsid w:val="005B6CE1"/>
    <w:rsid w:val="005B7463"/>
    <w:rsid w:val="005B75FC"/>
    <w:rsid w:val="005B7779"/>
    <w:rsid w:val="005B78E4"/>
    <w:rsid w:val="005B7A27"/>
    <w:rsid w:val="005B7C28"/>
    <w:rsid w:val="005B7EE7"/>
    <w:rsid w:val="005B7FDC"/>
    <w:rsid w:val="005C00F3"/>
    <w:rsid w:val="005C0351"/>
    <w:rsid w:val="005C04CE"/>
    <w:rsid w:val="005C05BA"/>
    <w:rsid w:val="005C0628"/>
    <w:rsid w:val="005C0751"/>
    <w:rsid w:val="005C0970"/>
    <w:rsid w:val="005C0A44"/>
    <w:rsid w:val="005C0A5F"/>
    <w:rsid w:val="005C0BC9"/>
    <w:rsid w:val="005C0E9F"/>
    <w:rsid w:val="005C10BD"/>
    <w:rsid w:val="005C16A4"/>
    <w:rsid w:val="005C1750"/>
    <w:rsid w:val="005C1828"/>
    <w:rsid w:val="005C1870"/>
    <w:rsid w:val="005C1BA8"/>
    <w:rsid w:val="005C1F2D"/>
    <w:rsid w:val="005C2109"/>
    <w:rsid w:val="005C2288"/>
    <w:rsid w:val="005C22E3"/>
    <w:rsid w:val="005C272E"/>
    <w:rsid w:val="005C2806"/>
    <w:rsid w:val="005C2995"/>
    <w:rsid w:val="005C3091"/>
    <w:rsid w:val="005C30BF"/>
    <w:rsid w:val="005C31B4"/>
    <w:rsid w:val="005C320B"/>
    <w:rsid w:val="005C36C3"/>
    <w:rsid w:val="005C370F"/>
    <w:rsid w:val="005C37AD"/>
    <w:rsid w:val="005C397B"/>
    <w:rsid w:val="005C3B67"/>
    <w:rsid w:val="005C3C2D"/>
    <w:rsid w:val="005C3F5F"/>
    <w:rsid w:val="005C3FF4"/>
    <w:rsid w:val="005C4004"/>
    <w:rsid w:val="005C40B2"/>
    <w:rsid w:val="005C40E2"/>
    <w:rsid w:val="005C44D6"/>
    <w:rsid w:val="005C48FF"/>
    <w:rsid w:val="005C49D4"/>
    <w:rsid w:val="005C4A99"/>
    <w:rsid w:val="005C4B3B"/>
    <w:rsid w:val="005C4D10"/>
    <w:rsid w:val="005C4EA3"/>
    <w:rsid w:val="005C4EA8"/>
    <w:rsid w:val="005C4EB1"/>
    <w:rsid w:val="005C50E5"/>
    <w:rsid w:val="005C51C3"/>
    <w:rsid w:val="005C5277"/>
    <w:rsid w:val="005C5686"/>
    <w:rsid w:val="005C56EE"/>
    <w:rsid w:val="005C57D2"/>
    <w:rsid w:val="005C57F1"/>
    <w:rsid w:val="005C59E5"/>
    <w:rsid w:val="005C6154"/>
    <w:rsid w:val="005C671D"/>
    <w:rsid w:val="005C6914"/>
    <w:rsid w:val="005C6997"/>
    <w:rsid w:val="005C6C06"/>
    <w:rsid w:val="005C6D05"/>
    <w:rsid w:val="005C6FB0"/>
    <w:rsid w:val="005C70E9"/>
    <w:rsid w:val="005C70EF"/>
    <w:rsid w:val="005C7202"/>
    <w:rsid w:val="005C7459"/>
    <w:rsid w:val="005C746B"/>
    <w:rsid w:val="005C775C"/>
    <w:rsid w:val="005C7B06"/>
    <w:rsid w:val="005C7BD7"/>
    <w:rsid w:val="005D013B"/>
    <w:rsid w:val="005D025C"/>
    <w:rsid w:val="005D028A"/>
    <w:rsid w:val="005D072B"/>
    <w:rsid w:val="005D0741"/>
    <w:rsid w:val="005D0753"/>
    <w:rsid w:val="005D0917"/>
    <w:rsid w:val="005D09B6"/>
    <w:rsid w:val="005D0DBB"/>
    <w:rsid w:val="005D0FC3"/>
    <w:rsid w:val="005D11B7"/>
    <w:rsid w:val="005D1210"/>
    <w:rsid w:val="005D1684"/>
    <w:rsid w:val="005D16F2"/>
    <w:rsid w:val="005D1934"/>
    <w:rsid w:val="005D1BEC"/>
    <w:rsid w:val="005D1DCB"/>
    <w:rsid w:val="005D1DF5"/>
    <w:rsid w:val="005D20DE"/>
    <w:rsid w:val="005D2259"/>
    <w:rsid w:val="005D22A2"/>
    <w:rsid w:val="005D2305"/>
    <w:rsid w:val="005D2394"/>
    <w:rsid w:val="005D247B"/>
    <w:rsid w:val="005D26CA"/>
    <w:rsid w:val="005D2D09"/>
    <w:rsid w:val="005D2D35"/>
    <w:rsid w:val="005D2E67"/>
    <w:rsid w:val="005D2F3A"/>
    <w:rsid w:val="005D326E"/>
    <w:rsid w:val="005D3445"/>
    <w:rsid w:val="005D344F"/>
    <w:rsid w:val="005D3847"/>
    <w:rsid w:val="005D42F2"/>
    <w:rsid w:val="005D4328"/>
    <w:rsid w:val="005D45E3"/>
    <w:rsid w:val="005D48D5"/>
    <w:rsid w:val="005D492B"/>
    <w:rsid w:val="005D4C32"/>
    <w:rsid w:val="005D4C49"/>
    <w:rsid w:val="005D4CC1"/>
    <w:rsid w:val="005D501E"/>
    <w:rsid w:val="005D50F8"/>
    <w:rsid w:val="005D51D2"/>
    <w:rsid w:val="005D5206"/>
    <w:rsid w:val="005D5239"/>
    <w:rsid w:val="005D5259"/>
    <w:rsid w:val="005D54E3"/>
    <w:rsid w:val="005D55ED"/>
    <w:rsid w:val="005D5902"/>
    <w:rsid w:val="005D593C"/>
    <w:rsid w:val="005D59BD"/>
    <w:rsid w:val="005D5AD5"/>
    <w:rsid w:val="005D5B84"/>
    <w:rsid w:val="005D5EAE"/>
    <w:rsid w:val="005D5F05"/>
    <w:rsid w:val="005D6094"/>
    <w:rsid w:val="005D6142"/>
    <w:rsid w:val="005D630D"/>
    <w:rsid w:val="005D6324"/>
    <w:rsid w:val="005D63F4"/>
    <w:rsid w:val="005D64A9"/>
    <w:rsid w:val="005D6723"/>
    <w:rsid w:val="005D674A"/>
    <w:rsid w:val="005D6836"/>
    <w:rsid w:val="005D6F75"/>
    <w:rsid w:val="005D7270"/>
    <w:rsid w:val="005D736D"/>
    <w:rsid w:val="005D7388"/>
    <w:rsid w:val="005D74AB"/>
    <w:rsid w:val="005D757A"/>
    <w:rsid w:val="005D7D07"/>
    <w:rsid w:val="005D7E2C"/>
    <w:rsid w:val="005E03AD"/>
    <w:rsid w:val="005E04C5"/>
    <w:rsid w:val="005E055A"/>
    <w:rsid w:val="005E0C79"/>
    <w:rsid w:val="005E0E0F"/>
    <w:rsid w:val="005E117E"/>
    <w:rsid w:val="005E1406"/>
    <w:rsid w:val="005E1409"/>
    <w:rsid w:val="005E169C"/>
    <w:rsid w:val="005E17D4"/>
    <w:rsid w:val="005E17E9"/>
    <w:rsid w:val="005E1932"/>
    <w:rsid w:val="005E1AE0"/>
    <w:rsid w:val="005E1D94"/>
    <w:rsid w:val="005E1F5E"/>
    <w:rsid w:val="005E2164"/>
    <w:rsid w:val="005E2291"/>
    <w:rsid w:val="005E22EF"/>
    <w:rsid w:val="005E2B1E"/>
    <w:rsid w:val="005E2D2F"/>
    <w:rsid w:val="005E2DC7"/>
    <w:rsid w:val="005E2E08"/>
    <w:rsid w:val="005E2EEB"/>
    <w:rsid w:val="005E2F84"/>
    <w:rsid w:val="005E3282"/>
    <w:rsid w:val="005E35C7"/>
    <w:rsid w:val="005E3651"/>
    <w:rsid w:val="005E36C4"/>
    <w:rsid w:val="005E36F4"/>
    <w:rsid w:val="005E37B3"/>
    <w:rsid w:val="005E38D6"/>
    <w:rsid w:val="005E3B24"/>
    <w:rsid w:val="005E3B60"/>
    <w:rsid w:val="005E3C77"/>
    <w:rsid w:val="005E3E69"/>
    <w:rsid w:val="005E3EAC"/>
    <w:rsid w:val="005E4048"/>
    <w:rsid w:val="005E40B8"/>
    <w:rsid w:val="005E42B4"/>
    <w:rsid w:val="005E4387"/>
    <w:rsid w:val="005E47D5"/>
    <w:rsid w:val="005E4B44"/>
    <w:rsid w:val="005E4C30"/>
    <w:rsid w:val="005E4C3D"/>
    <w:rsid w:val="005E4C94"/>
    <w:rsid w:val="005E4E60"/>
    <w:rsid w:val="005E4F9D"/>
    <w:rsid w:val="005E5018"/>
    <w:rsid w:val="005E5067"/>
    <w:rsid w:val="005E51D7"/>
    <w:rsid w:val="005E521D"/>
    <w:rsid w:val="005E5298"/>
    <w:rsid w:val="005E55C1"/>
    <w:rsid w:val="005E57CE"/>
    <w:rsid w:val="005E59DC"/>
    <w:rsid w:val="005E5D59"/>
    <w:rsid w:val="005E5FE0"/>
    <w:rsid w:val="005E61AC"/>
    <w:rsid w:val="005E6267"/>
    <w:rsid w:val="005E6722"/>
    <w:rsid w:val="005E6A5C"/>
    <w:rsid w:val="005E6AAA"/>
    <w:rsid w:val="005E6B31"/>
    <w:rsid w:val="005E6CF3"/>
    <w:rsid w:val="005E720F"/>
    <w:rsid w:val="005E7338"/>
    <w:rsid w:val="005E736F"/>
    <w:rsid w:val="005E74C8"/>
    <w:rsid w:val="005E75C7"/>
    <w:rsid w:val="005E7952"/>
    <w:rsid w:val="005E7A9C"/>
    <w:rsid w:val="005E7B6C"/>
    <w:rsid w:val="005E7DA3"/>
    <w:rsid w:val="005F0105"/>
    <w:rsid w:val="005F0147"/>
    <w:rsid w:val="005F02E5"/>
    <w:rsid w:val="005F0E3C"/>
    <w:rsid w:val="005F0F65"/>
    <w:rsid w:val="005F1185"/>
    <w:rsid w:val="005F142F"/>
    <w:rsid w:val="005F19C5"/>
    <w:rsid w:val="005F1A5F"/>
    <w:rsid w:val="005F1C14"/>
    <w:rsid w:val="005F1CE9"/>
    <w:rsid w:val="005F21BD"/>
    <w:rsid w:val="005F227B"/>
    <w:rsid w:val="005F22EA"/>
    <w:rsid w:val="005F240D"/>
    <w:rsid w:val="005F24ED"/>
    <w:rsid w:val="005F252A"/>
    <w:rsid w:val="005F267A"/>
    <w:rsid w:val="005F26E6"/>
    <w:rsid w:val="005F2713"/>
    <w:rsid w:val="005F2806"/>
    <w:rsid w:val="005F2B1C"/>
    <w:rsid w:val="005F2EFC"/>
    <w:rsid w:val="005F3166"/>
    <w:rsid w:val="005F3535"/>
    <w:rsid w:val="005F3844"/>
    <w:rsid w:val="005F3A55"/>
    <w:rsid w:val="005F3A92"/>
    <w:rsid w:val="005F3AEA"/>
    <w:rsid w:val="005F3BAD"/>
    <w:rsid w:val="005F3BE8"/>
    <w:rsid w:val="005F3F63"/>
    <w:rsid w:val="005F3F87"/>
    <w:rsid w:val="005F419F"/>
    <w:rsid w:val="005F4208"/>
    <w:rsid w:val="005F42AD"/>
    <w:rsid w:val="005F45C0"/>
    <w:rsid w:val="005F469A"/>
    <w:rsid w:val="005F46F5"/>
    <w:rsid w:val="005F4863"/>
    <w:rsid w:val="005F4A19"/>
    <w:rsid w:val="005F4CC5"/>
    <w:rsid w:val="005F4E9C"/>
    <w:rsid w:val="005F530C"/>
    <w:rsid w:val="005F5595"/>
    <w:rsid w:val="005F56E4"/>
    <w:rsid w:val="005F5A5A"/>
    <w:rsid w:val="005F5A6F"/>
    <w:rsid w:val="005F5B2D"/>
    <w:rsid w:val="005F5B81"/>
    <w:rsid w:val="005F5E26"/>
    <w:rsid w:val="005F5EA8"/>
    <w:rsid w:val="005F63E0"/>
    <w:rsid w:val="005F6463"/>
    <w:rsid w:val="005F65D7"/>
    <w:rsid w:val="005F68C8"/>
    <w:rsid w:val="005F6DE1"/>
    <w:rsid w:val="005F759B"/>
    <w:rsid w:val="005F7615"/>
    <w:rsid w:val="005F7A83"/>
    <w:rsid w:val="005F7BC2"/>
    <w:rsid w:val="005F7F06"/>
    <w:rsid w:val="005F7F96"/>
    <w:rsid w:val="005F90DB"/>
    <w:rsid w:val="005FABD7"/>
    <w:rsid w:val="00600199"/>
    <w:rsid w:val="006001D8"/>
    <w:rsid w:val="00600222"/>
    <w:rsid w:val="006005CE"/>
    <w:rsid w:val="0060076C"/>
    <w:rsid w:val="006008C5"/>
    <w:rsid w:val="006009CA"/>
    <w:rsid w:val="00600B5E"/>
    <w:rsid w:val="00600BCE"/>
    <w:rsid w:val="0060120D"/>
    <w:rsid w:val="006014A9"/>
    <w:rsid w:val="00601659"/>
    <w:rsid w:val="006017D4"/>
    <w:rsid w:val="0060197F"/>
    <w:rsid w:val="00601AA2"/>
    <w:rsid w:val="00601AC3"/>
    <w:rsid w:val="00601CFE"/>
    <w:rsid w:val="00601D1A"/>
    <w:rsid w:val="00601DF1"/>
    <w:rsid w:val="00601F3A"/>
    <w:rsid w:val="006021EF"/>
    <w:rsid w:val="006022B4"/>
    <w:rsid w:val="0060264E"/>
    <w:rsid w:val="00602A42"/>
    <w:rsid w:val="00602AE5"/>
    <w:rsid w:val="00602C9C"/>
    <w:rsid w:val="00602EC2"/>
    <w:rsid w:val="00602FDF"/>
    <w:rsid w:val="006030C1"/>
    <w:rsid w:val="006032A5"/>
    <w:rsid w:val="00603713"/>
    <w:rsid w:val="00603DA2"/>
    <w:rsid w:val="00603DE9"/>
    <w:rsid w:val="006040B7"/>
    <w:rsid w:val="006041A8"/>
    <w:rsid w:val="00604360"/>
    <w:rsid w:val="00604503"/>
    <w:rsid w:val="00604525"/>
    <w:rsid w:val="006045A1"/>
    <w:rsid w:val="0060476D"/>
    <w:rsid w:val="006047EB"/>
    <w:rsid w:val="00604B45"/>
    <w:rsid w:val="00604CE8"/>
    <w:rsid w:val="00605052"/>
    <w:rsid w:val="0060516A"/>
    <w:rsid w:val="006052F5"/>
    <w:rsid w:val="006055ED"/>
    <w:rsid w:val="00605724"/>
    <w:rsid w:val="0060572C"/>
    <w:rsid w:val="006059A6"/>
    <w:rsid w:val="00605A7E"/>
    <w:rsid w:val="00605B02"/>
    <w:rsid w:val="00605E9D"/>
    <w:rsid w:val="006061BF"/>
    <w:rsid w:val="006067D2"/>
    <w:rsid w:val="00606A0F"/>
    <w:rsid w:val="00606A44"/>
    <w:rsid w:val="00606A6D"/>
    <w:rsid w:val="00606CA7"/>
    <w:rsid w:val="00606E7D"/>
    <w:rsid w:val="006070C9"/>
    <w:rsid w:val="00607121"/>
    <w:rsid w:val="006071F7"/>
    <w:rsid w:val="006075C8"/>
    <w:rsid w:val="006076E3"/>
    <w:rsid w:val="006077D7"/>
    <w:rsid w:val="0060786B"/>
    <w:rsid w:val="006078A4"/>
    <w:rsid w:val="0060798A"/>
    <w:rsid w:val="00607A7A"/>
    <w:rsid w:val="00607C0F"/>
    <w:rsid w:val="00607CA1"/>
    <w:rsid w:val="00607D73"/>
    <w:rsid w:val="00607E09"/>
    <w:rsid w:val="00607F87"/>
    <w:rsid w:val="00610230"/>
    <w:rsid w:val="00610897"/>
    <w:rsid w:val="006108C5"/>
    <w:rsid w:val="00610918"/>
    <w:rsid w:val="00610AAE"/>
    <w:rsid w:val="00610FAC"/>
    <w:rsid w:val="00610FB7"/>
    <w:rsid w:val="00611123"/>
    <w:rsid w:val="006113BD"/>
    <w:rsid w:val="0061144A"/>
    <w:rsid w:val="00611483"/>
    <w:rsid w:val="00611686"/>
    <w:rsid w:val="00611775"/>
    <w:rsid w:val="006117BA"/>
    <w:rsid w:val="00611A43"/>
    <w:rsid w:val="00611C20"/>
    <w:rsid w:val="00611CEA"/>
    <w:rsid w:val="00611F01"/>
    <w:rsid w:val="00611FC5"/>
    <w:rsid w:val="0061201A"/>
    <w:rsid w:val="0061214C"/>
    <w:rsid w:val="00612255"/>
    <w:rsid w:val="0061237F"/>
    <w:rsid w:val="00612397"/>
    <w:rsid w:val="00612430"/>
    <w:rsid w:val="00612528"/>
    <w:rsid w:val="00612628"/>
    <w:rsid w:val="00612954"/>
    <w:rsid w:val="00613026"/>
    <w:rsid w:val="00613383"/>
    <w:rsid w:val="006133F4"/>
    <w:rsid w:val="00613B6C"/>
    <w:rsid w:val="006141B0"/>
    <w:rsid w:val="0061434F"/>
    <w:rsid w:val="00614501"/>
    <w:rsid w:val="0061484D"/>
    <w:rsid w:val="006148A7"/>
    <w:rsid w:val="00614A94"/>
    <w:rsid w:val="00614CEF"/>
    <w:rsid w:val="00614CF5"/>
    <w:rsid w:val="00614EBB"/>
    <w:rsid w:val="00615042"/>
    <w:rsid w:val="00615315"/>
    <w:rsid w:val="00615363"/>
    <w:rsid w:val="006156EC"/>
    <w:rsid w:val="00615800"/>
    <w:rsid w:val="006158F2"/>
    <w:rsid w:val="00615914"/>
    <w:rsid w:val="006159A8"/>
    <w:rsid w:val="00615CF3"/>
    <w:rsid w:val="00615CF4"/>
    <w:rsid w:val="00616214"/>
    <w:rsid w:val="00616500"/>
    <w:rsid w:val="00616567"/>
    <w:rsid w:val="00616AFE"/>
    <w:rsid w:val="00617138"/>
    <w:rsid w:val="006171BC"/>
    <w:rsid w:val="00617472"/>
    <w:rsid w:val="006175B8"/>
    <w:rsid w:val="006175CD"/>
    <w:rsid w:val="00617643"/>
    <w:rsid w:val="00617CA5"/>
    <w:rsid w:val="00617D30"/>
    <w:rsid w:val="00617DDE"/>
    <w:rsid w:val="00617F27"/>
    <w:rsid w:val="00617FBE"/>
    <w:rsid w:val="006200C2"/>
    <w:rsid w:val="006206B4"/>
    <w:rsid w:val="00620862"/>
    <w:rsid w:val="006209D5"/>
    <w:rsid w:val="00620B94"/>
    <w:rsid w:val="00620BD0"/>
    <w:rsid w:val="00620C08"/>
    <w:rsid w:val="00620DC3"/>
    <w:rsid w:val="00620DDD"/>
    <w:rsid w:val="00620E2A"/>
    <w:rsid w:val="00620F82"/>
    <w:rsid w:val="0062130D"/>
    <w:rsid w:val="00621323"/>
    <w:rsid w:val="006213FC"/>
    <w:rsid w:val="00621674"/>
    <w:rsid w:val="00621736"/>
    <w:rsid w:val="00621867"/>
    <w:rsid w:val="006219F6"/>
    <w:rsid w:val="00621CF9"/>
    <w:rsid w:val="00621EF4"/>
    <w:rsid w:val="00621FA8"/>
    <w:rsid w:val="0062203F"/>
    <w:rsid w:val="006220FF"/>
    <w:rsid w:val="006223C1"/>
    <w:rsid w:val="0062255C"/>
    <w:rsid w:val="006227F6"/>
    <w:rsid w:val="006228A0"/>
    <w:rsid w:val="00622BCB"/>
    <w:rsid w:val="00622DC8"/>
    <w:rsid w:val="00622F3D"/>
    <w:rsid w:val="0062349E"/>
    <w:rsid w:val="0062380B"/>
    <w:rsid w:val="00623AB2"/>
    <w:rsid w:val="00623AF6"/>
    <w:rsid w:val="00623B30"/>
    <w:rsid w:val="00623CA6"/>
    <w:rsid w:val="00623CD3"/>
    <w:rsid w:val="00623F92"/>
    <w:rsid w:val="006241DD"/>
    <w:rsid w:val="0062420C"/>
    <w:rsid w:val="0062433D"/>
    <w:rsid w:val="006243BF"/>
    <w:rsid w:val="006243FF"/>
    <w:rsid w:val="006245A0"/>
    <w:rsid w:val="0062478C"/>
    <w:rsid w:val="00624843"/>
    <w:rsid w:val="0062486E"/>
    <w:rsid w:val="006249A1"/>
    <w:rsid w:val="00624AEA"/>
    <w:rsid w:val="00624CFB"/>
    <w:rsid w:val="00625223"/>
    <w:rsid w:val="0062592D"/>
    <w:rsid w:val="006259E0"/>
    <w:rsid w:val="00625B34"/>
    <w:rsid w:val="00625B97"/>
    <w:rsid w:val="00625D15"/>
    <w:rsid w:val="00625D46"/>
    <w:rsid w:val="00625E59"/>
    <w:rsid w:val="00625F76"/>
    <w:rsid w:val="00626348"/>
    <w:rsid w:val="00626433"/>
    <w:rsid w:val="006264B8"/>
    <w:rsid w:val="00626B0A"/>
    <w:rsid w:val="00626B8E"/>
    <w:rsid w:val="00627163"/>
    <w:rsid w:val="006272F0"/>
    <w:rsid w:val="00627728"/>
    <w:rsid w:val="00627AC7"/>
    <w:rsid w:val="00627CB8"/>
    <w:rsid w:val="00627D58"/>
    <w:rsid w:val="00627F63"/>
    <w:rsid w:val="00630305"/>
    <w:rsid w:val="0063080B"/>
    <w:rsid w:val="00630974"/>
    <w:rsid w:val="00630B11"/>
    <w:rsid w:val="00631180"/>
    <w:rsid w:val="0063131F"/>
    <w:rsid w:val="00631528"/>
    <w:rsid w:val="006316A4"/>
    <w:rsid w:val="00631782"/>
    <w:rsid w:val="00631819"/>
    <w:rsid w:val="00631A09"/>
    <w:rsid w:val="00631AFA"/>
    <w:rsid w:val="00631CDA"/>
    <w:rsid w:val="00631D00"/>
    <w:rsid w:val="00631D87"/>
    <w:rsid w:val="0063203B"/>
    <w:rsid w:val="00632080"/>
    <w:rsid w:val="006324DB"/>
    <w:rsid w:val="006327A0"/>
    <w:rsid w:val="00632820"/>
    <w:rsid w:val="00632BAD"/>
    <w:rsid w:val="00632C45"/>
    <w:rsid w:val="00632C71"/>
    <w:rsid w:val="00632CFB"/>
    <w:rsid w:val="00632F4D"/>
    <w:rsid w:val="006333A6"/>
    <w:rsid w:val="00633864"/>
    <w:rsid w:val="00633A65"/>
    <w:rsid w:val="00633C4D"/>
    <w:rsid w:val="00634182"/>
    <w:rsid w:val="00634188"/>
    <w:rsid w:val="006342AA"/>
    <w:rsid w:val="006343F0"/>
    <w:rsid w:val="006346D7"/>
    <w:rsid w:val="00634BD0"/>
    <w:rsid w:val="00634BF1"/>
    <w:rsid w:val="00634D52"/>
    <w:rsid w:val="00634DDB"/>
    <w:rsid w:val="00635044"/>
    <w:rsid w:val="006350EB"/>
    <w:rsid w:val="006351BD"/>
    <w:rsid w:val="0063535E"/>
    <w:rsid w:val="0063541C"/>
    <w:rsid w:val="00635438"/>
    <w:rsid w:val="0063548D"/>
    <w:rsid w:val="00635739"/>
    <w:rsid w:val="00635990"/>
    <w:rsid w:val="006359D7"/>
    <w:rsid w:val="00635B8F"/>
    <w:rsid w:val="00635BDC"/>
    <w:rsid w:val="00635DA6"/>
    <w:rsid w:val="00635DE4"/>
    <w:rsid w:val="00635DFE"/>
    <w:rsid w:val="00635F02"/>
    <w:rsid w:val="0063635F"/>
    <w:rsid w:val="0063641B"/>
    <w:rsid w:val="00636835"/>
    <w:rsid w:val="00636A20"/>
    <w:rsid w:val="00636AB9"/>
    <w:rsid w:val="00637017"/>
    <w:rsid w:val="00637220"/>
    <w:rsid w:val="00637323"/>
    <w:rsid w:val="006373C7"/>
    <w:rsid w:val="00637588"/>
    <w:rsid w:val="006379CF"/>
    <w:rsid w:val="00637D81"/>
    <w:rsid w:val="0064019A"/>
    <w:rsid w:val="006401D9"/>
    <w:rsid w:val="006401E2"/>
    <w:rsid w:val="006401EC"/>
    <w:rsid w:val="00640384"/>
    <w:rsid w:val="006403DA"/>
    <w:rsid w:val="00640590"/>
    <w:rsid w:val="006405EC"/>
    <w:rsid w:val="00640F58"/>
    <w:rsid w:val="00640FA0"/>
    <w:rsid w:val="0064124B"/>
    <w:rsid w:val="00641431"/>
    <w:rsid w:val="00641699"/>
    <w:rsid w:val="00641873"/>
    <w:rsid w:val="00641A0E"/>
    <w:rsid w:val="00641AC6"/>
    <w:rsid w:val="00641D07"/>
    <w:rsid w:val="00641D7A"/>
    <w:rsid w:val="00641E3B"/>
    <w:rsid w:val="00641E5C"/>
    <w:rsid w:val="00641F10"/>
    <w:rsid w:val="0064239B"/>
    <w:rsid w:val="00642489"/>
    <w:rsid w:val="006424E5"/>
    <w:rsid w:val="006426BA"/>
    <w:rsid w:val="006428FF"/>
    <w:rsid w:val="00642A64"/>
    <w:rsid w:val="00642AFD"/>
    <w:rsid w:val="00642BA8"/>
    <w:rsid w:val="00642BED"/>
    <w:rsid w:val="00642CCA"/>
    <w:rsid w:val="00642FC9"/>
    <w:rsid w:val="00643338"/>
    <w:rsid w:val="006435BD"/>
    <w:rsid w:val="00643733"/>
    <w:rsid w:val="00643B26"/>
    <w:rsid w:val="00643B73"/>
    <w:rsid w:val="00643D1D"/>
    <w:rsid w:val="00643E9F"/>
    <w:rsid w:val="00643FF4"/>
    <w:rsid w:val="006441A8"/>
    <w:rsid w:val="006443D4"/>
    <w:rsid w:val="006443E0"/>
    <w:rsid w:val="006443E6"/>
    <w:rsid w:val="0064445D"/>
    <w:rsid w:val="006444B3"/>
    <w:rsid w:val="0064463C"/>
    <w:rsid w:val="00644692"/>
    <w:rsid w:val="0064471C"/>
    <w:rsid w:val="006447A0"/>
    <w:rsid w:val="006448D7"/>
    <w:rsid w:val="0064496C"/>
    <w:rsid w:val="00644BBB"/>
    <w:rsid w:val="0064520B"/>
    <w:rsid w:val="00645259"/>
    <w:rsid w:val="006455C7"/>
    <w:rsid w:val="00645A19"/>
    <w:rsid w:val="00645A7C"/>
    <w:rsid w:val="00645D00"/>
    <w:rsid w:val="00645F7C"/>
    <w:rsid w:val="006461BF"/>
    <w:rsid w:val="00646265"/>
    <w:rsid w:val="00646283"/>
    <w:rsid w:val="006465CA"/>
    <w:rsid w:val="0064670E"/>
    <w:rsid w:val="00646A0C"/>
    <w:rsid w:val="00646A98"/>
    <w:rsid w:val="00646C0C"/>
    <w:rsid w:val="00646C87"/>
    <w:rsid w:val="00646ECF"/>
    <w:rsid w:val="00647085"/>
    <w:rsid w:val="0064714B"/>
    <w:rsid w:val="0064792B"/>
    <w:rsid w:val="006479DF"/>
    <w:rsid w:val="00647AEF"/>
    <w:rsid w:val="00647BBB"/>
    <w:rsid w:val="00647D4D"/>
    <w:rsid w:val="00650030"/>
    <w:rsid w:val="0065013A"/>
    <w:rsid w:val="00650148"/>
    <w:rsid w:val="006501C0"/>
    <w:rsid w:val="006504D9"/>
    <w:rsid w:val="0065053C"/>
    <w:rsid w:val="00650556"/>
    <w:rsid w:val="00650779"/>
    <w:rsid w:val="00650803"/>
    <w:rsid w:val="006509F9"/>
    <w:rsid w:val="00650EB4"/>
    <w:rsid w:val="00650EC1"/>
    <w:rsid w:val="00650F50"/>
    <w:rsid w:val="0065112F"/>
    <w:rsid w:val="00651185"/>
    <w:rsid w:val="006511E4"/>
    <w:rsid w:val="006513FA"/>
    <w:rsid w:val="00651816"/>
    <w:rsid w:val="00651852"/>
    <w:rsid w:val="00651B21"/>
    <w:rsid w:val="00651B6D"/>
    <w:rsid w:val="00651B78"/>
    <w:rsid w:val="00652202"/>
    <w:rsid w:val="00652483"/>
    <w:rsid w:val="006527FB"/>
    <w:rsid w:val="00652960"/>
    <w:rsid w:val="00652B87"/>
    <w:rsid w:val="00652C71"/>
    <w:rsid w:val="00652D0E"/>
    <w:rsid w:val="00652FB2"/>
    <w:rsid w:val="00652FB6"/>
    <w:rsid w:val="00653086"/>
    <w:rsid w:val="00653204"/>
    <w:rsid w:val="00653220"/>
    <w:rsid w:val="0065346D"/>
    <w:rsid w:val="00653528"/>
    <w:rsid w:val="006535BD"/>
    <w:rsid w:val="0065385F"/>
    <w:rsid w:val="00653ADE"/>
    <w:rsid w:val="00653B82"/>
    <w:rsid w:val="00653C22"/>
    <w:rsid w:val="00653C2B"/>
    <w:rsid w:val="00653F3B"/>
    <w:rsid w:val="006541AD"/>
    <w:rsid w:val="00654340"/>
    <w:rsid w:val="00654540"/>
    <w:rsid w:val="006545F8"/>
    <w:rsid w:val="006546F2"/>
    <w:rsid w:val="0065470D"/>
    <w:rsid w:val="00654A6C"/>
    <w:rsid w:val="00654AE2"/>
    <w:rsid w:val="00654C1F"/>
    <w:rsid w:val="00654D6D"/>
    <w:rsid w:val="00655022"/>
    <w:rsid w:val="00655131"/>
    <w:rsid w:val="006551FA"/>
    <w:rsid w:val="006556B5"/>
    <w:rsid w:val="006556EF"/>
    <w:rsid w:val="00655969"/>
    <w:rsid w:val="00655993"/>
    <w:rsid w:val="00655996"/>
    <w:rsid w:val="00655BCB"/>
    <w:rsid w:val="00655EA4"/>
    <w:rsid w:val="00655F44"/>
    <w:rsid w:val="0065607D"/>
    <w:rsid w:val="006561AB"/>
    <w:rsid w:val="006561D8"/>
    <w:rsid w:val="00656304"/>
    <w:rsid w:val="006564E8"/>
    <w:rsid w:val="00656676"/>
    <w:rsid w:val="00656756"/>
    <w:rsid w:val="00656883"/>
    <w:rsid w:val="0065697E"/>
    <w:rsid w:val="00656999"/>
    <w:rsid w:val="00656CCC"/>
    <w:rsid w:val="0065711F"/>
    <w:rsid w:val="00657317"/>
    <w:rsid w:val="006578D5"/>
    <w:rsid w:val="00657B09"/>
    <w:rsid w:val="00657D3B"/>
    <w:rsid w:val="00657F09"/>
    <w:rsid w:val="00657F3E"/>
    <w:rsid w:val="0066003A"/>
    <w:rsid w:val="0066007E"/>
    <w:rsid w:val="00660086"/>
    <w:rsid w:val="0066013C"/>
    <w:rsid w:val="00660259"/>
    <w:rsid w:val="006605A0"/>
    <w:rsid w:val="006605ED"/>
    <w:rsid w:val="00660796"/>
    <w:rsid w:val="00660A9D"/>
    <w:rsid w:val="006610FA"/>
    <w:rsid w:val="00661372"/>
    <w:rsid w:val="00661392"/>
    <w:rsid w:val="0066145B"/>
    <w:rsid w:val="00661849"/>
    <w:rsid w:val="006618B8"/>
    <w:rsid w:val="006618D8"/>
    <w:rsid w:val="00661D1A"/>
    <w:rsid w:val="00661E85"/>
    <w:rsid w:val="00661F76"/>
    <w:rsid w:val="006620C8"/>
    <w:rsid w:val="0066211C"/>
    <w:rsid w:val="00662237"/>
    <w:rsid w:val="00662B9A"/>
    <w:rsid w:val="00662C3D"/>
    <w:rsid w:val="00662E1E"/>
    <w:rsid w:val="00662E20"/>
    <w:rsid w:val="00662F62"/>
    <w:rsid w:val="00663008"/>
    <w:rsid w:val="006630E4"/>
    <w:rsid w:val="00663172"/>
    <w:rsid w:val="006634AA"/>
    <w:rsid w:val="00663605"/>
    <w:rsid w:val="00663774"/>
    <w:rsid w:val="006637CB"/>
    <w:rsid w:val="0066393B"/>
    <w:rsid w:val="00663A03"/>
    <w:rsid w:val="00663C5A"/>
    <w:rsid w:val="00663E43"/>
    <w:rsid w:val="00663FD0"/>
    <w:rsid w:val="00663FFE"/>
    <w:rsid w:val="006643F3"/>
    <w:rsid w:val="00664528"/>
    <w:rsid w:val="00664541"/>
    <w:rsid w:val="0066463E"/>
    <w:rsid w:val="00664705"/>
    <w:rsid w:val="00664849"/>
    <w:rsid w:val="00664859"/>
    <w:rsid w:val="00664BFE"/>
    <w:rsid w:val="00664CFA"/>
    <w:rsid w:val="00664D95"/>
    <w:rsid w:val="006650F9"/>
    <w:rsid w:val="00665111"/>
    <w:rsid w:val="00665285"/>
    <w:rsid w:val="0066528D"/>
    <w:rsid w:val="0066594B"/>
    <w:rsid w:val="00665995"/>
    <w:rsid w:val="00665A13"/>
    <w:rsid w:val="00665BE2"/>
    <w:rsid w:val="00665D43"/>
    <w:rsid w:val="0066630D"/>
    <w:rsid w:val="00666324"/>
    <w:rsid w:val="0066659D"/>
    <w:rsid w:val="006665B3"/>
    <w:rsid w:val="006666CD"/>
    <w:rsid w:val="00666833"/>
    <w:rsid w:val="00666CF4"/>
    <w:rsid w:val="00666E6B"/>
    <w:rsid w:val="00667296"/>
    <w:rsid w:val="00667444"/>
    <w:rsid w:val="006676A6"/>
    <w:rsid w:val="0066773A"/>
    <w:rsid w:val="00667916"/>
    <w:rsid w:val="00667925"/>
    <w:rsid w:val="00667C2E"/>
    <w:rsid w:val="00667EFC"/>
    <w:rsid w:val="00667FB7"/>
    <w:rsid w:val="00669F78"/>
    <w:rsid w:val="0066E91F"/>
    <w:rsid w:val="00670029"/>
    <w:rsid w:val="006703B3"/>
    <w:rsid w:val="0067057A"/>
    <w:rsid w:val="0067079D"/>
    <w:rsid w:val="00670AB7"/>
    <w:rsid w:val="00670BF0"/>
    <w:rsid w:val="00670CEF"/>
    <w:rsid w:val="00670D72"/>
    <w:rsid w:val="00670DF4"/>
    <w:rsid w:val="00670F94"/>
    <w:rsid w:val="006710A5"/>
    <w:rsid w:val="006714BE"/>
    <w:rsid w:val="0067154F"/>
    <w:rsid w:val="00671658"/>
    <w:rsid w:val="00671670"/>
    <w:rsid w:val="006716F5"/>
    <w:rsid w:val="00671B91"/>
    <w:rsid w:val="00671CAA"/>
    <w:rsid w:val="00671DD3"/>
    <w:rsid w:val="00672315"/>
    <w:rsid w:val="006723FD"/>
    <w:rsid w:val="0067253A"/>
    <w:rsid w:val="00672657"/>
    <w:rsid w:val="006729D6"/>
    <w:rsid w:val="00672AB8"/>
    <w:rsid w:val="00672D95"/>
    <w:rsid w:val="00672E7A"/>
    <w:rsid w:val="006732BC"/>
    <w:rsid w:val="00673440"/>
    <w:rsid w:val="006737BE"/>
    <w:rsid w:val="0067383C"/>
    <w:rsid w:val="0067397C"/>
    <w:rsid w:val="00673BD9"/>
    <w:rsid w:val="00673BE2"/>
    <w:rsid w:val="00673C62"/>
    <w:rsid w:val="00673D95"/>
    <w:rsid w:val="00673DFC"/>
    <w:rsid w:val="00673E80"/>
    <w:rsid w:val="00673E87"/>
    <w:rsid w:val="00673F27"/>
    <w:rsid w:val="00673F38"/>
    <w:rsid w:val="00673F6D"/>
    <w:rsid w:val="00674215"/>
    <w:rsid w:val="006744CF"/>
    <w:rsid w:val="00674567"/>
    <w:rsid w:val="0067475A"/>
    <w:rsid w:val="00674941"/>
    <w:rsid w:val="006749A5"/>
    <w:rsid w:val="00674C39"/>
    <w:rsid w:val="00674CBE"/>
    <w:rsid w:val="00674F85"/>
    <w:rsid w:val="006751B5"/>
    <w:rsid w:val="006755F0"/>
    <w:rsid w:val="006756CB"/>
    <w:rsid w:val="00675AA8"/>
    <w:rsid w:val="00675B4A"/>
    <w:rsid w:val="00675E25"/>
    <w:rsid w:val="00675FBE"/>
    <w:rsid w:val="0067660D"/>
    <w:rsid w:val="0067668F"/>
    <w:rsid w:val="006767E6"/>
    <w:rsid w:val="00676980"/>
    <w:rsid w:val="00676D85"/>
    <w:rsid w:val="00676DBC"/>
    <w:rsid w:val="00676E28"/>
    <w:rsid w:val="006770E8"/>
    <w:rsid w:val="00677264"/>
    <w:rsid w:val="006774EC"/>
    <w:rsid w:val="00677580"/>
    <w:rsid w:val="006778E3"/>
    <w:rsid w:val="00677922"/>
    <w:rsid w:val="00677CFD"/>
    <w:rsid w:val="0067E459"/>
    <w:rsid w:val="0068019E"/>
    <w:rsid w:val="00680476"/>
    <w:rsid w:val="00680719"/>
    <w:rsid w:val="00680875"/>
    <w:rsid w:val="00680880"/>
    <w:rsid w:val="00680D7F"/>
    <w:rsid w:val="00680E86"/>
    <w:rsid w:val="00680EF2"/>
    <w:rsid w:val="00681003"/>
    <w:rsid w:val="00681019"/>
    <w:rsid w:val="0068121B"/>
    <w:rsid w:val="006812E3"/>
    <w:rsid w:val="00681371"/>
    <w:rsid w:val="00681372"/>
    <w:rsid w:val="00681635"/>
    <w:rsid w:val="00681735"/>
    <w:rsid w:val="00681A96"/>
    <w:rsid w:val="00681D1E"/>
    <w:rsid w:val="00681D38"/>
    <w:rsid w:val="00681EF0"/>
    <w:rsid w:val="006821D6"/>
    <w:rsid w:val="0068242B"/>
    <w:rsid w:val="0068245D"/>
    <w:rsid w:val="0068252B"/>
    <w:rsid w:val="006827DD"/>
    <w:rsid w:val="0068282E"/>
    <w:rsid w:val="00682AB9"/>
    <w:rsid w:val="00682BFF"/>
    <w:rsid w:val="00683045"/>
    <w:rsid w:val="00683063"/>
    <w:rsid w:val="0068311D"/>
    <w:rsid w:val="006831F7"/>
    <w:rsid w:val="00683232"/>
    <w:rsid w:val="00683420"/>
    <w:rsid w:val="006834FD"/>
    <w:rsid w:val="006836F5"/>
    <w:rsid w:val="00683A17"/>
    <w:rsid w:val="00683C22"/>
    <w:rsid w:val="00683CF8"/>
    <w:rsid w:val="00683DBA"/>
    <w:rsid w:val="00683FBB"/>
    <w:rsid w:val="006842AF"/>
    <w:rsid w:val="0068432E"/>
    <w:rsid w:val="006844C3"/>
    <w:rsid w:val="006844DF"/>
    <w:rsid w:val="006844E5"/>
    <w:rsid w:val="0068478D"/>
    <w:rsid w:val="00684977"/>
    <w:rsid w:val="00684B12"/>
    <w:rsid w:val="00684D35"/>
    <w:rsid w:val="00684E98"/>
    <w:rsid w:val="00684F88"/>
    <w:rsid w:val="00685093"/>
    <w:rsid w:val="00685147"/>
    <w:rsid w:val="006852DD"/>
    <w:rsid w:val="00685315"/>
    <w:rsid w:val="00685367"/>
    <w:rsid w:val="00685476"/>
    <w:rsid w:val="00685590"/>
    <w:rsid w:val="006859A1"/>
    <w:rsid w:val="00685A36"/>
    <w:rsid w:val="00685BF3"/>
    <w:rsid w:val="00685C84"/>
    <w:rsid w:val="00685E2B"/>
    <w:rsid w:val="00685F35"/>
    <w:rsid w:val="0068606C"/>
    <w:rsid w:val="00686207"/>
    <w:rsid w:val="006866FB"/>
    <w:rsid w:val="00686937"/>
    <w:rsid w:val="0068693A"/>
    <w:rsid w:val="00686DDD"/>
    <w:rsid w:val="00686F4B"/>
    <w:rsid w:val="00686F5C"/>
    <w:rsid w:val="00686FA9"/>
    <w:rsid w:val="00687761"/>
    <w:rsid w:val="006877D4"/>
    <w:rsid w:val="00687895"/>
    <w:rsid w:val="0068796C"/>
    <w:rsid w:val="00687C79"/>
    <w:rsid w:val="00687CE9"/>
    <w:rsid w:val="00687D23"/>
    <w:rsid w:val="00687E44"/>
    <w:rsid w:val="00687F20"/>
    <w:rsid w:val="00687F97"/>
    <w:rsid w:val="00690112"/>
    <w:rsid w:val="00690266"/>
    <w:rsid w:val="00690375"/>
    <w:rsid w:val="006904A3"/>
    <w:rsid w:val="00690789"/>
    <w:rsid w:val="00690878"/>
    <w:rsid w:val="006908A8"/>
    <w:rsid w:val="0069099E"/>
    <w:rsid w:val="00690A0E"/>
    <w:rsid w:val="0069144A"/>
    <w:rsid w:val="006917D8"/>
    <w:rsid w:val="00691C7D"/>
    <w:rsid w:val="00691E64"/>
    <w:rsid w:val="00691F19"/>
    <w:rsid w:val="0069229C"/>
    <w:rsid w:val="006929B4"/>
    <w:rsid w:val="00692D10"/>
    <w:rsid w:val="00692E94"/>
    <w:rsid w:val="006930D0"/>
    <w:rsid w:val="0069371E"/>
    <w:rsid w:val="00693792"/>
    <w:rsid w:val="006939AA"/>
    <w:rsid w:val="00693B0E"/>
    <w:rsid w:val="00693BB2"/>
    <w:rsid w:val="00693C6F"/>
    <w:rsid w:val="00693F59"/>
    <w:rsid w:val="00694033"/>
    <w:rsid w:val="006940FA"/>
    <w:rsid w:val="00694101"/>
    <w:rsid w:val="00694107"/>
    <w:rsid w:val="00694305"/>
    <w:rsid w:val="00694374"/>
    <w:rsid w:val="00694469"/>
    <w:rsid w:val="006944C1"/>
    <w:rsid w:val="0069461A"/>
    <w:rsid w:val="0069493D"/>
    <w:rsid w:val="0069494D"/>
    <w:rsid w:val="00694C13"/>
    <w:rsid w:val="00694E52"/>
    <w:rsid w:val="00694F66"/>
    <w:rsid w:val="00694F7D"/>
    <w:rsid w:val="00695072"/>
    <w:rsid w:val="006950AC"/>
    <w:rsid w:val="006950C5"/>
    <w:rsid w:val="006953DF"/>
    <w:rsid w:val="006957CB"/>
    <w:rsid w:val="00695A53"/>
    <w:rsid w:val="00695BA0"/>
    <w:rsid w:val="00695C16"/>
    <w:rsid w:val="00695E1F"/>
    <w:rsid w:val="00695F2F"/>
    <w:rsid w:val="006960AD"/>
    <w:rsid w:val="006962D6"/>
    <w:rsid w:val="00696399"/>
    <w:rsid w:val="00696956"/>
    <w:rsid w:val="0069697A"/>
    <w:rsid w:val="00696E9C"/>
    <w:rsid w:val="006971E7"/>
    <w:rsid w:val="0069729B"/>
    <w:rsid w:val="0069758E"/>
    <w:rsid w:val="00697647"/>
    <w:rsid w:val="0069767F"/>
    <w:rsid w:val="00697A27"/>
    <w:rsid w:val="00697C91"/>
    <w:rsid w:val="00697D97"/>
    <w:rsid w:val="00697E30"/>
    <w:rsid w:val="006A0087"/>
    <w:rsid w:val="006A039C"/>
    <w:rsid w:val="006A07D0"/>
    <w:rsid w:val="006A086B"/>
    <w:rsid w:val="006A08DB"/>
    <w:rsid w:val="006A090A"/>
    <w:rsid w:val="006A0B69"/>
    <w:rsid w:val="006A0CBB"/>
    <w:rsid w:val="006A0CE4"/>
    <w:rsid w:val="006A0DAF"/>
    <w:rsid w:val="006A0EE0"/>
    <w:rsid w:val="006A0F89"/>
    <w:rsid w:val="006A0FE3"/>
    <w:rsid w:val="006A10DC"/>
    <w:rsid w:val="006A1174"/>
    <w:rsid w:val="006A1476"/>
    <w:rsid w:val="006A1598"/>
    <w:rsid w:val="006A1772"/>
    <w:rsid w:val="006A17A2"/>
    <w:rsid w:val="006A198B"/>
    <w:rsid w:val="006A1C5A"/>
    <w:rsid w:val="006A1CB0"/>
    <w:rsid w:val="006A1FBD"/>
    <w:rsid w:val="006A206E"/>
    <w:rsid w:val="006A21E5"/>
    <w:rsid w:val="006A246D"/>
    <w:rsid w:val="006A24AE"/>
    <w:rsid w:val="006A2779"/>
    <w:rsid w:val="006A2862"/>
    <w:rsid w:val="006A2894"/>
    <w:rsid w:val="006A2D2B"/>
    <w:rsid w:val="006A2D9B"/>
    <w:rsid w:val="006A3292"/>
    <w:rsid w:val="006A3311"/>
    <w:rsid w:val="006A368A"/>
    <w:rsid w:val="006A37A4"/>
    <w:rsid w:val="006A37D2"/>
    <w:rsid w:val="006A3894"/>
    <w:rsid w:val="006A39DF"/>
    <w:rsid w:val="006A3BA3"/>
    <w:rsid w:val="006A3BF5"/>
    <w:rsid w:val="006A3CAD"/>
    <w:rsid w:val="006A3CE7"/>
    <w:rsid w:val="006A3E39"/>
    <w:rsid w:val="006A3E63"/>
    <w:rsid w:val="006A4075"/>
    <w:rsid w:val="006A422D"/>
    <w:rsid w:val="006A44BE"/>
    <w:rsid w:val="006A4606"/>
    <w:rsid w:val="006A4ABD"/>
    <w:rsid w:val="006A4C4E"/>
    <w:rsid w:val="006A4D2B"/>
    <w:rsid w:val="006A4FC0"/>
    <w:rsid w:val="006A53A7"/>
    <w:rsid w:val="006A547A"/>
    <w:rsid w:val="006A55E5"/>
    <w:rsid w:val="006A57D4"/>
    <w:rsid w:val="006A5D7D"/>
    <w:rsid w:val="006A5ECD"/>
    <w:rsid w:val="006A5FF2"/>
    <w:rsid w:val="006A637D"/>
    <w:rsid w:val="006A656C"/>
    <w:rsid w:val="006A666C"/>
    <w:rsid w:val="006A672E"/>
    <w:rsid w:val="006A6B40"/>
    <w:rsid w:val="006A6EEA"/>
    <w:rsid w:val="006A6FBA"/>
    <w:rsid w:val="006A70EC"/>
    <w:rsid w:val="006A7284"/>
    <w:rsid w:val="006A7433"/>
    <w:rsid w:val="006A75BB"/>
    <w:rsid w:val="006A7645"/>
    <w:rsid w:val="006A77D1"/>
    <w:rsid w:val="006A77ED"/>
    <w:rsid w:val="006A7B94"/>
    <w:rsid w:val="006A7BF8"/>
    <w:rsid w:val="006A7CFB"/>
    <w:rsid w:val="006AEFF3"/>
    <w:rsid w:val="006B01A5"/>
    <w:rsid w:val="006B0388"/>
    <w:rsid w:val="006B0421"/>
    <w:rsid w:val="006B0831"/>
    <w:rsid w:val="006B087E"/>
    <w:rsid w:val="006B08E4"/>
    <w:rsid w:val="006B0950"/>
    <w:rsid w:val="006B0C8C"/>
    <w:rsid w:val="006B0CF4"/>
    <w:rsid w:val="006B0F37"/>
    <w:rsid w:val="006B11D9"/>
    <w:rsid w:val="006B11FD"/>
    <w:rsid w:val="006B1421"/>
    <w:rsid w:val="006B14C0"/>
    <w:rsid w:val="006B15F1"/>
    <w:rsid w:val="006B174C"/>
    <w:rsid w:val="006B1B32"/>
    <w:rsid w:val="006B1C94"/>
    <w:rsid w:val="006B1E5A"/>
    <w:rsid w:val="006B1F91"/>
    <w:rsid w:val="006B1FD8"/>
    <w:rsid w:val="006B218E"/>
    <w:rsid w:val="006B226A"/>
    <w:rsid w:val="006B22FB"/>
    <w:rsid w:val="006B23C0"/>
    <w:rsid w:val="006B2582"/>
    <w:rsid w:val="006B274E"/>
    <w:rsid w:val="006B289F"/>
    <w:rsid w:val="006B2966"/>
    <w:rsid w:val="006B2A15"/>
    <w:rsid w:val="006B2EE0"/>
    <w:rsid w:val="006B2EFA"/>
    <w:rsid w:val="006B2F50"/>
    <w:rsid w:val="006B2F6F"/>
    <w:rsid w:val="006B3353"/>
    <w:rsid w:val="006B33E8"/>
    <w:rsid w:val="006B3590"/>
    <w:rsid w:val="006B3619"/>
    <w:rsid w:val="006B3811"/>
    <w:rsid w:val="006B39DD"/>
    <w:rsid w:val="006B3B28"/>
    <w:rsid w:val="006B3B41"/>
    <w:rsid w:val="006B3B92"/>
    <w:rsid w:val="006B3E43"/>
    <w:rsid w:val="006B3EC9"/>
    <w:rsid w:val="006B3F7A"/>
    <w:rsid w:val="006B3F81"/>
    <w:rsid w:val="006B431B"/>
    <w:rsid w:val="006B45C3"/>
    <w:rsid w:val="006B4815"/>
    <w:rsid w:val="006B4B8B"/>
    <w:rsid w:val="006B4BE5"/>
    <w:rsid w:val="006B4C6D"/>
    <w:rsid w:val="006B4D02"/>
    <w:rsid w:val="006B4DED"/>
    <w:rsid w:val="006B50F1"/>
    <w:rsid w:val="006B53DE"/>
    <w:rsid w:val="006B54E0"/>
    <w:rsid w:val="006B5876"/>
    <w:rsid w:val="006B5965"/>
    <w:rsid w:val="006B5B80"/>
    <w:rsid w:val="006B5D19"/>
    <w:rsid w:val="006B5E45"/>
    <w:rsid w:val="006B5F11"/>
    <w:rsid w:val="006B5F67"/>
    <w:rsid w:val="006B6490"/>
    <w:rsid w:val="006B64B9"/>
    <w:rsid w:val="006B6CFC"/>
    <w:rsid w:val="006B6D42"/>
    <w:rsid w:val="006B6E01"/>
    <w:rsid w:val="006B6E23"/>
    <w:rsid w:val="006B6E2A"/>
    <w:rsid w:val="006B6E35"/>
    <w:rsid w:val="006B71D1"/>
    <w:rsid w:val="006B778C"/>
    <w:rsid w:val="006B7861"/>
    <w:rsid w:val="006B795A"/>
    <w:rsid w:val="006B7C4C"/>
    <w:rsid w:val="006B7D6D"/>
    <w:rsid w:val="006B7FA2"/>
    <w:rsid w:val="006BA076"/>
    <w:rsid w:val="006C0310"/>
    <w:rsid w:val="006C0534"/>
    <w:rsid w:val="006C07BB"/>
    <w:rsid w:val="006C097C"/>
    <w:rsid w:val="006C0B75"/>
    <w:rsid w:val="006C0BC4"/>
    <w:rsid w:val="006C0DD1"/>
    <w:rsid w:val="006C0DDA"/>
    <w:rsid w:val="006C0E14"/>
    <w:rsid w:val="006C111E"/>
    <w:rsid w:val="006C128B"/>
    <w:rsid w:val="006C154C"/>
    <w:rsid w:val="006C16AB"/>
    <w:rsid w:val="006C1741"/>
    <w:rsid w:val="006C1C85"/>
    <w:rsid w:val="006C1EC6"/>
    <w:rsid w:val="006C1EF1"/>
    <w:rsid w:val="006C28C9"/>
    <w:rsid w:val="006C29A3"/>
    <w:rsid w:val="006C29E0"/>
    <w:rsid w:val="006C2D7A"/>
    <w:rsid w:val="006C2E9A"/>
    <w:rsid w:val="006C3081"/>
    <w:rsid w:val="006C3152"/>
    <w:rsid w:val="006C31E7"/>
    <w:rsid w:val="006C36E7"/>
    <w:rsid w:val="006C3CCA"/>
    <w:rsid w:val="006C3CD1"/>
    <w:rsid w:val="006C3D41"/>
    <w:rsid w:val="006C4214"/>
    <w:rsid w:val="006C424D"/>
    <w:rsid w:val="006C428C"/>
    <w:rsid w:val="006C42D9"/>
    <w:rsid w:val="006C43B8"/>
    <w:rsid w:val="006C467D"/>
    <w:rsid w:val="006C47CD"/>
    <w:rsid w:val="006C495E"/>
    <w:rsid w:val="006C49CD"/>
    <w:rsid w:val="006C4A2A"/>
    <w:rsid w:val="006C4DA9"/>
    <w:rsid w:val="006C4F07"/>
    <w:rsid w:val="006C4F97"/>
    <w:rsid w:val="006C53CD"/>
    <w:rsid w:val="006C562F"/>
    <w:rsid w:val="006C5642"/>
    <w:rsid w:val="006C5AD3"/>
    <w:rsid w:val="006C606F"/>
    <w:rsid w:val="006C63DC"/>
    <w:rsid w:val="006C6614"/>
    <w:rsid w:val="006C68F7"/>
    <w:rsid w:val="006C6BEE"/>
    <w:rsid w:val="006C6D5C"/>
    <w:rsid w:val="006C6F9B"/>
    <w:rsid w:val="006C70CD"/>
    <w:rsid w:val="006C70D5"/>
    <w:rsid w:val="006C7286"/>
    <w:rsid w:val="006C74FC"/>
    <w:rsid w:val="006C75FC"/>
    <w:rsid w:val="006C7934"/>
    <w:rsid w:val="006C7999"/>
    <w:rsid w:val="006C7B13"/>
    <w:rsid w:val="006C7BCB"/>
    <w:rsid w:val="006C7F5D"/>
    <w:rsid w:val="006C7FEC"/>
    <w:rsid w:val="006C957E"/>
    <w:rsid w:val="006CB093"/>
    <w:rsid w:val="006CE9C1"/>
    <w:rsid w:val="006D00C7"/>
    <w:rsid w:val="006D010D"/>
    <w:rsid w:val="006D017A"/>
    <w:rsid w:val="006D0282"/>
    <w:rsid w:val="006D06FE"/>
    <w:rsid w:val="006D0B40"/>
    <w:rsid w:val="006D0C63"/>
    <w:rsid w:val="006D0D3E"/>
    <w:rsid w:val="006D0D68"/>
    <w:rsid w:val="006D0DA9"/>
    <w:rsid w:val="006D0E97"/>
    <w:rsid w:val="006D0FB1"/>
    <w:rsid w:val="006D1014"/>
    <w:rsid w:val="006D145C"/>
    <w:rsid w:val="006D15EF"/>
    <w:rsid w:val="006D163E"/>
    <w:rsid w:val="006D17A2"/>
    <w:rsid w:val="006D1A91"/>
    <w:rsid w:val="006D1EF0"/>
    <w:rsid w:val="006D1EF5"/>
    <w:rsid w:val="006D210A"/>
    <w:rsid w:val="006D2116"/>
    <w:rsid w:val="006D2310"/>
    <w:rsid w:val="006D2334"/>
    <w:rsid w:val="006D2501"/>
    <w:rsid w:val="006D25B5"/>
    <w:rsid w:val="006D2634"/>
    <w:rsid w:val="006D26FC"/>
    <w:rsid w:val="006D27EC"/>
    <w:rsid w:val="006D297F"/>
    <w:rsid w:val="006D2B1F"/>
    <w:rsid w:val="006D2BA6"/>
    <w:rsid w:val="006D2CBB"/>
    <w:rsid w:val="006D2F64"/>
    <w:rsid w:val="006D328A"/>
    <w:rsid w:val="006D3293"/>
    <w:rsid w:val="006D32F6"/>
    <w:rsid w:val="006D33DC"/>
    <w:rsid w:val="006D3765"/>
    <w:rsid w:val="006D37E2"/>
    <w:rsid w:val="006D381B"/>
    <w:rsid w:val="006D3B46"/>
    <w:rsid w:val="006D3BFA"/>
    <w:rsid w:val="006D3F9D"/>
    <w:rsid w:val="006D418F"/>
    <w:rsid w:val="006D4881"/>
    <w:rsid w:val="006D49EB"/>
    <w:rsid w:val="006D4B75"/>
    <w:rsid w:val="006D4D42"/>
    <w:rsid w:val="006D50DD"/>
    <w:rsid w:val="006D54A8"/>
    <w:rsid w:val="006D5596"/>
    <w:rsid w:val="006D5795"/>
    <w:rsid w:val="006D5841"/>
    <w:rsid w:val="006D5DEA"/>
    <w:rsid w:val="006D5DF7"/>
    <w:rsid w:val="006D60CD"/>
    <w:rsid w:val="006D6164"/>
    <w:rsid w:val="006D61CC"/>
    <w:rsid w:val="006D639B"/>
    <w:rsid w:val="006D665F"/>
    <w:rsid w:val="006D69A8"/>
    <w:rsid w:val="006D69CD"/>
    <w:rsid w:val="006D6A17"/>
    <w:rsid w:val="006D6A6B"/>
    <w:rsid w:val="006D6A94"/>
    <w:rsid w:val="006D6BD0"/>
    <w:rsid w:val="006D6EB2"/>
    <w:rsid w:val="006D6F30"/>
    <w:rsid w:val="006D6F94"/>
    <w:rsid w:val="006D6F9F"/>
    <w:rsid w:val="006D7126"/>
    <w:rsid w:val="006D71D2"/>
    <w:rsid w:val="006D73B0"/>
    <w:rsid w:val="006D75B5"/>
    <w:rsid w:val="006D75F2"/>
    <w:rsid w:val="006D7834"/>
    <w:rsid w:val="006D799E"/>
    <w:rsid w:val="006D7AC4"/>
    <w:rsid w:val="006DC132"/>
    <w:rsid w:val="006E001F"/>
    <w:rsid w:val="006E0263"/>
    <w:rsid w:val="006E02EF"/>
    <w:rsid w:val="006E0408"/>
    <w:rsid w:val="006E044F"/>
    <w:rsid w:val="006E054D"/>
    <w:rsid w:val="006E0568"/>
    <w:rsid w:val="006E0827"/>
    <w:rsid w:val="006E0839"/>
    <w:rsid w:val="006E0A10"/>
    <w:rsid w:val="006E0A2E"/>
    <w:rsid w:val="006E0DD3"/>
    <w:rsid w:val="006E0EBC"/>
    <w:rsid w:val="006E11E5"/>
    <w:rsid w:val="006E1252"/>
    <w:rsid w:val="006E1564"/>
    <w:rsid w:val="006E1BAA"/>
    <w:rsid w:val="006E1D94"/>
    <w:rsid w:val="006E1E48"/>
    <w:rsid w:val="006E2020"/>
    <w:rsid w:val="006E214C"/>
    <w:rsid w:val="006E277C"/>
    <w:rsid w:val="006E28D8"/>
    <w:rsid w:val="006E2993"/>
    <w:rsid w:val="006E29E8"/>
    <w:rsid w:val="006E2DE0"/>
    <w:rsid w:val="006E2F53"/>
    <w:rsid w:val="006E3004"/>
    <w:rsid w:val="006E3041"/>
    <w:rsid w:val="006E3126"/>
    <w:rsid w:val="006E3336"/>
    <w:rsid w:val="006E3389"/>
    <w:rsid w:val="006E37CD"/>
    <w:rsid w:val="006E38DA"/>
    <w:rsid w:val="006E3932"/>
    <w:rsid w:val="006E39E3"/>
    <w:rsid w:val="006E3BC5"/>
    <w:rsid w:val="006E3D4C"/>
    <w:rsid w:val="006E3E13"/>
    <w:rsid w:val="006E426B"/>
    <w:rsid w:val="006E441D"/>
    <w:rsid w:val="006E4500"/>
    <w:rsid w:val="006E472B"/>
    <w:rsid w:val="006E480A"/>
    <w:rsid w:val="006E5213"/>
    <w:rsid w:val="006E5388"/>
    <w:rsid w:val="006E54AB"/>
    <w:rsid w:val="006E5676"/>
    <w:rsid w:val="006E5CA3"/>
    <w:rsid w:val="006E5E89"/>
    <w:rsid w:val="006E61DE"/>
    <w:rsid w:val="006E6672"/>
    <w:rsid w:val="006E66E8"/>
    <w:rsid w:val="006E6755"/>
    <w:rsid w:val="006E7051"/>
    <w:rsid w:val="006E70E8"/>
    <w:rsid w:val="006E731C"/>
    <w:rsid w:val="006E7394"/>
    <w:rsid w:val="006E76B5"/>
    <w:rsid w:val="006E78BB"/>
    <w:rsid w:val="006E7970"/>
    <w:rsid w:val="006E7BED"/>
    <w:rsid w:val="006E7C14"/>
    <w:rsid w:val="006F008D"/>
    <w:rsid w:val="006F03F0"/>
    <w:rsid w:val="006F0630"/>
    <w:rsid w:val="006F064A"/>
    <w:rsid w:val="006F08BF"/>
    <w:rsid w:val="006F09E6"/>
    <w:rsid w:val="006F0B5C"/>
    <w:rsid w:val="006F0F2A"/>
    <w:rsid w:val="006F0FDB"/>
    <w:rsid w:val="006F13D0"/>
    <w:rsid w:val="006F13D2"/>
    <w:rsid w:val="006F143D"/>
    <w:rsid w:val="006F1568"/>
    <w:rsid w:val="006F18CE"/>
    <w:rsid w:val="006F1CB9"/>
    <w:rsid w:val="006F1CFB"/>
    <w:rsid w:val="006F1E0D"/>
    <w:rsid w:val="006F22B6"/>
    <w:rsid w:val="006F2389"/>
    <w:rsid w:val="006F275B"/>
    <w:rsid w:val="006F28AF"/>
    <w:rsid w:val="006F2D66"/>
    <w:rsid w:val="006F2FC4"/>
    <w:rsid w:val="006F31BA"/>
    <w:rsid w:val="006F34DC"/>
    <w:rsid w:val="006F3838"/>
    <w:rsid w:val="006F3AEB"/>
    <w:rsid w:val="006F3AFA"/>
    <w:rsid w:val="006F3B2C"/>
    <w:rsid w:val="006F3D49"/>
    <w:rsid w:val="006F3EB8"/>
    <w:rsid w:val="006F3F69"/>
    <w:rsid w:val="006F4032"/>
    <w:rsid w:val="006F43D5"/>
    <w:rsid w:val="006F4825"/>
    <w:rsid w:val="006F4C32"/>
    <w:rsid w:val="006F5084"/>
    <w:rsid w:val="006F5483"/>
    <w:rsid w:val="006F572E"/>
    <w:rsid w:val="006F593B"/>
    <w:rsid w:val="006F5999"/>
    <w:rsid w:val="006F5A6D"/>
    <w:rsid w:val="006F5CD3"/>
    <w:rsid w:val="006F5D0E"/>
    <w:rsid w:val="006F611D"/>
    <w:rsid w:val="006F6501"/>
    <w:rsid w:val="006F664E"/>
    <w:rsid w:val="006F66AD"/>
    <w:rsid w:val="006F6795"/>
    <w:rsid w:val="006F67AC"/>
    <w:rsid w:val="006F6B1B"/>
    <w:rsid w:val="006F6BD3"/>
    <w:rsid w:val="006F6ED9"/>
    <w:rsid w:val="006F6F75"/>
    <w:rsid w:val="006F73D1"/>
    <w:rsid w:val="006F756C"/>
    <w:rsid w:val="006F7713"/>
    <w:rsid w:val="006F7739"/>
    <w:rsid w:val="006F788A"/>
    <w:rsid w:val="006F7945"/>
    <w:rsid w:val="006F7964"/>
    <w:rsid w:val="006F79C8"/>
    <w:rsid w:val="006F7D8E"/>
    <w:rsid w:val="006F7ED8"/>
    <w:rsid w:val="006FAB9F"/>
    <w:rsid w:val="00700180"/>
    <w:rsid w:val="007005DA"/>
    <w:rsid w:val="007006F0"/>
    <w:rsid w:val="00700895"/>
    <w:rsid w:val="007008FE"/>
    <w:rsid w:val="00700EED"/>
    <w:rsid w:val="007011D7"/>
    <w:rsid w:val="007011E2"/>
    <w:rsid w:val="0070139F"/>
    <w:rsid w:val="0070169C"/>
    <w:rsid w:val="00701A0D"/>
    <w:rsid w:val="00701BBD"/>
    <w:rsid w:val="00701FDC"/>
    <w:rsid w:val="007020EB"/>
    <w:rsid w:val="00702453"/>
    <w:rsid w:val="00702674"/>
    <w:rsid w:val="007029AF"/>
    <w:rsid w:val="00702E7B"/>
    <w:rsid w:val="00703020"/>
    <w:rsid w:val="0070302D"/>
    <w:rsid w:val="00703066"/>
    <w:rsid w:val="007032CB"/>
    <w:rsid w:val="0070362C"/>
    <w:rsid w:val="0070387C"/>
    <w:rsid w:val="00703A49"/>
    <w:rsid w:val="00703A67"/>
    <w:rsid w:val="00703AA3"/>
    <w:rsid w:val="00703F84"/>
    <w:rsid w:val="00704047"/>
    <w:rsid w:val="00704116"/>
    <w:rsid w:val="00704597"/>
    <w:rsid w:val="007048A4"/>
    <w:rsid w:val="00704E32"/>
    <w:rsid w:val="00704F4D"/>
    <w:rsid w:val="00705089"/>
    <w:rsid w:val="007052C3"/>
    <w:rsid w:val="00705319"/>
    <w:rsid w:val="00705416"/>
    <w:rsid w:val="0070556E"/>
    <w:rsid w:val="00705649"/>
    <w:rsid w:val="007056EB"/>
    <w:rsid w:val="00705741"/>
    <w:rsid w:val="0070580A"/>
    <w:rsid w:val="007058A8"/>
    <w:rsid w:val="007058B4"/>
    <w:rsid w:val="00705A60"/>
    <w:rsid w:val="00705CFC"/>
    <w:rsid w:val="00705D19"/>
    <w:rsid w:val="00705DED"/>
    <w:rsid w:val="007063B5"/>
    <w:rsid w:val="007065CF"/>
    <w:rsid w:val="00706714"/>
    <w:rsid w:val="00706847"/>
    <w:rsid w:val="00706A6E"/>
    <w:rsid w:val="00706ABC"/>
    <w:rsid w:val="00706C4E"/>
    <w:rsid w:val="00706EC8"/>
    <w:rsid w:val="00707143"/>
    <w:rsid w:val="00707292"/>
    <w:rsid w:val="0070754B"/>
    <w:rsid w:val="00707593"/>
    <w:rsid w:val="00707836"/>
    <w:rsid w:val="007079E7"/>
    <w:rsid w:val="00707A07"/>
    <w:rsid w:val="00707EBD"/>
    <w:rsid w:val="00710115"/>
    <w:rsid w:val="00710201"/>
    <w:rsid w:val="007104CE"/>
    <w:rsid w:val="007106F1"/>
    <w:rsid w:val="0071076C"/>
    <w:rsid w:val="007108FD"/>
    <w:rsid w:val="00710996"/>
    <w:rsid w:val="007109D5"/>
    <w:rsid w:val="00710AB8"/>
    <w:rsid w:val="00710C28"/>
    <w:rsid w:val="00710E7A"/>
    <w:rsid w:val="007113CB"/>
    <w:rsid w:val="00711799"/>
    <w:rsid w:val="007117E6"/>
    <w:rsid w:val="007119EF"/>
    <w:rsid w:val="00711C19"/>
    <w:rsid w:val="00711CB8"/>
    <w:rsid w:val="007120B0"/>
    <w:rsid w:val="00712554"/>
    <w:rsid w:val="0071316A"/>
    <w:rsid w:val="007132EA"/>
    <w:rsid w:val="0071344C"/>
    <w:rsid w:val="00713681"/>
    <w:rsid w:val="007136BF"/>
    <w:rsid w:val="00713B6D"/>
    <w:rsid w:val="00713B99"/>
    <w:rsid w:val="00713C86"/>
    <w:rsid w:val="00713D05"/>
    <w:rsid w:val="00713DBC"/>
    <w:rsid w:val="0071439A"/>
    <w:rsid w:val="007143C1"/>
    <w:rsid w:val="0071444F"/>
    <w:rsid w:val="0071476F"/>
    <w:rsid w:val="007147F9"/>
    <w:rsid w:val="00714821"/>
    <w:rsid w:val="0071482A"/>
    <w:rsid w:val="00714941"/>
    <w:rsid w:val="0071495B"/>
    <w:rsid w:val="00714D4E"/>
    <w:rsid w:val="00715048"/>
    <w:rsid w:val="007150A9"/>
    <w:rsid w:val="00715119"/>
    <w:rsid w:val="00715437"/>
    <w:rsid w:val="00715624"/>
    <w:rsid w:val="007156C8"/>
    <w:rsid w:val="00715AEA"/>
    <w:rsid w:val="00715F59"/>
    <w:rsid w:val="0071604D"/>
    <w:rsid w:val="00716166"/>
    <w:rsid w:val="00716178"/>
    <w:rsid w:val="00716281"/>
    <w:rsid w:val="007163C4"/>
    <w:rsid w:val="007163CC"/>
    <w:rsid w:val="00716438"/>
    <w:rsid w:val="00716481"/>
    <w:rsid w:val="007165BC"/>
    <w:rsid w:val="007168CA"/>
    <w:rsid w:val="007169DE"/>
    <w:rsid w:val="00716CE2"/>
    <w:rsid w:val="00716D58"/>
    <w:rsid w:val="00716DC8"/>
    <w:rsid w:val="00716E5D"/>
    <w:rsid w:val="00716F5E"/>
    <w:rsid w:val="00717154"/>
    <w:rsid w:val="00717197"/>
    <w:rsid w:val="00717392"/>
    <w:rsid w:val="007174B2"/>
    <w:rsid w:val="007174BF"/>
    <w:rsid w:val="00717651"/>
    <w:rsid w:val="00717693"/>
    <w:rsid w:val="0071780E"/>
    <w:rsid w:val="0071785A"/>
    <w:rsid w:val="007179E5"/>
    <w:rsid w:val="00717BE0"/>
    <w:rsid w:val="00719170"/>
    <w:rsid w:val="0071F25D"/>
    <w:rsid w:val="007200F2"/>
    <w:rsid w:val="0072022E"/>
    <w:rsid w:val="0072024C"/>
    <w:rsid w:val="00720497"/>
    <w:rsid w:val="00720931"/>
    <w:rsid w:val="00720CEF"/>
    <w:rsid w:val="00720F06"/>
    <w:rsid w:val="007210F3"/>
    <w:rsid w:val="00721123"/>
    <w:rsid w:val="00721390"/>
    <w:rsid w:val="007213DA"/>
    <w:rsid w:val="0072141E"/>
    <w:rsid w:val="00721630"/>
    <w:rsid w:val="00721639"/>
    <w:rsid w:val="0072187F"/>
    <w:rsid w:val="007218C9"/>
    <w:rsid w:val="007219D0"/>
    <w:rsid w:val="00721D56"/>
    <w:rsid w:val="00722258"/>
    <w:rsid w:val="00722587"/>
    <w:rsid w:val="007225EF"/>
    <w:rsid w:val="00722AD2"/>
    <w:rsid w:val="00722E99"/>
    <w:rsid w:val="00722F4B"/>
    <w:rsid w:val="00722FE6"/>
    <w:rsid w:val="007230CD"/>
    <w:rsid w:val="00723156"/>
    <w:rsid w:val="00723356"/>
    <w:rsid w:val="00723411"/>
    <w:rsid w:val="00723554"/>
    <w:rsid w:val="007235DD"/>
    <w:rsid w:val="00723627"/>
    <w:rsid w:val="0072363B"/>
    <w:rsid w:val="00723815"/>
    <w:rsid w:val="00723830"/>
    <w:rsid w:val="00723983"/>
    <w:rsid w:val="00723BF5"/>
    <w:rsid w:val="00723EA7"/>
    <w:rsid w:val="00724040"/>
    <w:rsid w:val="00724324"/>
    <w:rsid w:val="007244BD"/>
    <w:rsid w:val="007244D6"/>
    <w:rsid w:val="007246FB"/>
    <w:rsid w:val="007247E2"/>
    <w:rsid w:val="00724869"/>
    <w:rsid w:val="0072491B"/>
    <w:rsid w:val="007249FE"/>
    <w:rsid w:val="00724C16"/>
    <w:rsid w:val="00724C1C"/>
    <w:rsid w:val="00724E21"/>
    <w:rsid w:val="00724E2B"/>
    <w:rsid w:val="00724E36"/>
    <w:rsid w:val="00724E8D"/>
    <w:rsid w:val="00724ED8"/>
    <w:rsid w:val="00724FA0"/>
    <w:rsid w:val="0072518B"/>
    <w:rsid w:val="00725592"/>
    <w:rsid w:val="00725764"/>
    <w:rsid w:val="00725841"/>
    <w:rsid w:val="00725EDC"/>
    <w:rsid w:val="0072618A"/>
    <w:rsid w:val="00726702"/>
    <w:rsid w:val="00726843"/>
    <w:rsid w:val="00726913"/>
    <w:rsid w:val="00726BAC"/>
    <w:rsid w:val="00726BDB"/>
    <w:rsid w:val="00726EF7"/>
    <w:rsid w:val="00727021"/>
    <w:rsid w:val="007278AF"/>
    <w:rsid w:val="007279A7"/>
    <w:rsid w:val="00727F0E"/>
    <w:rsid w:val="0073014B"/>
    <w:rsid w:val="0073017F"/>
    <w:rsid w:val="0073025B"/>
    <w:rsid w:val="0073046C"/>
    <w:rsid w:val="007304F6"/>
    <w:rsid w:val="00730699"/>
    <w:rsid w:val="007307CE"/>
    <w:rsid w:val="00730937"/>
    <w:rsid w:val="00730E3C"/>
    <w:rsid w:val="00731006"/>
    <w:rsid w:val="0073104A"/>
    <w:rsid w:val="00731249"/>
    <w:rsid w:val="00731299"/>
    <w:rsid w:val="00731301"/>
    <w:rsid w:val="0073154D"/>
    <w:rsid w:val="00731551"/>
    <w:rsid w:val="00731612"/>
    <w:rsid w:val="00731670"/>
    <w:rsid w:val="0073167A"/>
    <w:rsid w:val="00731780"/>
    <w:rsid w:val="007318BA"/>
    <w:rsid w:val="00731BAE"/>
    <w:rsid w:val="00731C10"/>
    <w:rsid w:val="00731C7B"/>
    <w:rsid w:val="00731D40"/>
    <w:rsid w:val="00731F0A"/>
    <w:rsid w:val="00731FD1"/>
    <w:rsid w:val="00732219"/>
    <w:rsid w:val="00732383"/>
    <w:rsid w:val="007325BD"/>
    <w:rsid w:val="007325EF"/>
    <w:rsid w:val="007328AC"/>
    <w:rsid w:val="00732ACE"/>
    <w:rsid w:val="00732C48"/>
    <w:rsid w:val="00732D1F"/>
    <w:rsid w:val="00732DF7"/>
    <w:rsid w:val="007331BE"/>
    <w:rsid w:val="007331FD"/>
    <w:rsid w:val="00733363"/>
    <w:rsid w:val="0073336C"/>
    <w:rsid w:val="00733D35"/>
    <w:rsid w:val="00733D42"/>
    <w:rsid w:val="00733EB1"/>
    <w:rsid w:val="00734058"/>
    <w:rsid w:val="00734475"/>
    <w:rsid w:val="00734830"/>
    <w:rsid w:val="00734ABD"/>
    <w:rsid w:val="00734C44"/>
    <w:rsid w:val="00734C7F"/>
    <w:rsid w:val="00734CCA"/>
    <w:rsid w:val="00734D86"/>
    <w:rsid w:val="0073509A"/>
    <w:rsid w:val="007350D0"/>
    <w:rsid w:val="00735269"/>
    <w:rsid w:val="0073532D"/>
    <w:rsid w:val="00735353"/>
    <w:rsid w:val="007357B1"/>
    <w:rsid w:val="00735B45"/>
    <w:rsid w:val="00735F35"/>
    <w:rsid w:val="0073602B"/>
    <w:rsid w:val="0073604A"/>
    <w:rsid w:val="00736219"/>
    <w:rsid w:val="007363ED"/>
    <w:rsid w:val="007365BC"/>
    <w:rsid w:val="007366D2"/>
    <w:rsid w:val="007368B9"/>
    <w:rsid w:val="00736B79"/>
    <w:rsid w:val="00736D77"/>
    <w:rsid w:val="00736DF2"/>
    <w:rsid w:val="00736E7E"/>
    <w:rsid w:val="00736FDE"/>
    <w:rsid w:val="00737060"/>
    <w:rsid w:val="00737691"/>
    <w:rsid w:val="00737ACA"/>
    <w:rsid w:val="00737C87"/>
    <w:rsid w:val="00737E66"/>
    <w:rsid w:val="00737FC1"/>
    <w:rsid w:val="007400A6"/>
    <w:rsid w:val="00740158"/>
    <w:rsid w:val="00740176"/>
    <w:rsid w:val="007403A8"/>
    <w:rsid w:val="00740709"/>
    <w:rsid w:val="0074079F"/>
    <w:rsid w:val="00740960"/>
    <w:rsid w:val="00740B30"/>
    <w:rsid w:val="00740BE4"/>
    <w:rsid w:val="00740C4C"/>
    <w:rsid w:val="00740C74"/>
    <w:rsid w:val="00740C81"/>
    <w:rsid w:val="007410F5"/>
    <w:rsid w:val="007411D4"/>
    <w:rsid w:val="00741449"/>
    <w:rsid w:val="007414B2"/>
    <w:rsid w:val="0074158B"/>
    <w:rsid w:val="007417E5"/>
    <w:rsid w:val="00741EA4"/>
    <w:rsid w:val="007423B9"/>
    <w:rsid w:val="007426A9"/>
    <w:rsid w:val="0074275D"/>
    <w:rsid w:val="00742837"/>
    <w:rsid w:val="007428C7"/>
    <w:rsid w:val="00742B1A"/>
    <w:rsid w:val="00742B41"/>
    <w:rsid w:val="00742CB0"/>
    <w:rsid w:val="00742ECE"/>
    <w:rsid w:val="00743106"/>
    <w:rsid w:val="007432A3"/>
    <w:rsid w:val="00743565"/>
    <w:rsid w:val="00743747"/>
    <w:rsid w:val="0074374A"/>
    <w:rsid w:val="00743808"/>
    <w:rsid w:val="00743858"/>
    <w:rsid w:val="00743915"/>
    <w:rsid w:val="00743955"/>
    <w:rsid w:val="00743A90"/>
    <w:rsid w:val="00743DDC"/>
    <w:rsid w:val="00743FAB"/>
    <w:rsid w:val="00744200"/>
    <w:rsid w:val="0074455C"/>
    <w:rsid w:val="00744DDC"/>
    <w:rsid w:val="0074500C"/>
    <w:rsid w:val="00745106"/>
    <w:rsid w:val="0074521F"/>
    <w:rsid w:val="00745237"/>
    <w:rsid w:val="007453F8"/>
    <w:rsid w:val="00745470"/>
    <w:rsid w:val="00745575"/>
    <w:rsid w:val="007459F7"/>
    <w:rsid w:val="00745A05"/>
    <w:rsid w:val="00745A7F"/>
    <w:rsid w:val="007463C8"/>
    <w:rsid w:val="007468CB"/>
    <w:rsid w:val="0074690E"/>
    <w:rsid w:val="00746D3A"/>
    <w:rsid w:val="00746D50"/>
    <w:rsid w:val="00746E39"/>
    <w:rsid w:val="00746E90"/>
    <w:rsid w:val="00746EAA"/>
    <w:rsid w:val="00747079"/>
    <w:rsid w:val="00747825"/>
    <w:rsid w:val="00747AD8"/>
    <w:rsid w:val="00747B0D"/>
    <w:rsid w:val="00747BAF"/>
    <w:rsid w:val="00747BE3"/>
    <w:rsid w:val="00747D23"/>
    <w:rsid w:val="00747E63"/>
    <w:rsid w:val="00747F9D"/>
    <w:rsid w:val="0075040E"/>
    <w:rsid w:val="00750533"/>
    <w:rsid w:val="0075074B"/>
    <w:rsid w:val="007507AC"/>
    <w:rsid w:val="00750945"/>
    <w:rsid w:val="00750948"/>
    <w:rsid w:val="00750D35"/>
    <w:rsid w:val="00750E78"/>
    <w:rsid w:val="00750ECD"/>
    <w:rsid w:val="0075108F"/>
    <w:rsid w:val="007511E2"/>
    <w:rsid w:val="007511FA"/>
    <w:rsid w:val="00751271"/>
    <w:rsid w:val="0075149C"/>
    <w:rsid w:val="00751512"/>
    <w:rsid w:val="0075154E"/>
    <w:rsid w:val="0075158E"/>
    <w:rsid w:val="007516BF"/>
    <w:rsid w:val="0075191E"/>
    <w:rsid w:val="00751BCE"/>
    <w:rsid w:val="00751E1C"/>
    <w:rsid w:val="00751F75"/>
    <w:rsid w:val="00751FDD"/>
    <w:rsid w:val="007521F7"/>
    <w:rsid w:val="00752262"/>
    <w:rsid w:val="007522D1"/>
    <w:rsid w:val="007524CE"/>
    <w:rsid w:val="00752714"/>
    <w:rsid w:val="0075274F"/>
    <w:rsid w:val="00752A1C"/>
    <w:rsid w:val="00752A9A"/>
    <w:rsid w:val="00752BCB"/>
    <w:rsid w:val="00752E58"/>
    <w:rsid w:val="00752E8E"/>
    <w:rsid w:val="00753098"/>
    <w:rsid w:val="007530FB"/>
    <w:rsid w:val="007531CE"/>
    <w:rsid w:val="007531CF"/>
    <w:rsid w:val="00753511"/>
    <w:rsid w:val="0075375C"/>
    <w:rsid w:val="0075380B"/>
    <w:rsid w:val="00753ACC"/>
    <w:rsid w:val="00753B4E"/>
    <w:rsid w:val="00753C4A"/>
    <w:rsid w:val="00753D16"/>
    <w:rsid w:val="00753E2C"/>
    <w:rsid w:val="007543B8"/>
    <w:rsid w:val="00754687"/>
    <w:rsid w:val="007548BB"/>
    <w:rsid w:val="007548F4"/>
    <w:rsid w:val="00754955"/>
    <w:rsid w:val="0075497E"/>
    <w:rsid w:val="00754BB8"/>
    <w:rsid w:val="00754D51"/>
    <w:rsid w:val="00754D69"/>
    <w:rsid w:val="00755058"/>
    <w:rsid w:val="0075514A"/>
    <w:rsid w:val="00755289"/>
    <w:rsid w:val="007553D3"/>
    <w:rsid w:val="0075543E"/>
    <w:rsid w:val="00755534"/>
    <w:rsid w:val="00755595"/>
    <w:rsid w:val="0075561C"/>
    <w:rsid w:val="00755905"/>
    <w:rsid w:val="00755E9B"/>
    <w:rsid w:val="00755F40"/>
    <w:rsid w:val="00756418"/>
    <w:rsid w:val="0075667E"/>
    <w:rsid w:val="007567FE"/>
    <w:rsid w:val="00756867"/>
    <w:rsid w:val="00756889"/>
    <w:rsid w:val="00756C26"/>
    <w:rsid w:val="00756D1C"/>
    <w:rsid w:val="00756DDA"/>
    <w:rsid w:val="0075708B"/>
    <w:rsid w:val="007573D1"/>
    <w:rsid w:val="007575BC"/>
    <w:rsid w:val="007575BF"/>
    <w:rsid w:val="00757653"/>
    <w:rsid w:val="00757995"/>
    <w:rsid w:val="007579D2"/>
    <w:rsid w:val="00757E12"/>
    <w:rsid w:val="007601FB"/>
    <w:rsid w:val="00760203"/>
    <w:rsid w:val="00760207"/>
    <w:rsid w:val="00760826"/>
    <w:rsid w:val="007609C3"/>
    <w:rsid w:val="00760C1C"/>
    <w:rsid w:val="00760CA6"/>
    <w:rsid w:val="00760CC8"/>
    <w:rsid w:val="00760EFB"/>
    <w:rsid w:val="00761023"/>
    <w:rsid w:val="0076114D"/>
    <w:rsid w:val="007614BE"/>
    <w:rsid w:val="007616E1"/>
    <w:rsid w:val="007617BF"/>
    <w:rsid w:val="00761804"/>
    <w:rsid w:val="0076191F"/>
    <w:rsid w:val="00761A52"/>
    <w:rsid w:val="00761C0A"/>
    <w:rsid w:val="00761E99"/>
    <w:rsid w:val="00761EDA"/>
    <w:rsid w:val="00761FBB"/>
    <w:rsid w:val="00761FCB"/>
    <w:rsid w:val="0076244D"/>
    <w:rsid w:val="00762A74"/>
    <w:rsid w:val="00762BCD"/>
    <w:rsid w:val="00762D26"/>
    <w:rsid w:val="00762D58"/>
    <w:rsid w:val="00762FF2"/>
    <w:rsid w:val="0076338F"/>
    <w:rsid w:val="00763492"/>
    <w:rsid w:val="00763561"/>
    <w:rsid w:val="00763A86"/>
    <w:rsid w:val="00763B95"/>
    <w:rsid w:val="00763BB0"/>
    <w:rsid w:val="00763E2F"/>
    <w:rsid w:val="00763E95"/>
    <w:rsid w:val="00763F5C"/>
    <w:rsid w:val="0076402F"/>
    <w:rsid w:val="0076450A"/>
    <w:rsid w:val="00764671"/>
    <w:rsid w:val="00764976"/>
    <w:rsid w:val="007649EC"/>
    <w:rsid w:val="00764AA9"/>
    <w:rsid w:val="00764D58"/>
    <w:rsid w:val="00764E20"/>
    <w:rsid w:val="00764E64"/>
    <w:rsid w:val="00765065"/>
    <w:rsid w:val="00765075"/>
    <w:rsid w:val="007653D1"/>
    <w:rsid w:val="007655F5"/>
    <w:rsid w:val="0076588B"/>
    <w:rsid w:val="00765B67"/>
    <w:rsid w:val="00765BCB"/>
    <w:rsid w:val="00765C9D"/>
    <w:rsid w:val="0076648A"/>
    <w:rsid w:val="007666BE"/>
    <w:rsid w:val="0076697F"/>
    <w:rsid w:val="00766CC7"/>
    <w:rsid w:val="00766CD0"/>
    <w:rsid w:val="0076704B"/>
    <w:rsid w:val="00767156"/>
    <w:rsid w:val="00767170"/>
    <w:rsid w:val="007671E9"/>
    <w:rsid w:val="00767686"/>
    <w:rsid w:val="00767789"/>
    <w:rsid w:val="007679DC"/>
    <w:rsid w:val="00767A22"/>
    <w:rsid w:val="00767B55"/>
    <w:rsid w:val="00767DCE"/>
    <w:rsid w:val="00767EF9"/>
    <w:rsid w:val="007703D3"/>
    <w:rsid w:val="00770847"/>
    <w:rsid w:val="00770AFE"/>
    <w:rsid w:val="00770C1E"/>
    <w:rsid w:val="00770D8D"/>
    <w:rsid w:val="0077122C"/>
    <w:rsid w:val="007714D4"/>
    <w:rsid w:val="0077150A"/>
    <w:rsid w:val="00771511"/>
    <w:rsid w:val="00771634"/>
    <w:rsid w:val="007717E7"/>
    <w:rsid w:val="00771B12"/>
    <w:rsid w:val="00771BE9"/>
    <w:rsid w:val="00771C89"/>
    <w:rsid w:val="00771D7F"/>
    <w:rsid w:val="00772031"/>
    <w:rsid w:val="00772589"/>
    <w:rsid w:val="0077272C"/>
    <w:rsid w:val="00772B51"/>
    <w:rsid w:val="00773315"/>
    <w:rsid w:val="0077380B"/>
    <w:rsid w:val="00773A23"/>
    <w:rsid w:val="00773A27"/>
    <w:rsid w:val="00773B92"/>
    <w:rsid w:val="00773C82"/>
    <w:rsid w:val="007740D3"/>
    <w:rsid w:val="007741CD"/>
    <w:rsid w:val="00774209"/>
    <w:rsid w:val="0077439A"/>
    <w:rsid w:val="007743F0"/>
    <w:rsid w:val="00774410"/>
    <w:rsid w:val="007744A5"/>
    <w:rsid w:val="00774954"/>
    <w:rsid w:val="00774A5D"/>
    <w:rsid w:val="00774B01"/>
    <w:rsid w:val="00774CFC"/>
    <w:rsid w:val="00775581"/>
    <w:rsid w:val="007755C3"/>
    <w:rsid w:val="007755D5"/>
    <w:rsid w:val="00775853"/>
    <w:rsid w:val="00775A12"/>
    <w:rsid w:val="00775ABC"/>
    <w:rsid w:val="00775D94"/>
    <w:rsid w:val="00775EED"/>
    <w:rsid w:val="00776010"/>
    <w:rsid w:val="00776547"/>
    <w:rsid w:val="00776575"/>
    <w:rsid w:val="00776903"/>
    <w:rsid w:val="00776BEA"/>
    <w:rsid w:val="00776C67"/>
    <w:rsid w:val="00776DCE"/>
    <w:rsid w:val="00776FA1"/>
    <w:rsid w:val="0077704F"/>
    <w:rsid w:val="007770BA"/>
    <w:rsid w:val="00777175"/>
    <w:rsid w:val="0077724D"/>
    <w:rsid w:val="00777745"/>
    <w:rsid w:val="007778A8"/>
    <w:rsid w:val="00777DE9"/>
    <w:rsid w:val="00777FAA"/>
    <w:rsid w:val="00777FFE"/>
    <w:rsid w:val="007802CF"/>
    <w:rsid w:val="007804ED"/>
    <w:rsid w:val="007805CF"/>
    <w:rsid w:val="0078079F"/>
    <w:rsid w:val="00780A4F"/>
    <w:rsid w:val="00780D3A"/>
    <w:rsid w:val="00780D67"/>
    <w:rsid w:val="00781312"/>
    <w:rsid w:val="0078155D"/>
    <w:rsid w:val="007815B8"/>
    <w:rsid w:val="0078161E"/>
    <w:rsid w:val="007816E2"/>
    <w:rsid w:val="0078177B"/>
    <w:rsid w:val="007817EE"/>
    <w:rsid w:val="00781C3C"/>
    <w:rsid w:val="00781CBB"/>
    <w:rsid w:val="00781CDC"/>
    <w:rsid w:val="00781D23"/>
    <w:rsid w:val="00781D29"/>
    <w:rsid w:val="007820CE"/>
    <w:rsid w:val="00782178"/>
    <w:rsid w:val="00782202"/>
    <w:rsid w:val="00782443"/>
    <w:rsid w:val="00782563"/>
    <w:rsid w:val="007826C8"/>
    <w:rsid w:val="00782A82"/>
    <w:rsid w:val="00782B9E"/>
    <w:rsid w:val="00782C02"/>
    <w:rsid w:val="00782D07"/>
    <w:rsid w:val="00782D6E"/>
    <w:rsid w:val="00782E46"/>
    <w:rsid w:val="00782F86"/>
    <w:rsid w:val="00782FF3"/>
    <w:rsid w:val="00783170"/>
    <w:rsid w:val="00783233"/>
    <w:rsid w:val="007836BC"/>
    <w:rsid w:val="0078382E"/>
    <w:rsid w:val="00783DBE"/>
    <w:rsid w:val="00783E2D"/>
    <w:rsid w:val="00784209"/>
    <w:rsid w:val="007842D8"/>
    <w:rsid w:val="007845BD"/>
    <w:rsid w:val="0078461B"/>
    <w:rsid w:val="0078474C"/>
    <w:rsid w:val="00784887"/>
    <w:rsid w:val="007848B8"/>
    <w:rsid w:val="007849B7"/>
    <w:rsid w:val="00784AFF"/>
    <w:rsid w:val="00784B14"/>
    <w:rsid w:val="00784BF9"/>
    <w:rsid w:val="00784EC1"/>
    <w:rsid w:val="007850CE"/>
    <w:rsid w:val="0078524B"/>
    <w:rsid w:val="0078535B"/>
    <w:rsid w:val="0078537F"/>
    <w:rsid w:val="0078545C"/>
    <w:rsid w:val="0078562D"/>
    <w:rsid w:val="00785BC1"/>
    <w:rsid w:val="00785D20"/>
    <w:rsid w:val="00785D91"/>
    <w:rsid w:val="007863DC"/>
    <w:rsid w:val="007867AD"/>
    <w:rsid w:val="007868D8"/>
    <w:rsid w:val="007873A8"/>
    <w:rsid w:val="00787421"/>
    <w:rsid w:val="007874A3"/>
    <w:rsid w:val="007876F0"/>
    <w:rsid w:val="007878A6"/>
    <w:rsid w:val="0078795E"/>
    <w:rsid w:val="00787B5D"/>
    <w:rsid w:val="00787D59"/>
    <w:rsid w:val="00787E68"/>
    <w:rsid w:val="00787E89"/>
    <w:rsid w:val="00790229"/>
    <w:rsid w:val="007902BA"/>
    <w:rsid w:val="007903A1"/>
    <w:rsid w:val="007909CA"/>
    <w:rsid w:val="00790C7E"/>
    <w:rsid w:val="00790D24"/>
    <w:rsid w:val="00790FE4"/>
    <w:rsid w:val="0079125F"/>
    <w:rsid w:val="007912D5"/>
    <w:rsid w:val="007915F6"/>
    <w:rsid w:val="00791974"/>
    <w:rsid w:val="00791AF0"/>
    <w:rsid w:val="00791BB2"/>
    <w:rsid w:val="00791DEB"/>
    <w:rsid w:val="00791FA2"/>
    <w:rsid w:val="00792565"/>
    <w:rsid w:val="0079265E"/>
    <w:rsid w:val="007926D8"/>
    <w:rsid w:val="00792A73"/>
    <w:rsid w:val="00792CEE"/>
    <w:rsid w:val="00792DE1"/>
    <w:rsid w:val="00792DFE"/>
    <w:rsid w:val="00792E02"/>
    <w:rsid w:val="00792E3B"/>
    <w:rsid w:val="00792E72"/>
    <w:rsid w:val="00792F18"/>
    <w:rsid w:val="00792F46"/>
    <w:rsid w:val="0079306B"/>
    <w:rsid w:val="00793235"/>
    <w:rsid w:val="00793374"/>
    <w:rsid w:val="0079340B"/>
    <w:rsid w:val="00793570"/>
    <w:rsid w:val="0079372E"/>
    <w:rsid w:val="0079374E"/>
    <w:rsid w:val="00793D23"/>
    <w:rsid w:val="00793D44"/>
    <w:rsid w:val="00793E12"/>
    <w:rsid w:val="00793EC0"/>
    <w:rsid w:val="007940D8"/>
    <w:rsid w:val="00794224"/>
    <w:rsid w:val="007942EA"/>
    <w:rsid w:val="007948E3"/>
    <w:rsid w:val="00794F1E"/>
    <w:rsid w:val="00794F8E"/>
    <w:rsid w:val="0079534E"/>
    <w:rsid w:val="00795953"/>
    <w:rsid w:val="00795985"/>
    <w:rsid w:val="00795BF2"/>
    <w:rsid w:val="00795C3D"/>
    <w:rsid w:val="00796200"/>
    <w:rsid w:val="00796206"/>
    <w:rsid w:val="00796805"/>
    <w:rsid w:val="007969A8"/>
    <w:rsid w:val="00796A68"/>
    <w:rsid w:val="00796A7B"/>
    <w:rsid w:val="00796BC2"/>
    <w:rsid w:val="00797499"/>
    <w:rsid w:val="007976EA"/>
    <w:rsid w:val="00797B03"/>
    <w:rsid w:val="00797B74"/>
    <w:rsid w:val="00797C9F"/>
    <w:rsid w:val="007A00E5"/>
    <w:rsid w:val="007A0185"/>
    <w:rsid w:val="007A01A3"/>
    <w:rsid w:val="007A0253"/>
    <w:rsid w:val="007A0B9B"/>
    <w:rsid w:val="007A0CEA"/>
    <w:rsid w:val="007A0D0E"/>
    <w:rsid w:val="007A0EC9"/>
    <w:rsid w:val="007A0FD0"/>
    <w:rsid w:val="007A119B"/>
    <w:rsid w:val="007A1211"/>
    <w:rsid w:val="007A12A5"/>
    <w:rsid w:val="007A14CA"/>
    <w:rsid w:val="007A15B7"/>
    <w:rsid w:val="007A1812"/>
    <w:rsid w:val="007A18A8"/>
    <w:rsid w:val="007A1AB8"/>
    <w:rsid w:val="007A1B14"/>
    <w:rsid w:val="007A1EE0"/>
    <w:rsid w:val="007A2325"/>
    <w:rsid w:val="007A26C0"/>
    <w:rsid w:val="007A2ABE"/>
    <w:rsid w:val="007A2BB7"/>
    <w:rsid w:val="007A313D"/>
    <w:rsid w:val="007A330F"/>
    <w:rsid w:val="007A34CC"/>
    <w:rsid w:val="007A3728"/>
    <w:rsid w:val="007A378E"/>
    <w:rsid w:val="007A399E"/>
    <w:rsid w:val="007A3B76"/>
    <w:rsid w:val="007A3C7B"/>
    <w:rsid w:val="007A410E"/>
    <w:rsid w:val="007A4122"/>
    <w:rsid w:val="007A447E"/>
    <w:rsid w:val="007A4563"/>
    <w:rsid w:val="007A4BF8"/>
    <w:rsid w:val="007A51FB"/>
    <w:rsid w:val="007A5208"/>
    <w:rsid w:val="007A5257"/>
    <w:rsid w:val="007A5323"/>
    <w:rsid w:val="007A564B"/>
    <w:rsid w:val="007A5982"/>
    <w:rsid w:val="007A5A9D"/>
    <w:rsid w:val="007A5C2B"/>
    <w:rsid w:val="007A5E07"/>
    <w:rsid w:val="007A5E0C"/>
    <w:rsid w:val="007A639B"/>
    <w:rsid w:val="007A654B"/>
    <w:rsid w:val="007A6600"/>
    <w:rsid w:val="007A6766"/>
    <w:rsid w:val="007A6784"/>
    <w:rsid w:val="007A6864"/>
    <w:rsid w:val="007A69A4"/>
    <w:rsid w:val="007A69CC"/>
    <w:rsid w:val="007A6A8A"/>
    <w:rsid w:val="007A6CFC"/>
    <w:rsid w:val="007A6D0D"/>
    <w:rsid w:val="007A6E7F"/>
    <w:rsid w:val="007A6EB3"/>
    <w:rsid w:val="007A763D"/>
    <w:rsid w:val="007A77C4"/>
    <w:rsid w:val="007A7A6C"/>
    <w:rsid w:val="007A7A8A"/>
    <w:rsid w:val="007A7B3E"/>
    <w:rsid w:val="007A7F24"/>
    <w:rsid w:val="007B0012"/>
    <w:rsid w:val="007B00FB"/>
    <w:rsid w:val="007B0199"/>
    <w:rsid w:val="007B0217"/>
    <w:rsid w:val="007B021B"/>
    <w:rsid w:val="007B02FD"/>
    <w:rsid w:val="007B053C"/>
    <w:rsid w:val="007B07B1"/>
    <w:rsid w:val="007B0E66"/>
    <w:rsid w:val="007B11AF"/>
    <w:rsid w:val="007B1297"/>
    <w:rsid w:val="007B175C"/>
    <w:rsid w:val="007B18DB"/>
    <w:rsid w:val="007B1ACE"/>
    <w:rsid w:val="007B1E40"/>
    <w:rsid w:val="007B1FA2"/>
    <w:rsid w:val="007B1FEF"/>
    <w:rsid w:val="007B2418"/>
    <w:rsid w:val="007B254B"/>
    <w:rsid w:val="007B274B"/>
    <w:rsid w:val="007B27EC"/>
    <w:rsid w:val="007B2B15"/>
    <w:rsid w:val="007B2BC9"/>
    <w:rsid w:val="007B2E11"/>
    <w:rsid w:val="007B2ED3"/>
    <w:rsid w:val="007B3088"/>
    <w:rsid w:val="007B30D6"/>
    <w:rsid w:val="007B333F"/>
    <w:rsid w:val="007B365F"/>
    <w:rsid w:val="007B3748"/>
    <w:rsid w:val="007B37A2"/>
    <w:rsid w:val="007B3A7B"/>
    <w:rsid w:val="007B3A81"/>
    <w:rsid w:val="007B3ACE"/>
    <w:rsid w:val="007B3AF1"/>
    <w:rsid w:val="007B3C6D"/>
    <w:rsid w:val="007B3E86"/>
    <w:rsid w:val="007B41DB"/>
    <w:rsid w:val="007B41F6"/>
    <w:rsid w:val="007B461E"/>
    <w:rsid w:val="007B47AE"/>
    <w:rsid w:val="007B47CE"/>
    <w:rsid w:val="007B47F3"/>
    <w:rsid w:val="007B49F6"/>
    <w:rsid w:val="007B49FE"/>
    <w:rsid w:val="007B4BDC"/>
    <w:rsid w:val="007B4CD2"/>
    <w:rsid w:val="007B4DFB"/>
    <w:rsid w:val="007B4F11"/>
    <w:rsid w:val="007B4F88"/>
    <w:rsid w:val="007B4FBA"/>
    <w:rsid w:val="007B5019"/>
    <w:rsid w:val="007B50A7"/>
    <w:rsid w:val="007B50B3"/>
    <w:rsid w:val="007B50FA"/>
    <w:rsid w:val="007B514E"/>
    <w:rsid w:val="007B519C"/>
    <w:rsid w:val="007B54E7"/>
    <w:rsid w:val="007B5733"/>
    <w:rsid w:val="007B5CE9"/>
    <w:rsid w:val="007B5CFB"/>
    <w:rsid w:val="007B62DD"/>
    <w:rsid w:val="007B6331"/>
    <w:rsid w:val="007B63E8"/>
    <w:rsid w:val="007B67B6"/>
    <w:rsid w:val="007B6B20"/>
    <w:rsid w:val="007B6B7F"/>
    <w:rsid w:val="007B6C38"/>
    <w:rsid w:val="007B6F02"/>
    <w:rsid w:val="007B6F61"/>
    <w:rsid w:val="007B760F"/>
    <w:rsid w:val="007B78AA"/>
    <w:rsid w:val="007B7F07"/>
    <w:rsid w:val="007C0852"/>
    <w:rsid w:val="007C08B8"/>
    <w:rsid w:val="007C0A39"/>
    <w:rsid w:val="007C0A5C"/>
    <w:rsid w:val="007C0B08"/>
    <w:rsid w:val="007C0BE1"/>
    <w:rsid w:val="007C0F5C"/>
    <w:rsid w:val="007C130C"/>
    <w:rsid w:val="007C14AB"/>
    <w:rsid w:val="007C14F8"/>
    <w:rsid w:val="007C1622"/>
    <w:rsid w:val="007C17DC"/>
    <w:rsid w:val="007C17F5"/>
    <w:rsid w:val="007C1915"/>
    <w:rsid w:val="007C1F81"/>
    <w:rsid w:val="007C2529"/>
    <w:rsid w:val="007C298C"/>
    <w:rsid w:val="007C2A97"/>
    <w:rsid w:val="007C2AFE"/>
    <w:rsid w:val="007C2BC9"/>
    <w:rsid w:val="007C2CD1"/>
    <w:rsid w:val="007C2D7F"/>
    <w:rsid w:val="007C2FC9"/>
    <w:rsid w:val="007C3118"/>
    <w:rsid w:val="007C365C"/>
    <w:rsid w:val="007C371C"/>
    <w:rsid w:val="007C377C"/>
    <w:rsid w:val="007C37A2"/>
    <w:rsid w:val="007C398E"/>
    <w:rsid w:val="007C3A2A"/>
    <w:rsid w:val="007C3A2D"/>
    <w:rsid w:val="007C3ACF"/>
    <w:rsid w:val="007C3B32"/>
    <w:rsid w:val="007C3F9A"/>
    <w:rsid w:val="007C3FFA"/>
    <w:rsid w:val="007C4090"/>
    <w:rsid w:val="007C4098"/>
    <w:rsid w:val="007C41D4"/>
    <w:rsid w:val="007C4646"/>
    <w:rsid w:val="007C49A7"/>
    <w:rsid w:val="007C4AD6"/>
    <w:rsid w:val="007C4C64"/>
    <w:rsid w:val="007C4EFB"/>
    <w:rsid w:val="007C4F1E"/>
    <w:rsid w:val="007C4F78"/>
    <w:rsid w:val="007C544A"/>
    <w:rsid w:val="007C5584"/>
    <w:rsid w:val="007C5673"/>
    <w:rsid w:val="007C567C"/>
    <w:rsid w:val="007C599E"/>
    <w:rsid w:val="007C5A58"/>
    <w:rsid w:val="007C5AE8"/>
    <w:rsid w:val="007C5C92"/>
    <w:rsid w:val="007C5D95"/>
    <w:rsid w:val="007C5FD1"/>
    <w:rsid w:val="007C5FD8"/>
    <w:rsid w:val="007C6484"/>
    <w:rsid w:val="007C660E"/>
    <w:rsid w:val="007C6820"/>
    <w:rsid w:val="007C6977"/>
    <w:rsid w:val="007C699A"/>
    <w:rsid w:val="007C711A"/>
    <w:rsid w:val="007C7282"/>
    <w:rsid w:val="007C7309"/>
    <w:rsid w:val="007C7330"/>
    <w:rsid w:val="007C753A"/>
    <w:rsid w:val="007C7598"/>
    <w:rsid w:val="007C777A"/>
    <w:rsid w:val="007C7A46"/>
    <w:rsid w:val="007C7DE0"/>
    <w:rsid w:val="007C7E01"/>
    <w:rsid w:val="007C7E33"/>
    <w:rsid w:val="007C7EBB"/>
    <w:rsid w:val="007C7F40"/>
    <w:rsid w:val="007D0071"/>
    <w:rsid w:val="007D037C"/>
    <w:rsid w:val="007D090A"/>
    <w:rsid w:val="007D0ADE"/>
    <w:rsid w:val="007D0C3D"/>
    <w:rsid w:val="007D0E6D"/>
    <w:rsid w:val="007D0F2A"/>
    <w:rsid w:val="007D1021"/>
    <w:rsid w:val="007D108D"/>
    <w:rsid w:val="007D11A9"/>
    <w:rsid w:val="007D12C3"/>
    <w:rsid w:val="007D1379"/>
    <w:rsid w:val="007D13E8"/>
    <w:rsid w:val="007D148C"/>
    <w:rsid w:val="007D14D8"/>
    <w:rsid w:val="007D14E6"/>
    <w:rsid w:val="007D155C"/>
    <w:rsid w:val="007D1A72"/>
    <w:rsid w:val="007D1A8D"/>
    <w:rsid w:val="007D1E5C"/>
    <w:rsid w:val="007D2046"/>
    <w:rsid w:val="007D207B"/>
    <w:rsid w:val="007D20CC"/>
    <w:rsid w:val="007D20FB"/>
    <w:rsid w:val="007D2390"/>
    <w:rsid w:val="007D24C2"/>
    <w:rsid w:val="007D27C8"/>
    <w:rsid w:val="007D2821"/>
    <w:rsid w:val="007D2964"/>
    <w:rsid w:val="007D2ED5"/>
    <w:rsid w:val="007D30B5"/>
    <w:rsid w:val="007D3115"/>
    <w:rsid w:val="007D31F2"/>
    <w:rsid w:val="007D34B0"/>
    <w:rsid w:val="007D3515"/>
    <w:rsid w:val="007D3655"/>
    <w:rsid w:val="007D38C6"/>
    <w:rsid w:val="007D3CA5"/>
    <w:rsid w:val="007D3DE5"/>
    <w:rsid w:val="007D421C"/>
    <w:rsid w:val="007D46F9"/>
    <w:rsid w:val="007D4826"/>
    <w:rsid w:val="007D489D"/>
    <w:rsid w:val="007D48F8"/>
    <w:rsid w:val="007D4A78"/>
    <w:rsid w:val="007D4CC8"/>
    <w:rsid w:val="007D4FB0"/>
    <w:rsid w:val="007D503D"/>
    <w:rsid w:val="007D51F4"/>
    <w:rsid w:val="007D5211"/>
    <w:rsid w:val="007D58CF"/>
    <w:rsid w:val="007D5BBD"/>
    <w:rsid w:val="007D5E9F"/>
    <w:rsid w:val="007D5F4F"/>
    <w:rsid w:val="007D6A09"/>
    <w:rsid w:val="007D6A13"/>
    <w:rsid w:val="007D6B61"/>
    <w:rsid w:val="007D6D49"/>
    <w:rsid w:val="007D6DDD"/>
    <w:rsid w:val="007D6F08"/>
    <w:rsid w:val="007D7002"/>
    <w:rsid w:val="007D70A5"/>
    <w:rsid w:val="007D7176"/>
    <w:rsid w:val="007D772A"/>
    <w:rsid w:val="007D781C"/>
    <w:rsid w:val="007D78D7"/>
    <w:rsid w:val="007D7A5B"/>
    <w:rsid w:val="007D7C58"/>
    <w:rsid w:val="007D7CA8"/>
    <w:rsid w:val="007DE6C2"/>
    <w:rsid w:val="007E004C"/>
    <w:rsid w:val="007E0165"/>
    <w:rsid w:val="007E0173"/>
    <w:rsid w:val="007E019B"/>
    <w:rsid w:val="007E01D1"/>
    <w:rsid w:val="007E020A"/>
    <w:rsid w:val="007E0283"/>
    <w:rsid w:val="007E028C"/>
    <w:rsid w:val="007E02D3"/>
    <w:rsid w:val="007E0423"/>
    <w:rsid w:val="007E04EA"/>
    <w:rsid w:val="007E04F9"/>
    <w:rsid w:val="007E0503"/>
    <w:rsid w:val="007E072D"/>
    <w:rsid w:val="007E0886"/>
    <w:rsid w:val="007E09E5"/>
    <w:rsid w:val="007E0A2E"/>
    <w:rsid w:val="007E0DFB"/>
    <w:rsid w:val="007E0ECA"/>
    <w:rsid w:val="007E10AD"/>
    <w:rsid w:val="007E10BC"/>
    <w:rsid w:val="007E1241"/>
    <w:rsid w:val="007E1317"/>
    <w:rsid w:val="007E169E"/>
    <w:rsid w:val="007E1810"/>
    <w:rsid w:val="007E1864"/>
    <w:rsid w:val="007E18A3"/>
    <w:rsid w:val="007E196A"/>
    <w:rsid w:val="007E1AAE"/>
    <w:rsid w:val="007E1B16"/>
    <w:rsid w:val="007E1FEF"/>
    <w:rsid w:val="007E2076"/>
    <w:rsid w:val="007E21F6"/>
    <w:rsid w:val="007E262D"/>
    <w:rsid w:val="007E278C"/>
    <w:rsid w:val="007E2819"/>
    <w:rsid w:val="007E2876"/>
    <w:rsid w:val="007E298C"/>
    <w:rsid w:val="007E2A6C"/>
    <w:rsid w:val="007E2C14"/>
    <w:rsid w:val="007E2DEB"/>
    <w:rsid w:val="007E2F18"/>
    <w:rsid w:val="007E3000"/>
    <w:rsid w:val="007E32A0"/>
    <w:rsid w:val="007E372A"/>
    <w:rsid w:val="007E3C8C"/>
    <w:rsid w:val="007E3DCC"/>
    <w:rsid w:val="007E4022"/>
    <w:rsid w:val="007E4171"/>
    <w:rsid w:val="007E42C3"/>
    <w:rsid w:val="007E463D"/>
    <w:rsid w:val="007E4AE5"/>
    <w:rsid w:val="007E5152"/>
    <w:rsid w:val="007E527F"/>
    <w:rsid w:val="007E52A1"/>
    <w:rsid w:val="007E52F9"/>
    <w:rsid w:val="007E5510"/>
    <w:rsid w:val="007E5764"/>
    <w:rsid w:val="007E5BAC"/>
    <w:rsid w:val="007E5BBE"/>
    <w:rsid w:val="007E5BCA"/>
    <w:rsid w:val="007E5CEC"/>
    <w:rsid w:val="007E5E92"/>
    <w:rsid w:val="007E5FF0"/>
    <w:rsid w:val="007E626E"/>
    <w:rsid w:val="007E6428"/>
    <w:rsid w:val="007E64C7"/>
    <w:rsid w:val="007E6506"/>
    <w:rsid w:val="007E65E7"/>
    <w:rsid w:val="007E6B90"/>
    <w:rsid w:val="007E6D3B"/>
    <w:rsid w:val="007E6DD3"/>
    <w:rsid w:val="007E6FE9"/>
    <w:rsid w:val="007E7096"/>
    <w:rsid w:val="007E71C9"/>
    <w:rsid w:val="007E76A7"/>
    <w:rsid w:val="007E77DE"/>
    <w:rsid w:val="007E7AA0"/>
    <w:rsid w:val="007E7CDC"/>
    <w:rsid w:val="007E7D8B"/>
    <w:rsid w:val="007E7FA6"/>
    <w:rsid w:val="007F07BC"/>
    <w:rsid w:val="007F097B"/>
    <w:rsid w:val="007F0E83"/>
    <w:rsid w:val="007F0EE7"/>
    <w:rsid w:val="007F0F0A"/>
    <w:rsid w:val="007F0FBD"/>
    <w:rsid w:val="007F11FA"/>
    <w:rsid w:val="007F1340"/>
    <w:rsid w:val="007F13A6"/>
    <w:rsid w:val="007F1651"/>
    <w:rsid w:val="007F199C"/>
    <w:rsid w:val="007F1A1B"/>
    <w:rsid w:val="007F1A99"/>
    <w:rsid w:val="007F2439"/>
    <w:rsid w:val="007F2535"/>
    <w:rsid w:val="007F2886"/>
    <w:rsid w:val="007F2A0E"/>
    <w:rsid w:val="007F2A3E"/>
    <w:rsid w:val="007F2D09"/>
    <w:rsid w:val="007F2D1C"/>
    <w:rsid w:val="007F2E2A"/>
    <w:rsid w:val="007F31AA"/>
    <w:rsid w:val="007F31CD"/>
    <w:rsid w:val="007F33F7"/>
    <w:rsid w:val="007F35C6"/>
    <w:rsid w:val="007F36FC"/>
    <w:rsid w:val="007F3746"/>
    <w:rsid w:val="007F3883"/>
    <w:rsid w:val="007F3915"/>
    <w:rsid w:val="007F39C5"/>
    <w:rsid w:val="007F3D02"/>
    <w:rsid w:val="007F434B"/>
    <w:rsid w:val="007F492B"/>
    <w:rsid w:val="007F49AB"/>
    <w:rsid w:val="007F4C6F"/>
    <w:rsid w:val="007F4DE5"/>
    <w:rsid w:val="007F4F0C"/>
    <w:rsid w:val="007F50E4"/>
    <w:rsid w:val="007F57C9"/>
    <w:rsid w:val="007F590E"/>
    <w:rsid w:val="007F5C50"/>
    <w:rsid w:val="007F5C85"/>
    <w:rsid w:val="007F5DA0"/>
    <w:rsid w:val="007F5F95"/>
    <w:rsid w:val="007F6070"/>
    <w:rsid w:val="007F6371"/>
    <w:rsid w:val="007F692B"/>
    <w:rsid w:val="007F6A4E"/>
    <w:rsid w:val="007F6CAF"/>
    <w:rsid w:val="007F6EF2"/>
    <w:rsid w:val="007F6F93"/>
    <w:rsid w:val="007F7455"/>
    <w:rsid w:val="007F763D"/>
    <w:rsid w:val="007F7707"/>
    <w:rsid w:val="007F7893"/>
    <w:rsid w:val="007F7BC7"/>
    <w:rsid w:val="007F7D4C"/>
    <w:rsid w:val="007F7F72"/>
    <w:rsid w:val="0080056D"/>
    <w:rsid w:val="008006D8"/>
    <w:rsid w:val="008006F9"/>
    <w:rsid w:val="00800751"/>
    <w:rsid w:val="0080096B"/>
    <w:rsid w:val="00800B4F"/>
    <w:rsid w:val="00800BAD"/>
    <w:rsid w:val="00800C23"/>
    <w:rsid w:val="00800C2A"/>
    <w:rsid w:val="00800C98"/>
    <w:rsid w:val="00800E69"/>
    <w:rsid w:val="00800F9C"/>
    <w:rsid w:val="00801057"/>
    <w:rsid w:val="0080113A"/>
    <w:rsid w:val="00801268"/>
    <w:rsid w:val="008014AD"/>
    <w:rsid w:val="00801659"/>
    <w:rsid w:val="0080191E"/>
    <w:rsid w:val="00801CC0"/>
    <w:rsid w:val="00801DB2"/>
    <w:rsid w:val="00801DE5"/>
    <w:rsid w:val="00801F0B"/>
    <w:rsid w:val="00802109"/>
    <w:rsid w:val="00802334"/>
    <w:rsid w:val="00802851"/>
    <w:rsid w:val="008028E3"/>
    <w:rsid w:val="00802ABD"/>
    <w:rsid w:val="00802C71"/>
    <w:rsid w:val="00803050"/>
    <w:rsid w:val="0080308E"/>
    <w:rsid w:val="008032F6"/>
    <w:rsid w:val="00803416"/>
    <w:rsid w:val="008035E0"/>
    <w:rsid w:val="00803747"/>
    <w:rsid w:val="0080395D"/>
    <w:rsid w:val="00803B4C"/>
    <w:rsid w:val="00803BAC"/>
    <w:rsid w:val="00803E66"/>
    <w:rsid w:val="0080426A"/>
    <w:rsid w:val="00804432"/>
    <w:rsid w:val="0080452B"/>
    <w:rsid w:val="008047B3"/>
    <w:rsid w:val="008047D5"/>
    <w:rsid w:val="00804813"/>
    <w:rsid w:val="00804913"/>
    <w:rsid w:val="00804C89"/>
    <w:rsid w:val="00804D0A"/>
    <w:rsid w:val="00804E74"/>
    <w:rsid w:val="00804FCE"/>
    <w:rsid w:val="008057BF"/>
    <w:rsid w:val="0080592D"/>
    <w:rsid w:val="00805A40"/>
    <w:rsid w:val="00805BC5"/>
    <w:rsid w:val="00806148"/>
    <w:rsid w:val="00806204"/>
    <w:rsid w:val="00806524"/>
    <w:rsid w:val="008068D0"/>
    <w:rsid w:val="0080695A"/>
    <w:rsid w:val="008069F6"/>
    <w:rsid w:val="00806B1B"/>
    <w:rsid w:val="00807678"/>
    <w:rsid w:val="008077C3"/>
    <w:rsid w:val="0080799F"/>
    <w:rsid w:val="008079A0"/>
    <w:rsid w:val="008079E8"/>
    <w:rsid w:val="00807AFD"/>
    <w:rsid w:val="00807C32"/>
    <w:rsid w:val="00807CCE"/>
    <w:rsid w:val="00807CD2"/>
    <w:rsid w:val="00807E58"/>
    <w:rsid w:val="00807F3B"/>
    <w:rsid w:val="00807F85"/>
    <w:rsid w:val="008100CC"/>
    <w:rsid w:val="00810138"/>
    <w:rsid w:val="00810175"/>
    <w:rsid w:val="00810494"/>
    <w:rsid w:val="008104F1"/>
    <w:rsid w:val="008107C7"/>
    <w:rsid w:val="008108BE"/>
    <w:rsid w:val="00810A68"/>
    <w:rsid w:val="00810E69"/>
    <w:rsid w:val="00811128"/>
    <w:rsid w:val="0081127B"/>
    <w:rsid w:val="00811705"/>
    <w:rsid w:val="008117DC"/>
    <w:rsid w:val="008119D2"/>
    <w:rsid w:val="00811A5A"/>
    <w:rsid w:val="00811B8E"/>
    <w:rsid w:val="00811C32"/>
    <w:rsid w:val="00811F38"/>
    <w:rsid w:val="0081205A"/>
    <w:rsid w:val="008120E7"/>
    <w:rsid w:val="008121B2"/>
    <w:rsid w:val="00812405"/>
    <w:rsid w:val="00812572"/>
    <w:rsid w:val="0081260F"/>
    <w:rsid w:val="008126C0"/>
    <w:rsid w:val="0081282B"/>
    <w:rsid w:val="008129F2"/>
    <w:rsid w:val="00812AAF"/>
    <w:rsid w:val="00812BA3"/>
    <w:rsid w:val="00812D03"/>
    <w:rsid w:val="00812DC6"/>
    <w:rsid w:val="00812EF6"/>
    <w:rsid w:val="0081329D"/>
    <w:rsid w:val="00813324"/>
    <w:rsid w:val="008135FE"/>
    <w:rsid w:val="00813CC5"/>
    <w:rsid w:val="00813D5F"/>
    <w:rsid w:val="00813D9B"/>
    <w:rsid w:val="00813E4C"/>
    <w:rsid w:val="00813F26"/>
    <w:rsid w:val="008140C8"/>
    <w:rsid w:val="00814223"/>
    <w:rsid w:val="00814237"/>
    <w:rsid w:val="0081427D"/>
    <w:rsid w:val="008142DE"/>
    <w:rsid w:val="008144F3"/>
    <w:rsid w:val="008145C7"/>
    <w:rsid w:val="00814852"/>
    <w:rsid w:val="00814902"/>
    <w:rsid w:val="00814988"/>
    <w:rsid w:val="0081508A"/>
    <w:rsid w:val="008150FC"/>
    <w:rsid w:val="0081513D"/>
    <w:rsid w:val="0081521F"/>
    <w:rsid w:val="00815493"/>
    <w:rsid w:val="008156C5"/>
    <w:rsid w:val="00815724"/>
    <w:rsid w:val="00815A0F"/>
    <w:rsid w:val="00815D9B"/>
    <w:rsid w:val="0081608F"/>
    <w:rsid w:val="00816105"/>
    <w:rsid w:val="0081610B"/>
    <w:rsid w:val="00816148"/>
    <w:rsid w:val="00816583"/>
    <w:rsid w:val="00816721"/>
    <w:rsid w:val="00816760"/>
    <w:rsid w:val="00817290"/>
    <w:rsid w:val="0081764E"/>
    <w:rsid w:val="0081779C"/>
    <w:rsid w:val="00817802"/>
    <w:rsid w:val="008179BA"/>
    <w:rsid w:val="00817C52"/>
    <w:rsid w:val="00820054"/>
    <w:rsid w:val="00820251"/>
    <w:rsid w:val="008205FF"/>
    <w:rsid w:val="00820986"/>
    <w:rsid w:val="008209AC"/>
    <w:rsid w:val="00820B40"/>
    <w:rsid w:val="00820ED0"/>
    <w:rsid w:val="008213DC"/>
    <w:rsid w:val="008215DC"/>
    <w:rsid w:val="00821769"/>
    <w:rsid w:val="00821982"/>
    <w:rsid w:val="00821DD3"/>
    <w:rsid w:val="00821E9F"/>
    <w:rsid w:val="00821EE4"/>
    <w:rsid w:val="00822013"/>
    <w:rsid w:val="008223F7"/>
    <w:rsid w:val="0082246C"/>
    <w:rsid w:val="0082295C"/>
    <w:rsid w:val="00822A3A"/>
    <w:rsid w:val="00822DCD"/>
    <w:rsid w:val="00822DFA"/>
    <w:rsid w:val="008230CC"/>
    <w:rsid w:val="00823193"/>
    <w:rsid w:val="0082367B"/>
    <w:rsid w:val="00823723"/>
    <w:rsid w:val="00823738"/>
    <w:rsid w:val="00823BD2"/>
    <w:rsid w:val="008240EE"/>
    <w:rsid w:val="00824317"/>
    <w:rsid w:val="00824449"/>
    <w:rsid w:val="008244CB"/>
    <w:rsid w:val="00824C1D"/>
    <w:rsid w:val="00824CA3"/>
    <w:rsid w:val="00824D78"/>
    <w:rsid w:val="00824DBA"/>
    <w:rsid w:val="00824DD5"/>
    <w:rsid w:val="00825002"/>
    <w:rsid w:val="0082512C"/>
    <w:rsid w:val="00825228"/>
    <w:rsid w:val="00825784"/>
    <w:rsid w:val="0082578C"/>
    <w:rsid w:val="00825926"/>
    <w:rsid w:val="008259A8"/>
    <w:rsid w:val="00825AB1"/>
    <w:rsid w:val="00825CA8"/>
    <w:rsid w:val="00825D39"/>
    <w:rsid w:val="00825E6B"/>
    <w:rsid w:val="0082629C"/>
    <w:rsid w:val="00826569"/>
    <w:rsid w:val="0082673B"/>
    <w:rsid w:val="00826820"/>
    <w:rsid w:val="00826886"/>
    <w:rsid w:val="008268AA"/>
    <w:rsid w:val="00826A7E"/>
    <w:rsid w:val="00826C44"/>
    <w:rsid w:val="00826CB6"/>
    <w:rsid w:val="008271A5"/>
    <w:rsid w:val="008273D0"/>
    <w:rsid w:val="008275CC"/>
    <w:rsid w:val="008279F3"/>
    <w:rsid w:val="00827ADC"/>
    <w:rsid w:val="00827C9F"/>
    <w:rsid w:val="00827E5D"/>
    <w:rsid w:val="00827FD2"/>
    <w:rsid w:val="008300DC"/>
    <w:rsid w:val="008304EE"/>
    <w:rsid w:val="008304F8"/>
    <w:rsid w:val="0083076A"/>
    <w:rsid w:val="008309C1"/>
    <w:rsid w:val="00830A3D"/>
    <w:rsid w:val="00830ACC"/>
    <w:rsid w:val="00830DEA"/>
    <w:rsid w:val="00830DFD"/>
    <w:rsid w:val="0083100C"/>
    <w:rsid w:val="00831352"/>
    <w:rsid w:val="00831428"/>
    <w:rsid w:val="0083168A"/>
    <w:rsid w:val="00831890"/>
    <w:rsid w:val="00831941"/>
    <w:rsid w:val="00831BCF"/>
    <w:rsid w:val="00831C63"/>
    <w:rsid w:val="00831D2D"/>
    <w:rsid w:val="00832417"/>
    <w:rsid w:val="00832482"/>
    <w:rsid w:val="00832612"/>
    <w:rsid w:val="008326FB"/>
    <w:rsid w:val="0083271A"/>
    <w:rsid w:val="00832793"/>
    <w:rsid w:val="008328B6"/>
    <w:rsid w:val="008329BB"/>
    <w:rsid w:val="00832A41"/>
    <w:rsid w:val="00832CBB"/>
    <w:rsid w:val="00832D6D"/>
    <w:rsid w:val="00833000"/>
    <w:rsid w:val="0083301C"/>
    <w:rsid w:val="0083301D"/>
    <w:rsid w:val="008330DA"/>
    <w:rsid w:val="00833346"/>
    <w:rsid w:val="00833741"/>
    <w:rsid w:val="008337F6"/>
    <w:rsid w:val="008338DC"/>
    <w:rsid w:val="008339E5"/>
    <w:rsid w:val="00833BF1"/>
    <w:rsid w:val="00833C2D"/>
    <w:rsid w:val="00833CB4"/>
    <w:rsid w:val="00833E45"/>
    <w:rsid w:val="00833ED0"/>
    <w:rsid w:val="00833F9E"/>
    <w:rsid w:val="0083400B"/>
    <w:rsid w:val="00834267"/>
    <w:rsid w:val="008342A0"/>
    <w:rsid w:val="00834572"/>
    <w:rsid w:val="0083477F"/>
    <w:rsid w:val="0083499C"/>
    <w:rsid w:val="00834B30"/>
    <w:rsid w:val="00834D71"/>
    <w:rsid w:val="00834DAF"/>
    <w:rsid w:val="00834DB5"/>
    <w:rsid w:val="00834E21"/>
    <w:rsid w:val="00834F34"/>
    <w:rsid w:val="00834F36"/>
    <w:rsid w:val="0083536D"/>
    <w:rsid w:val="008354C7"/>
    <w:rsid w:val="008356AC"/>
    <w:rsid w:val="0083579B"/>
    <w:rsid w:val="008358A7"/>
    <w:rsid w:val="00835B19"/>
    <w:rsid w:val="00835C2C"/>
    <w:rsid w:val="00835CB0"/>
    <w:rsid w:val="00835F41"/>
    <w:rsid w:val="008361CB"/>
    <w:rsid w:val="008362AA"/>
    <w:rsid w:val="008363F7"/>
    <w:rsid w:val="008364AB"/>
    <w:rsid w:val="008364C2"/>
    <w:rsid w:val="00836618"/>
    <w:rsid w:val="0083677F"/>
    <w:rsid w:val="00836B7F"/>
    <w:rsid w:val="00836D5C"/>
    <w:rsid w:val="00836EA2"/>
    <w:rsid w:val="00836FC2"/>
    <w:rsid w:val="008370AB"/>
    <w:rsid w:val="008370E3"/>
    <w:rsid w:val="00837667"/>
    <w:rsid w:val="008379F2"/>
    <w:rsid w:val="00837B33"/>
    <w:rsid w:val="00837E81"/>
    <w:rsid w:val="00837FB0"/>
    <w:rsid w:val="00839757"/>
    <w:rsid w:val="0083AE4C"/>
    <w:rsid w:val="00840194"/>
    <w:rsid w:val="00840639"/>
    <w:rsid w:val="00840779"/>
    <w:rsid w:val="008407D4"/>
    <w:rsid w:val="00840977"/>
    <w:rsid w:val="008409E1"/>
    <w:rsid w:val="00840A46"/>
    <w:rsid w:val="00840F44"/>
    <w:rsid w:val="008411B2"/>
    <w:rsid w:val="00841521"/>
    <w:rsid w:val="0084163E"/>
    <w:rsid w:val="008418F9"/>
    <w:rsid w:val="00841935"/>
    <w:rsid w:val="008419E7"/>
    <w:rsid w:val="00841D51"/>
    <w:rsid w:val="00841E21"/>
    <w:rsid w:val="00841E95"/>
    <w:rsid w:val="00842261"/>
    <w:rsid w:val="0084226E"/>
    <w:rsid w:val="00842399"/>
    <w:rsid w:val="008425DE"/>
    <w:rsid w:val="00842ABA"/>
    <w:rsid w:val="00842AC5"/>
    <w:rsid w:val="00842BF2"/>
    <w:rsid w:val="00842C79"/>
    <w:rsid w:val="00842EA8"/>
    <w:rsid w:val="00842FFA"/>
    <w:rsid w:val="00843001"/>
    <w:rsid w:val="00843235"/>
    <w:rsid w:val="008437A2"/>
    <w:rsid w:val="00843BB4"/>
    <w:rsid w:val="00843E4B"/>
    <w:rsid w:val="00843ED6"/>
    <w:rsid w:val="008442AA"/>
    <w:rsid w:val="00844946"/>
    <w:rsid w:val="0084495A"/>
    <w:rsid w:val="008449F8"/>
    <w:rsid w:val="00844A21"/>
    <w:rsid w:val="00844BAE"/>
    <w:rsid w:val="00844E75"/>
    <w:rsid w:val="00844E8A"/>
    <w:rsid w:val="00844FC7"/>
    <w:rsid w:val="00845030"/>
    <w:rsid w:val="00845462"/>
    <w:rsid w:val="00845570"/>
    <w:rsid w:val="008455AC"/>
    <w:rsid w:val="008458A7"/>
    <w:rsid w:val="00845944"/>
    <w:rsid w:val="00845A53"/>
    <w:rsid w:val="00845AC5"/>
    <w:rsid w:val="00845C4E"/>
    <w:rsid w:val="0084613A"/>
    <w:rsid w:val="00846483"/>
    <w:rsid w:val="00846682"/>
    <w:rsid w:val="00846823"/>
    <w:rsid w:val="00846942"/>
    <w:rsid w:val="00846B56"/>
    <w:rsid w:val="00846DF2"/>
    <w:rsid w:val="0084717B"/>
    <w:rsid w:val="008471C3"/>
    <w:rsid w:val="0084724B"/>
    <w:rsid w:val="008474C4"/>
    <w:rsid w:val="00847898"/>
    <w:rsid w:val="00847C69"/>
    <w:rsid w:val="00847DAC"/>
    <w:rsid w:val="00850020"/>
    <w:rsid w:val="00850690"/>
    <w:rsid w:val="00850779"/>
    <w:rsid w:val="00850889"/>
    <w:rsid w:val="008508CB"/>
    <w:rsid w:val="00850A2A"/>
    <w:rsid w:val="00850C1A"/>
    <w:rsid w:val="00851202"/>
    <w:rsid w:val="00851245"/>
    <w:rsid w:val="008517E2"/>
    <w:rsid w:val="008519F9"/>
    <w:rsid w:val="00851B82"/>
    <w:rsid w:val="00851D2B"/>
    <w:rsid w:val="0085218E"/>
    <w:rsid w:val="00852253"/>
    <w:rsid w:val="00852305"/>
    <w:rsid w:val="0085232F"/>
    <w:rsid w:val="00852B53"/>
    <w:rsid w:val="00852D07"/>
    <w:rsid w:val="00852D5E"/>
    <w:rsid w:val="00852DA6"/>
    <w:rsid w:val="00852E6F"/>
    <w:rsid w:val="00852F70"/>
    <w:rsid w:val="008532DD"/>
    <w:rsid w:val="0085341B"/>
    <w:rsid w:val="0085367D"/>
    <w:rsid w:val="00853722"/>
    <w:rsid w:val="00853731"/>
    <w:rsid w:val="00853A34"/>
    <w:rsid w:val="00853CD0"/>
    <w:rsid w:val="00853EC1"/>
    <w:rsid w:val="00853F8A"/>
    <w:rsid w:val="00854033"/>
    <w:rsid w:val="008541A9"/>
    <w:rsid w:val="0085420F"/>
    <w:rsid w:val="00854257"/>
    <w:rsid w:val="008542A2"/>
    <w:rsid w:val="008542FE"/>
    <w:rsid w:val="008543D7"/>
    <w:rsid w:val="00854419"/>
    <w:rsid w:val="00854568"/>
    <w:rsid w:val="008547BD"/>
    <w:rsid w:val="0085480F"/>
    <w:rsid w:val="008548F3"/>
    <w:rsid w:val="00854CAD"/>
    <w:rsid w:val="008550E9"/>
    <w:rsid w:val="00855322"/>
    <w:rsid w:val="008555A1"/>
    <w:rsid w:val="00855632"/>
    <w:rsid w:val="00855701"/>
    <w:rsid w:val="0085587D"/>
    <w:rsid w:val="00855A5E"/>
    <w:rsid w:val="00855F1D"/>
    <w:rsid w:val="00855F5F"/>
    <w:rsid w:val="00856309"/>
    <w:rsid w:val="00856379"/>
    <w:rsid w:val="0085640E"/>
    <w:rsid w:val="008565A4"/>
    <w:rsid w:val="00856664"/>
    <w:rsid w:val="0085695C"/>
    <w:rsid w:val="008569B0"/>
    <w:rsid w:val="008569E1"/>
    <w:rsid w:val="00856AD7"/>
    <w:rsid w:val="00856D64"/>
    <w:rsid w:val="00857177"/>
    <w:rsid w:val="00857601"/>
    <w:rsid w:val="00857628"/>
    <w:rsid w:val="008577B4"/>
    <w:rsid w:val="00857836"/>
    <w:rsid w:val="00857899"/>
    <w:rsid w:val="00857C80"/>
    <w:rsid w:val="00857EC8"/>
    <w:rsid w:val="008601A1"/>
    <w:rsid w:val="00860598"/>
    <w:rsid w:val="00860782"/>
    <w:rsid w:val="00860BB2"/>
    <w:rsid w:val="00860C5D"/>
    <w:rsid w:val="00860FC4"/>
    <w:rsid w:val="00861224"/>
    <w:rsid w:val="00861348"/>
    <w:rsid w:val="0086138E"/>
    <w:rsid w:val="00861745"/>
    <w:rsid w:val="00861A81"/>
    <w:rsid w:val="00861F80"/>
    <w:rsid w:val="00862569"/>
    <w:rsid w:val="00862640"/>
    <w:rsid w:val="008628F8"/>
    <w:rsid w:val="008629A5"/>
    <w:rsid w:val="00862C52"/>
    <w:rsid w:val="00862E7C"/>
    <w:rsid w:val="00862EC0"/>
    <w:rsid w:val="0086302A"/>
    <w:rsid w:val="008631D3"/>
    <w:rsid w:val="00863571"/>
    <w:rsid w:val="00863AFB"/>
    <w:rsid w:val="00863EF5"/>
    <w:rsid w:val="008640C0"/>
    <w:rsid w:val="00864383"/>
    <w:rsid w:val="008643DD"/>
    <w:rsid w:val="00864400"/>
    <w:rsid w:val="0086457B"/>
    <w:rsid w:val="008646C8"/>
    <w:rsid w:val="0086494D"/>
    <w:rsid w:val="008649D4"/>
    <w:rsid w:val="00864BD5"/>
    <w:rsid w:val="0086501E"/>
    <w:rsid w:val="00865071"/>
    <w:rsid w:val="0086523E"/>
    <w:rsid w:val="008655C4"/>
    <w:rsid w:val="00865600"/>
    <w:rsid w:val="008656F3"/>
    <w:rsid w:val="00865793"/>
    <w:rsid w:val="00865798"/>
    <w:rsid w:val="008657EB"/>
    <w:rsid w:val="00865829"/>
    <w:rsid w:val="008658EB"/>
    <w:rsid w:val="00865B79"/>
    <w:rsid w:val="00865BEA"/>
    <w:rsid w:val="00865DC6"/>
    <w:rsid w:val="0086609F"/>
    <w:rsid w:val="008660CB"/>
    <w:rsid w:val="008663DF"/>
    <w:rsid w:val="00866672"/>
    <w:rsid w:val="00866979"/>
    <w:rsid w:val="00866D87"/>
    <w:rsid w:val="00866F90"/>
    <w:rsid w:val="00866FDC"/>
    <w:rsid w:val="008670E4"/>
    <w:rsid w:val="008670FD"/>
    <w:rsid w:val="00867333"/>
    <w:rsid w:val="008673DB"/>
    <w:rsid w:val="00867509"/>
    <w:rsid w:val="00867567"/>
    <w:rsid w:val="0086766B"/>
    <w:rsid w:val="00867910"/>
    <w:rsid w:val="00867A42"/>
    <w:rsid w:val="00867AFC"/>
    <w:rsid w:val="00867E60"/>
    <w:rsid w:val="00867E6F"/>
    <w:rsid w:val="00867FD8"/>
    <w:rsid w:val="0086DAE5"/>
    <w:rsid w:val="00870085"/>
    <w:rsid w:val="008701B3"/>
    <w:rsid w:val="00870365"/>
    <w:rsid w:val="00870662"/>
    <w:rsid w:val="008706B0"/>
    <w:rsid w:val="00870760"/>
    <w:rsid w:val="0087085C"/>
    <w:rsid w:val="008709AC"/>
    <w:rsid w:val="00870AD4"/>
    <w:rsid w:val="00870B98"/>
    <w:rsid w:val="00870D97"/>
    <w:rsid w:val="00870F91"/>
    <w:rsid w:val="00871027"/>
    <w:rsid w:val="008710FC"/>
    <w:rsid w:val="008712AF"/>
    <w:rsid w:val="00871469"/>
    <w:rsid w:val="0087164C"/>
    <w:rsid w:val="008716EC"/>
    <w:rsid w:val="0087178C"/>
    <w:rsid w:val="00871BBC"/>
    <w:rsid w:val="00871C51"/>
    <w:rsid w:val="00872177"/>
    <w:rsid w:val="00872350"/>
    <w:rsid w:val="00872355"/>
    <w:rsid w:val="00872388"/>
    <w:rsid w:val="00872510"/>
    <w:rsid w:val="00872601"/>
    <w:rsid w:val="00872610"/>
    <w:rsid w:val="008726C7"/>
    <w:rsid w:val="00872788"/>
    <w:rsid w:val="00872BC9"/>
    <w:rsid w:val="00872C09"/>
    <w:rsid w:val="00872C95"/>
    <w:rsid w:val="00873264"/>
    <w:rsid w:val="00873529"/>
    <w:rsid w:val="00873776"/>
    <w:rsid w:val="008738CB"/>
    <w:rsid w:val="008739CD"/>
    <w:rsid w:val="00873BA7"/>
    <w:rsid w:val="00873E4B"/>
    <w:rsid w:val="00873E7E"/>
    <w:rsid w:val="00873EFE"/>
    <w:rsid w:val="00873F19"/>
    <w:rsid w:val="00873F47"/>
    <w:rsid w:val="00874131"/>
    <w:rsid w:val="0087469B"/>
    <w:rsid w:val="00874715"/>
    <w:rsid w:val="008747D7"/>
    <w:rsid w:val="00874964"/>
    <w:rsid w:val="008749F9"/>
    <w:rsid w:val="00874FC3"/>
    <w:rsid w:val="00875413"/>
    <w:rsid w:val="0087580D"/>
    <w:rsid w:val="008758F0"/>
    <w:rsid w:val="00875A1A"/>
    <w:rsid w:val="00875A2C"/>
    <w:rsid w:val="00875A76"/>
    <w:rsid w:val="00875AD2"/>
    <w:rsid w:val="00875B70"/>
    <w:rsid w:val="00875BFF"/>
    <w:rsid w:val="00875C01"/>
    <w:rsid w:val="00875C3C"/>
    <w:rsid w:val="00875FA5"/>
    <w:rsid w:val="008761BC"/>
    <w:rsid w:val="00876321"/>
    <w:rsid w:val="00876365"/>
    <w:rsid w:val="008763B4"/>
    <w:rsid w:val="008763E1"/>
    <w:rsid w:val="00876474"/>
    <w:rsid w:val="008765DA"/>
    <w:rsid w:val="00876A0A"/>
    <w:rsid w:val="00876CD2"/>
    <w:rsid w:val="00876D64"/>
    <w:rsid w:val="00876F05"/>
    <w:rsid w:val="00876FD3"/>
    <w:rsid w:val="008773D9"/>
    <w:rsid w:val="008775A3"/>
    <w:rsid w:val="00877642"/>
    <w:rsid w:val="0087781E"/>
    <w:rsid w:val="0087785E"/>
    <w:rsid w:val="00877AF8"/>
    <w:rsid w:val="00877B98"/>
    <w:rsid w:val="00877CCB"/>
    <w:rsid w:val="00880192"/>
    <w:rsid w:val="008801FD"/>
    <w:rsid w:val="00880540"/>
    <w:rsid w:val="00880685"/>
    <w:rsid w:val="00880906"/>
    <w:rsid w:val="0088096E"/>
    <w:rsid w:val="00880A80"/>
    <w:rsid w:val="00880E85"/>
    <w:rsid w:val="0088102A"/>
    <w:rsid w:val="008815BC"/>
    <w:rsid w:val="00881752"/>
    <w:rsid w:val="00881837"/>
    <w:rsid w:val="00881B80"/>
    <w:rsid w:val="00881DA9"/>
    <w:rsid w:val="00881EDE"/>
    <w:rsid w:val="00881FD8"/>
    <w:rsid w:val="00881FE8"/>
    <w:rsid w:val="008820FC"/>
    <w:rsid w:val="008821B5"/>
    <w:rsid w:val="008824A9"/>
    <w:rsid w:val="00882586"/>
    <w:rsid w:val="00882AF7"/>
    <w:rsid w:val="008831F5"/>
    <w:rsid w:val="0088382C"/>
    <w:rsid w:val="008839BC"/>
    <w:rsid w:val="00883B8D"/>
    <w:rsid w:val="0088418B"/>
    <w:rsid w:val="008842AF"/>
    <w:rsid w:val="008847D0"/>
    <w:rsid w:val="00884847"/>
    <w:rsid w:val="00884861"/>
    <w:rsid w:val="008849C8"/>
    <w:rsid w:val="00884ACA"/>
    <w:rsid w:val="00884CBA"/>
    <w:rsid w:val="00884D77"/>
    <w:rsid w:val="00884F3F"/>
    <w:rsid w:val="008853AA"/>
    <w:rsid w:val="0088544C"/>
    <w:rsid w:val="00885494"/>
    <w:rsid w:val="008858FC"/>
    <w:rsid w:val="00885FB9"/>
    <w:rsid w:val="00886221"/>
    <w:rsid w:val="0088668E"/>
    <w:rsid w:val="00886CC5"/>
    <w:rsid w:val="00886E3D"/>
    <w:rsid w:val="00886E98"/>
    <w:rsid w:val="00887117"/>
    <w:rsid w:val="008871FC"/>
    <w:rsid w:val="00887308"/>
    <w:rsid w:val="00887542"/>
    <w:rsid w:val="00887B75"/>
    <w:rsid w:val="00887BA3"/>
    <w:rsid w:val="00887DB1"/>
    <w:rsid w:val="008900D4"/>
    <w:rsid w:val="008901EC"/>
    <w:rsid w:val="008902B3"/>
    <w:rsid w:val="008903D6"/>
    <w:rsid w:val="008904A9"/>
    <w:rsid w:val="008904F9"/>
    <w:rsid w:val="00890901"/>
    <w:rsid w:val="008909A2"/>
    <w:rsid w:val="00890A85"/>
    <w:rsid w:val="00890AF8"/>
    <w:rsid w:val="00890CF9"/>
    <w:rsid w:val="00890EB5"/>
    <w:rsid w:val="00890F5C"/>
    <w:rsid w:val="008912FA"/>
    <w:rsid w:val="00891312"/>
    <w:rsid w:val="0089143B"/>
    <w:rsid w:val="00891532"/>
    <w:rsid w:val="0089157C"/>
    <w:rsid w:val="008915EA"/>
    <w:rsid w:val="00891701"/>
    <w:rsid w:val="00891734"/>
    <w:rsid w:val="0089186E"/>
    <w:rsid w:val="00891A11"/>
    <w:rsid w:val="00891BD4"/>
    <w:rsid w:val="00891C35"/>
    <w:rsid w:val="00891D7B"/>
    <w:rsid w:val="008921E6"/>
    <w:rsid w:val="008922A7"/>
    <w:rsid w:val="008922BD"/>
    <w:rsid w:val="0089283E"/>
    <w:rsid w:val="008928D2"/>
    <w:rsid w:val="008928FD"/>
    <w:rsid w:val="00892A00"/>
    <w:rsid w:val="00893004"/>
    <w:rsid w:val="00893322"/>
    <w:rsid w:val="00893652"/>
    <w:rsid w:val="00893660"/>
    <w:rsid w:val="008937A3"/>
    <w:rsid w:val="008937DA"/>
    <w:rsid w:val="0089384F"/>
    <w:rsid w:val="00893A43"/>
    <w:rsid w:val="00893BFA"/>
    <w:rsid w:val="00893DB2"/>
    <w:rsid w:val="00893E7D"/>
    <w:rsid w:val="0089430F"/>
    <w:rsid w:val="00894393"/>
    <w:rsid w:val="00894689"/>
    <w:rsid w:val="00894826"/>
    <w:rsid w:val="00894905"/>
    <w:rsid w:val="00894AB5"/>
    <w:rsid w:val="00894B8C"/>
    <w:rsid w:val="00894BA2"/>
    <w:rsid w:val="00894E85"/>
    <w:rsid w:val="00894EC5"/>
    <w:rsid w:val="00895096"/>
    <w:rsid w:val="008952A9"/>
    <w:rsid w:val="00895496"/>
    <w:rsid w:val="00895904"/>
    <w:rsid w:val="00895A96"/>
    <w:rsid w:val="00896269"/>
    <w:rsid w:val="008965D7"/>
    <w:rsid w:val="008966C6"/>
    <w:rsid w:val="00896741"/>
    <w:rsid w:val="008968AC"/>
    <w:rsid w:val="00896B17"/>
    <w:rsid w:val="00896E6C"/>
    <w:rsid w:val="00896EB2"/>
    <w:rsid w:val="00896ED3"/>
    <w:rsid w:val="00896EDF"/>
    <w:rsid w:val="00897035"/>
    <w:rsid w:val="0089705F"/>
    <w:rsid w:val="0089734C"/>
    <w:rsid w:val="00897883"/>
    <w:rsid w:val="00897B11"/>
    <w:rsid w:val="00897B2E"/>
    <w:rsid w:val="00897F18"/>
    <w:rsid w:val="008996DA"/>
    <w:rsid w:val="008A007A"/>
    <w:rsid w:val="008A00C4"/>
    <w:rsid w:val="008A011E"/>
    <w:rsid w:val="008A01C0"/>
    <w:rsid w:val="008A03B4"/>
    <w:rsid w:val="008A0472"/>
    <w:rsid w:val="008A04AC"/>
    <w:rsid w:val="008A0845"/>
    <w:rsid w:val="008A08E4"/>
    <w:rsid w:val="008A0A1E"/>
    <w:rsid w:val="008A0A6F"/>
    <w:rsid w:val="008A0B0A"/>
    <w:rsid w:val="008A0B28"/>
    <w:rsid w:val="008A0BED"/>
    <w:rsid w:val="008A0BF1"/>
    <w:rsid w:val="008A0DA5"/>
    <w:rsid w:val="008A0F75"/>
    <w:rsid w:val="008A1054"/>
    <w:rsid w:val="008A11D5"/>
    <w:rsid w:val="008A12B5"/>
    <w:rsid w:val="008A189B"/>
    <w:rsid w:val="008A1AA1"/>
    <w:rsid w:val="008A1C3D"/>
    <w:rsid w:val="008A1F53"/>
    <w:rsid w:val="008A2024"/>
    <w:rsid w:val="008A2168"/>
    <w:rsid w:val="008A22AD"/>
    <w:rsid w:val="008A2326"/>
    <w:rsid w:val="008A256E"/>
    <w:rsid w:val="008A2721"/>
    <w:rsid w:val="008A272F"/>
    <w:rsid w:val="008A2B01"/>
    <w:rsid w:val="008A2CE6"/>
    <w:rsid w:val="008A2E3B"/>
    <w:rsid w:val="008A32F2"/>
    <w:rsid w:val="008A357C"/>
    <w:rsid w:val="008A35AD"/>
    <w:rsid w:val="008A35C8"/>
    <w:rsid w:val="008A393B"/>
    <w:rsid w:val="008A3A6F"/>
    <w:rsid w:val="008A3A74"/>
    <w:rsid w:val="008A3AA6"/>
    <w:rsid w:val="008A3AEA"/>
    <w:rsid w:val="008A3C42"/>
    <w:rsid w:val="008A3EB6"/>
    <w:rsid w:val="008A4005"/>
    <w:rsid w:val="008A42AF"/>
    <w:rsid w:val="008A457E"/>
    <w:rsid w:val="008A45F0"/>
    <w:rsid w:val="008A477E"/>
    <w:rsid w:val="008A4B33"/>
    <w:rsid w:val="008A4E00"/>
    <w:rsid w:val="008A4FD3"/>
    <w:rsid w:val="008A500D"/>
    <w:rsid w:val="008A5010"/>
    <w:rsid w:val="008A5879"/>
    <w:rsid w:val="008A5B9B"/>
    <w:rsid w:val="008A5BD0"/>
    <w:rsid w:val="008A5EAE"/>
    <w:rsid w:val="008A5F0E"/>
    <w:rsid w:val="008A5F62"/>
    <w:rsid w:val="008A605D"/>
    <w:rsid w:val="008A6304"/>
    <w:rsid w:val="008A650B"/>
    <w:rsid w:val="008A66B6"/>
    <w:rsid w:val="008A6960"/>
    <w:rsid w:val="008A6C90"/>
    <w:rsid w:val="008A6F61"/>
    <w:rsid w:val="008A7166"/>
    <w:rsid w:val="008A736F"/>
    <w:rsid w:val="008A7479"/>
    <w:rsid w:val="008A7550"/>
    <w:rsid w:val="008A7720"/>
    <w:rsid w:val="008A781B"/>
    <w:rsid w:val="008A7950"/>
    <w:rsid w:val="008A7E8A"/>
    <w:rsid w:val="008AEE42"/>
    <w:rsid w:val="008B0087"/>
    <w:rsid w:val="008B00D9"/>
    <w:rsid w:val="008B00ED"/>
    <w:rsid w:val="008B0517"/>
    <w:rsid w:val="008B089C"/>
    <w:rsid w:val="008B08EF"/>
    <w:rsid w:val="008B1020"/>
    <w:rsid w:val="008B1089"/>
    <w:rsid w:val="008B11F5"/>
    <w:rsid w:val="008B13F5"/>
    <w:rsid w:val="008B14A8"/>
    <w:rsid w:val="008B1C80"/>
    <w:rsid w:val="008B21FB"/>
    <w:rsid w:val="008B22D9"/>
    <w:rsid w:val="008B23DF"/>
    <w:rsid w:val="008B2495"/>
    <w:rsid w:val="008B291E"/>
    <w:rsid w:val="008B2B9B"/>
    <w:rsid w:val="008B2C30"/>
    <w:rsid w:val="008B2D2B"/>
    <w:rsid w:val="008B30E9"/>
    <w:rsid w:val="008B3116"/>
    <w:rsid w:val="008B3465"/>
    <w:rsid w:val="008B3519"/>
    <w:rsid w:val="008B36D5"/>
    <w:rsid w:val="008B38BA"/>
    <w:rsid w:val="008B419F"/>
    <w:rsid w:val="008B440B"/>
    <w:rsid w:val="008B465A"/>
    <w:rsid w:val="008B477E"/>
    <w:rsid w:val="008B488D"/>
    <w:rsid w:val="008B48D9"/>
    <w:rsid w:val="008B4D56"/>
    <w:rsid w:val="008B4F70"/>
    <w:rsid w:val="008B4FEE"/>
    <w:rsid w:val="008B51E7"/>
    <w:rsid w:val="008B51EE"/>
    <w:rsid w:val="008B5243"/>
    <w:rsid w:val="008B54D9"/>
    <w:rsid w:val="008B55F3"/>
    <w:rsid w:val="008B595F"/>
    <w:rsid w:val="008B5997"/>
    <w:rsid w:val="008B5A28"/>
    <w:rsid w:val="008B5A2E"/>
    <w:rsid w:val="008B5A95"/>
    <w:rsid w:val="008B5B7F"/>
    <w:rsid w:val="008B5BF8"/>
    <w:rsid w:val="008B5BFA"/>
    <w:rsid w:val="008B5EC8"/>
    <w:rsid w:val="008B6064"/>
    <w:rsid w:val="008B61AA"/>
    <w:rsid w:val="008B6611"/>
    <w:rsid w:val="008B668C"/>
    <w:rsid w:val="008B673D"/>
    <w:rsid w:val="008B6B8B"/>
    <w:rsid w:val="008B7092"/>
    <w:rsid w:val="008B7572"/>
    <w:rsid w:val="008B7632"/>
    <w:rsid w:val="008B7829"/>
    <w:rsid w:val="008B78FF"/>
    <w:rsid w:val="008B79A5"/>
    <w:rsid w:val="008B7B56"/>
    <w:rsid w:val="008B7BD5"/>
    <w:rsid w:val="008B7BF0"/>
    <w:rsid w:val="008B7CD4"/>
    <w:rsid w:val="008B7EDD"/>
    <w:rsid w:val="008C0053"/>
    <w:rsid w:val="008C01A8"/>
    <w:rsid w:val="008C0425"/>
    <w:rsid w:val="008C0A0C"/>
    <w:rsid w:val="008C0BB4"/>
    <w:rsid w:val="008C0D37"/>
    <w:rsid w:val="008C0E6F"/>
    <w:rsid w:val="008C1147"/>
    <w:rsid w:val="008C1648"/>
    <w:rsid w:val="008C1888"/>
    <w:rsid w:val="008C19C5"/>
    <w:rsid w:val="008C19C6"/>
    <w:rsid w:val="008C1D42"/>
    <w:rsid w:val="008C23AD"/>
    <w:rsid w:val="008C23F0"/>
    <w:rsid w:val="008C2647"/>
    <w:rsid w:val="008C27A1"/>
    <w:rsid w:val="008C27EA"/>
    <w:rsid w:val="008C28EF"/>
    <w:rsid w:val="008C2A2C"/>
    <w:rsid w:val="008C2AB1"/>
    <w:rsid w:val="008C2BA1"/>
    <w:rsid w:val="008C30CF"/>
    <w:rsid w:val="008C31A4"/>
    <w:rsid w:val="008C322A"/>
    <w:rsid w:val="008C322C"/>
    <w:rsid w:val="008C3254"/>
    <w:rsid w:val="008C328A"/>
    <w:rsid w:val="008C346E"/>
    <w:rsid w:val="008C35AD"/>
    <w:rsid w:val="008C39C8"/>
    <w:rsid w:val="008C3A4C"/>
    <w:rsid w:val="008C3A86"/>
    <w:rsid w:val="008C3B52"/>
    <w:rsid w:val="008C3C30"/>
    <w:rsid w:val="008C3E75"/>
    <w:rsid w:val="008C3ED1"/>
    <w:rsid w:val="008C407A"/>
    <w:rsid w:val="008C4426"/>
    <w:rsid w:val="008C4919"/>
    <w:rsid w:val="008C4A83"/>
    <w:rsid w:val="008C510A"/>
    <w:rsid w:val="008C51C9"/>
    <w:rsid w:val="008C5204"/>
    <w:rsid w:val="008C5230"/>
    <w:rsid w:val="008C5320"/>
    <w:rsid w:val="008C5485"/>
    <w:rsid w:val="008C5647"/>
    <w:rsid w:val="008C564A"/>
    <w:rsid w:val="008C581A"/>
    <w:rsid w:val="008C5971"/>
    <w:rsid w:val="008C5A63"/>
    <w:rsid w:val="008C5D9A"/>
    <w:rsid w:val="008C5F5C"/>
    <w:rsid w:val="008C5FED"/>
    <w:rsid w:val="008C61CF"/>
    <w:rsid w:val="008C62BE"/>
    <w:rsid w:val="008C649E"/>
    <w:rsid w:val="008C64E9"/>
    <w:rsid w:val="008C6711"/>
    <w:rsid w:val="008C6890"/>
    <w:rsid w:val="008C68EA"/>
    <w:rsid w:val="008C6DCF"/>
    <w:rsid w:val="008C7010"/>
    <w:rsid w:val="008C73AD"/>
    <w:rsid w:val="008C7464"/>
    <w:rsid w:val="008C7550"/>
    <w:rsid w:val="008C7847"/>
    <w:rsid w:val="008C7DB5"/>
    <w:rsid w:val="008C7ED5"/>
    <w:rsid w:val="008D0008"/>
    <w:rsid w:val="008D0097"/>
    <w:rsid w:val="008D00F0"/>
    <w:rsid w:val="008D039D"/>
    <w:rsid w:val="008D04AE"/>
    <w:rsid w:val="008D07C5"/>
    <w:rsid w:val="008D0B94"/>
    <w:rsid w:val="008D0D86"/>
    <w:rsid w:val="008D1044"/>
    <w:rsid w:val="008D12C2"/>
    <w:rsid w:val="008D147A"/>
    <w:rsid w:val="008D15BB"/>
    <w:rsid w:val="008D1B44"/>
    <w:rsid w:val="008D1CCD"/>
    <w:rsid w:val="008D1E69"/>
    <w:rsid w:val="008D1E71"/>
    <w:rsid w:val="008D2224"/>
    <w:rsid w:val="008D2318"/>
    <w:rsid w:val="008D2332"/>
    <w:rsid w:val="008D263C"/>
    <w:rsid w:val="008D278E"/>
    <w:rsid w:val="008D2A72"/>
    <w:rsid w:val="008D2BA1"/>
    <w:rsid w:val="008D2CF1"/>
    <w:rsid w:val="008D3103"/>
    <w:rsid w:val="008D3316"/>
    <w:rsid w:val="008D3615"/>
    <w:rsid w:val="008D370D"/>
    <w:rsid w:val="008D3ABD"/>
    <w:rsid w:val="008D3E39"/>
    <w:rsid w:val="008D43D4"/>
    <w:rsid w:val="008D4650"/>
    <w:rsid w:val="008D4B1E"/>
    <w:rsid w:val="008D4B9A"/>
    <w:rsid w:val="008D51FE"/>
    <w:rsid w:val="008D541C"/>
    <w:rsid w:val="008D5940"/>
    <w:rsid w:val="008D5D13"/>
    <w:rsid w:val="008D60C4"/>
    <w:rsid w:val="008D613B"/>
    <w:rsid w:val="008D6305"/>
    <w:rsid w:val="008D660B"/>
    <w:rsid w:val="008D6649"/>
    <w:rsid w:val="008D680C"/>
    <w:rsid w:val="008D6A19"/>
    <w:rsid w:val="008D6AA2"/>
    <w:rsid w:val="008D6C9D"/>
    <w:rsid w:val="008D6DB7"/>
    <w:rsid w:val="008D6EC0"/>
    <w:rsid w:val="008D727E"/>
    <w:rsid w:val="008D74E2"/>
    <w:rsid w:val="008D751A"/>
    <w:rsid w:val="008D761C"/>
    <w:rsid w:val="008D7747"/>
    <w:rsid w:val="008D79AD"/>
    <w:rsid w:val="008D7C5F"/>
    <w:rsid w:val="008D7CE3"/>
    <w:rsid w:val="008D7D02"/>
    <w:rsid w:val="008E0073"/>
    <w:rsid w:val="008E02FB"/>
    <w:rsid w:val="008E031F"/>
    <w:rsid w:val="008E061E"/>
    <w:rsid w:val="008E070A"/>
    <w:rsid w:val="008E0B21"/>
    <w:rsid w:val="008E0D0F"/>
    <w:rsid w:val="008E0D8D"/>
    <w:rsid w:val="008E0DB3"/>
    <w:rsid w:val="008E0DBC"/>
    <w:rsid w:val="008E0F84"/>
    <w:rsid w:val="008E0FC8"/>
    <w:rsid w:val="008E109D"/>
    <w:rsid w:val="008E17B7"/>
    <w:rsid w:val="008E182B"/>
    <w:rsid w:val="008E20B8"/>
    <w:rsid w:val="008E2206"/>
    <w:rsid w:val="008E2600"/>
    <w:rsid w:val="008E26E6"/>
    <w:rsid w:val="008E2807"/>
    <w:rsid w:val="008E29CE"/>
    <w:rsid w:val="008E2CF2"/>
    <w:rsid w:val="008E3174"/>
    <w:rsid w:val="008E3498"/>
    <w:rsid w:val="008E37EF"/>
    <w:rsid w:val="008E398F"/>
    <w:rsid w:val="008E3B97"/>
    <w:rsid w:val="008E3F65"/>
    <w:rsid w:val="008E3FE9"/>
    <w:rsid w:val="008E42FC"/>
    <w:rsid w:val="008E497D"/>
    <w:rsid w:val="008E4BE7"/>
    <w:rsid w:val="008E4E23"/>
    <w:rsid w:val="008E4ED6"/>
    <w:rsid w:val="008E4EEA"/>
    <w:rsid w:val="008E53E7"/>
    <w:rsid w:val="008E5637"/>
    <w:rsid w:val="008E567E"/>
    <w:rsid w:val="008E5798"/>
    <w:rsid w:val="008E57A3"/>
    <w:rsid w:val="008E58DD"/>
    <w:rsid w:val="008E5FC2"/>
    <w:rsid w:val="008E6198"/>
    <w:rsid w:val="008E62DD"/>
    <w:rsid w:val="008E62FE"/>
    <w:rsid w:val="008E6878"/>
    <w:rsid w:val="008E68CA"/>
    <w:rsid w:val="008E693F"/>
    <w:rsid w:val="008E6C99"/>
    <w:rsid w:val="008E6F76"/>
    <w:rsid w:val="008E70CC"/>
    <w:rsid w:val="008E7702"/>
    <w:rsid w:val="008E7819"/>
    <w:rsid w:val="008E79DE"/>
    <w:rsid w:val="008E7C85"/>
    <w:rsid w:val="008F01FE"/>
    <w:rsid w:val="008F064F"/>
    <w:rsid w:val="008F06B7"/>
    <w:rsid w:val="008F0AE3"/>
    <w:rsid w:val="008F0C5A"/>
    <w:rsid w:val="008F0D90"/>
    <w:rsid w:val="008F1115"/>
    <w:rsid w:val="008F1131"/>
    <w:rsid w:val="008F1467"/>
    <w:rsid w:val="008F1719"/>
    <w:rsid w:val="008F1864"/>
    <w:rsid w:val="008F187F"/>
    <w:rsid w:val="008F1923"/>
    <w:rsid w:val="008F1A42"/>
    <w:rsid w:val="008F1B88"/>
    <w:rsid w:val="008F1BBC"/>
    <w:rsid w:val="008F1BF4"/>
    <w:rsid w:val="008F1EDC"/>
    <w:rsid w:val="008F1F82"/>
    <w:rsid w:val="008F203C"/>
    <w:rsid w:val="008F29C1"/>
    <w:rsid w:val="008F29E9"/>
    <w:rsid w:val="008F2A8A"/>
    <w:rsid w:val="008F2F40"/>
    <w:rsid w:val="008F31C7"/>
    <w:rsid w:val="008F31DE"/>
    <w:rsid w:val="008F340D"/>
    <w:rsid w:val="008F34E9"/>
    <w:rsid w:val="008F37AA"/>
    <w:rsid w:val="008F37F6"/>
    <w:rsid w:val="008F38DF"/>
    <w:rsid w:val="008F3A19"/>
    <w:rsid w:val="008F3E85"/>
    <w:rsid w:val="008F3F00"/>
    <w:rsid w:val="008F3F87"/>
    <w:rsid w:val="008F4181"/>
    <w:rsid w:val="008F4641"/>
    <w:rsid w:val="008F4783"/>
    <w:rsid w:val="008F494C"/>
    <w:rsid w:val="008F4979"/>
    <w:rsid w:val="008F5000"/>
    <w:rsid w:val="008F53E9"/>
    <w:rsid w:val="008F5936"/>
    <w:rsid w:val="008F59D5"/>
    <w:rsid w:val="008F5AD3"/>
    <w:rsid w:val="008F6712"/>
    <w:rsid w:val="008F671E"/>
    <w:rsid w:val="008F6D07"/>
    <w:rsid w:val="008F6D99"/>
    <w:rsid w:val="008F6DE7"/>
    <w:rsid w:val="008F6E3C"/>
    <w:rsid w:val="008F6F47"/>
    <w:rsid w:val="008F728A"/>
    <w:rsid w:val="008F73E7"/>
    <w:rsid w:val="008F74D2"/>
    <w:rsid w:val="008F7774"/>
    <w:rsid w:val="008F795A"/>
    <w:rsid w:val="008F7984"/>
    <w:rsid w:val="008F7A2C"/>
    <w:rsid w:val="008F7D6E"/>
    <w:rsid w:val="009001B0"/>
    <w:rsid w:val="009001E7"/>
    <w:rsid w:val="009004B9"/>
    <w:rsid w:val="00900560"/>
    <w:rsid w:val="00900757"/>
    <w:rsid w:val="009007A1"/>
    <w:rsid w:val="00900825"/>
    <w:rsid w:val="00900A16"/>
    <w:rsid w:val="00900B24"/>
    <w:rsid w:val="00900CE8"/>
    <w:rsid w:val="00900DF7"/>
    <w:rsid w:val="00900F01"/>
    <w:rsid w:val="00901155"/>
    <w:rsid w:val="009011FE"/>
    <w:rsid w:val="009014DD"/>
    <w:rsid w:val="009017BA"/>
    <w:rsid w:val="00901AAC"/>
    <w:rsid w:val="00901C2D"/>
    <w:rsid w:val="00902096"/>
    <w:rsid w:val="00902097"/>
    <w:rsid w:val="0090259A"/>
    <w:rsid w:val="009026A4"/>
    <w:rsid w:val="009027D4"/>
    <w:rsid w:val="009029EA"/>
    <w:rsid w:val="00902DD2"/>
    <w:rsid w:val="00902EFF"/>
    <w:rsid w:val="0090322E"/>
    <w:rsid w:val="009037D5"/>
    <w:rsid w:val="009037D6"/>
    <w:rsid w:val="00903AF0"/>
    <w:rsid w:val="00903CF5"/>
    <w:rsid w:val="00903DE1"/>
    <w:rsid w:val="0090405F"/>
    <w:rsid w:val="009046DC"/>
    <w:rsid w:val="0090474F"/>
    <w:rsid w:val="00904939"/>
    <w:rsid w:val="00904B55"/>
    <w:rsid w:val="00904C03"/>
    <w:rsid w:val="00904F3C"/>
    <w:rsid w:val="00905016"/>
    <w:rsid w:val="00905039"/>
    <w:rsid w:val="0090525D"/>
    <w:rsid w:val="009052D3"/>
    <w:rsid w:val="0090531C"/>
    <w:rsid w:val="009053C3"/>
    <w:rsid w:val="0090563C"/>
    <w:rsid w:val="0090577B"/>
    <w:rsid w:val="009057E9"/>
    <w:rsid w:val="00905876"/>
    <w:rsid w:val="009059F2"/>
    <w:rsid w:val="00905A7F"/>
    <w:rsid w:val="00905F4E"/>
    <w:rsid w:val="00905F8D"/>
    <w:rsid w:val="009061F1"/>
    <w:rsid w:val="0090669A"/>
    <w:rsid w:val="00906974"/>
    <w:rsid w:val="009069B4"/>
    <w:rsid w:val="00906D6F"/>
    <w:rsid w:val="00906DA7"/>
    <w:rsid w:val="00906DFB"/>
    <w:rsid w:val="0090703A"/>
    <w:rsid w:val="00907187"/>
    <w:rsid w:val="0090742C"/>
    <w:rsid w:val="00907438"/>
    <w:rsid w:val="00907588"/>
    <w:rsid w:val="009075D3"/>
    <w:rsid w:val="009078A3"/>
    <w:rsid w:val="009078E7"/>
    <w:rsid w:val="00907A97"/>
    <w:rsid w:val="00907B22"/>
    <w:rsid w:val="00907CBC"/>
    <w:rsid w:val="00907F97"/>
    <w:rsid w:val="00910796"/>
    <w:rsid w:val="00910A8C"/>
    <w:rsid w:val="00910CD8"/>
    <w:rsid w:val="00911289"/>
    <w:rsid w:val="00911300"/>
    <w:rsid w:val="00911472"/>
    <w:rsid w:val="009116EE"/>
    <w:rsid w:val="00911826"/>
    <w:rsid w:val="0091197D"/>
    <w:rsid w:val="00911AA0"/>
    <w:rsid w:val="00911B30"/>
    <w:rsid w:val="00911BBB"/>
    <w:rsid w:val="00911BF0"/>
    <w:rsid w:val="00911D51"/>
    <w:rsid w:val="00911D9E"/>
    <w:rsid w:val="00911DFB"/>
    <w:rsid w:val="0091212C"/>
    <w:rsid w:val="0091248B"/>
    <w:rsid w:val="009124A3"/>
    <w:rsid w:val="00912561"/>
    <w:rsid w:val="009125A5"/>
    <w:rsid w:val="009127A0"/>
    <w:rsid w:val="0091291E"/>
    <w:rsid w:val="009129ED"/>
    <w:rsid w:val="00912B5D"/>
    <w:rsid w:val="00912B8E"/>
    <w:rsid w:val="00912BE7"/>
    <w:rsid w:val="00912EDC"/>
    <w:rsid w:val="00912F9D"/>
    <w:rsid w:val="0091333D"/>
    <w:rsid w:val="0091334E"/>
    <w:rsid w:val="009135AA"/>
    <w:rsid w:val="0091363C"/>
    <w:rsid w:val="00913880"/>
    <w:rsid w:val="00913DC7"/>
    <w:rsid w:val="009140D6"/>
    <w:rsid w:val="0091429E"/>
    <w:rsid w:val="00914368"/>
    <w:rsid w:val="009143D6"/>
    <w:rsid w:val="009143DF"/>
    <w:rsid w:val="00914458"/>
    <w:rsid w:val="009144AC"/>
    <w:rsid w:val="00914795"/>
    <w:rsid w:val="009147FD"/>
    <w:rsid w:val="00914823"/>
    <w:rsid w:val="00914839"/>
    <w:rsid w:val="009148CD"/>
    <w:rsid w:val="00914DBF"/>
    <w:rsid w:val="009155C3"/>
    <w:rsid w:val="0091561A"/>
    <w:rsid w:val="0091567D"/>
    <w:rsid w:val="009156B4"/>
    <w:rsid w:val="00915A6E"/>
    <w:rsid w:val="00915A9F"/>
    <w:rsid w:val="00915B71"/>
    <w:rsid w:val="00915CBC"/>
    <w:rsid w:val="00915CC1"/>
    <w:rsid w:val="00915FBD"/>
    <w:rsid w:val="00916514"/>
    <w:rsid w:val="00916751"/>
    <w:rsid w:val="00916764"/>
    <w:rsid w:val="009168B5"/>
    <w:rsid w:val="00916B83"/>
    <w:rsid w:val="00916C05"/>
    <w:rsid w:val="00916C4E"/>
    <w:rsid w:val="00916D1A"/>
    <w:rsid w:val="0091718F"/>
    <w:rsid w:val="00917209"/>
    <w:rsid w:val="00917331"/>
    <w:rsid w:val="0091766C"/>
    <w:rsid w:val="009177F8"/>
    <w:rsid w:val="00917D55"/>
    <w:rsid w:val="00917D71"/>
    <w:rsid w:val="00920139"/>
    <w:rsid w:val="00920215"/>
    <w:rsid w:val="0092041D"/>
    <w:rsid w:val="00920601"/>
    <w:rsid w:val="00920F29"/>
    <w:rsid w:val="00921056"/>
    <w:rsid w:val="0092127E"/>
    <w:rsid w:val="009213A3"/>
    <w:rsid w:val="009213BB"/>
    <w:rsid w:val="0092140B"/>
    <w:rsid w:val="0092152A"/>
    <w:rsid w:val="0092167B"/>
    <w:rsid w:val="009216D3"/>
    <w:rsid w:val="00921741"/>
    <w:rsid w:val="00921787"/>
    <w:rsid w:val="00921C43"/>
    <w:rsid w:val="00921FA3"/>
    <w:rsid w:val="00922080"/>
    <w:rsid w:val="00922087"/>
    <w:rsid w:val="0092224C"/>
    <w:rsid w:val="009223A3"/>
    <w:rsid w:val="00922428"/>
    <w:rsid w:val="00922598"/>
    <w:rsid w:val="009227FF"/>
    <w:rsid w:val="00922A41"/>
    <w:rsid w:val="00922B0B"/>
    <w:rsid w:val="00922DAB"/>
    <w:rsid w:val="00922E2D"/>
    <w:rsid w:val="0092305B"/>
    <w:rsid w:val="00923113"/>
    <w:rsid w:val="00923887"/>
    <w:rsid w:val="009239AB"/>
    <w:rsid w:val="00923B14"/>
    <w:rsid w:val="00923CFA"/>
    <w:rsid w:val="00923DE5"/>
    <w:rsid w:val="00923EA9"/>
    <w:rsid w:val="00923EE5"/>
    <w:rsid w:val="00923F0E"/>
    <w:rsid w:val="0092401B"/>
    <w:rsid w:val="009244B5"/>
    <w:rsid w:val="009245BC"/>
    <w:rsid w:val="009247A4"/>
    <w:rsid w:val="00924D94"/>
    <w:rsid w:val="00924E95"/>
    <w:rsid w:val="00924EAB"/>
    <w:rsid w:val="00924F72"/>
    <w:rsid w:val="00924FD4"/>
    <w:rsid w:val="00925073"/>
    <w:rsid w:val="009251B5"/>
    <w:rsid w:val="00925280"/>
    <w:rsid w:val="0092579A"/>
    <w:rsid w:val="00925917"/>
    <w:rsid w:val="00925973"/>
    <w:rsid w:val="00925AE0"/>
    <w:rsid w:val="00925B83"/>
    <w:rsid w:val="00925E09"/>
    <w:rsid w:val="00925E31"/>
    <w:rsid w:val="00926199"/>
    <w:rsid w:val="009262FF"/>
    <w:rsid w:val="00926381"/>
    <w:rsid w:val="009263D2"/>
    <w:rsid w:val="00926488"/>
    <w:rsid w:val="00926643"/>
    <w:rsid w:val="00926744"/>
    <w:rsid w:val="00926785"/>
    <w:rsid w:val="00926802"/>
    <w:rsid w:val="00926908"/>
    <w:rsid w:val="00926B2C"/>
    <w:rsid w:val="00926B75"/>
    <w:rsid w:val="00926D91"/>
    <w:rsid w:val="00926EF1"/>
    <w:rsid w:val="00926FD8"/>
    <w:rsid w:val="009270D7"/>
    <w:rsid w:val="00927720"/>
    <w:rsid w:val="00927C1E"/>
    <w:rsid w:val="00927CEC"/>
    <w:rsid w:val="00930029"/>
    <w:rsid w:val="00930486"/>
    <w:rsid w:val="009309BC"/>
    <w:rsid w:val="00930E10"/>
    <w:rsid w:val="00930F15"/>
    <w:rsid w:val="00930F77"/>
    <w:rsid w:val="009311C2"/>
    <w:rsid w:val="0093123D"/>
    <w:rsid w:val="00931272"/>
    <w:rsid w:val="009312D6"/>
    <w:rsid w:val="009313DF"/>
    <w:rsid w:val="009314BA"/>
    <w:rsid w:val="00931660"/>
    <w:rsid w:val="00931963"/>
    <w:rsid w:val="00931CC9"/>
    <w:rsid w:val="00931F23"/>
    <w:rsid w:val="009320AB"/>
    <w:rsid w:val="0093268E"/>
    <w:rsid w:val="009327FF"/>
    <w:rsid w:val="0093294E"/>
    <w:rsid w:val="009334D1"/>
    <w:rsid w:val="0093368F"/>
    <w:rsid w:val="009336B1"/>
    <w:rsid w:val="00933D48"/>
    <w:rsid w:val="00933D57"/>
    <w:rsid w:val="00933D80"/>
    <w:rsid w:val="00934400"/>
    <w:rsid w:val="009344C7"/>
    <w:rsid w:val="009344DB"/>
    <w:rsid w:val="009345A6"/>
    <w:rsid w:val="009347C1"/>
    <w:rsid w:val="00934898"/>
    <w:rsid w:val="00934D70"/>
    <w:rsid w:val="00935022"/>
    <w:rsid w:val="00935241"/>
    <w:rsid w:val="0093572B"/>
    <w:rsid w:val="00935785"/>
    <w:rsid w:val="0093587A"/>
    <w:rsid w:val="00935D5F"/>
    <w:rsid w:val="00935E8F"/>
    <w:rsid w:val="00935F47"/>
    <w:rsid w:val="00936307"/>
    <w:rsid w:val="0093640D"/>
    <w:rsid w:val="00936BCF"/>
    <w:rsid w:val="00936C03"/>
    <w:rsid w:val="00936C11"/>
    <w:rsid w:val="00936C54"/>
    <w:rsid w:val="00936C94"/>
    <w:rsid w:val="00936E3E"/>
    <w:rsid w:val="0093709A"/>
    <w:rsid w:val="009372C4"/>
    <w:rsid w:val="009373D7"/>
    <w:rsid w:val="00937714"/>
    <w:rsid w:val="00937ADE"/>
    <w:rsid w:val="00937C6F"/>
    <w:rsid w:val="00937C90"/>
    <w:rsid w:val="00937D5E"/>
    <w:rsid w:val="00937EC2"/>
    <w:rsid w:val="009400F0"/>
    <w:rsid w:val="0094015C"/>
    <w:rsid w:val="009402EE"/>
    <w:rsid w:val="0094053F"/>
    <w:rsid w:val="009409F1"/>
    <w:rsid w:val="00940A18"/>
    <w:rsid w:val="00940B76"/>
    <w:rsid w:val="00940E25"/>
    <w:rsid w:val="00941229"/>
    <w:rsid w:val="009412C0"/>
    <w:rsid w:val="0094160B"/>
    <w:rsid w:val="009417E2"/>
    <w:rsid w:val="009418D3"/>
    <w:rsid w:val="009419B7"/>
    <w:rsid w:val="00941B0A"/>
    <w:rsid w:val="00941B2B"/>
    <w:rsid w:val="00941C4A"/>
    <w:rsid w:val="00941CFE"/>
    <w:rsid w:val="009422B0"/>
    <w:rsid w:val="00942364"/>
    <w:rsid w:val="009426CB"/>
    <w:rsid w:val="00942E4D"/>
    <w:rsid w:val="00942E80"/>
    <w:rsid w:val="00942EE1"/>
    <w:rsid w:val="0094307B"/>
    <w:rsid w:val="009430DB"/>
    <w:rsid w:val="009430DD"/>
    <w:rsid w:val="00943351"/>
    <w:rsid w:val="00943371"/>
    <w:rsid w:val="0094364D"/>
    <w:rsid w:val="009437D7"/>
    <w:rsid w:val="00943816"/>
    <w:rsid w:val="00943885"/>
    <w:rsid w:val="009439FF"/>
    <w:rsid w:val="00943D3C"/>
    <w:rsid w:val="00943DA9"/>
    <w:rsid w:val="00943F02"/>
    <w:rsid w:val="00943FDC"/>
    <w:rsid w:val="00944243"/>
    <w:rsid w:val="009442E6"/>
    <w:rsid w:val="00944342"/>
    <w:rsid w:val="009445BA"/>
    <w:rsid w:val="009447A1"/>
    <w:rsid w:val="009447CE"/>
    <w:rsid w:val="00944875"/>
    <w:rsid w:val="00944963"/>
    <w:rsid w:val="00944C18"/>
    <w:rsid w:val="00944C6F"/>
    <w:rsid w:val="00944C8C"/>
    <w:rsid w:val="00944D54"/>
    <w:rsid w:val="00944DC3"/>
    <w:rsid w:val="00944DEA"/>
    <w:rsid w:val="00944E30"/>
    <w:rsid w:val="00944F24"/>
    <w:rsid w:val="009452FB"/>
    <w:rsid w:val="00945575"/>
    <w:rsid w:val="009457C9"/>
    <w:rsid w:val="00945A16"/>
    <w:rsid w:val="00945AA1"/>
    <w:rsid w:val="00945CA9"/>
    <w:rsid w:val="00945EDF"/>
    <w:rsid w:val="00945EF6"/>
    <w:rsid w:val="009460E1"/>
    <w:rsid w:val="009460F9"/>
    <w:rsid w:val="009464A5"/>
    <w:rsid w:val="00946505"/>
    <w:rsid w:val="00946CC5"/>
    <w:rsid w:val="0094733D"/>
    <w:rsid w:val="00947493"/>
    <w:rsid w:val="0094767F"/>
    <w:rsid w:val="009476E3"/>
    <w:rsid w:val="009476E5"/>
    <w:rsid w:val="0094776E"/>
    <w:rsid w:val="00947D29"/>
    <w:rsid w:val="00947F43"/>
    <w:rsid w:val="0095003B"/>
    <w:rsid w:val="0095022B"/>
    <w:rsid w:val="00950568"/>
    <w:rsid w:val="00950B74"/>
    <w:rsid w:val="00950BC6"/>
    <w:rsid w:val="00950D3A"/>
    <w:rsid w:val="00950E24"/>
    <w:rsid w:val="009512B1"/>
    <w:rsid w:val="009514E5"/>
    <w:rsid w:val="00951666"/>
    <w:rsid w:val="00951903"/>
    <w:rsid w:val="009519D4"/>
    <w:rsid w:val="00951A0F"/>
    <w:rsid w:val="00951A18"/>
    <w:rsid w:val="00951A59"/>
    <w:rsid w:val="00951C1E"/>
    <w:rsid w:val="00952419"/>
    <w:rsid w:val="009524CE"/>
    <w:rsid w:val="009527C8"/>
    <w:rsid w:val="009527F5"/>
    <w:rsid w:val="00952911"/>
    <w:rsid w:val="00952929"/>
    <w:rsid w:val="00952AA1"/>
    <w:rsid w:val="00952B9C"/>
    <w:rsid w:val="00952CB6"/>
    <w:rsid w:val="00952E8A"/>
    <w:rsid w:val="00952F80"/>
    <w:rsid w:val="0095315E"/>
    <w:rsid w:val="0095343E"/>
    <w:rsid w:val="0095344F"/>
    <w:rsid w:val="00953679"/>
    <w:rsid w:val="00953A8E"/>
    <w:rsid w:val="00953E06"/>
    <w:rsid w:val="00953EA5"/>
    <w:rsid w:val="00953FD7"/>
    <w:rsid w:val="009540C9"/>
    <w:rsid w:val="00954710"/>
    <w:rsid w:val="0095495A"/>
    <w:rsid w:val="009549A5"/>
    <w:rsid w:val="009549E2"/>
    <w:rsid w:val="00954AAA"/>
    <w:rsid w:val="00954B08"/>
    <w:rsid w:val="00954D75"/>
    <w:rsid w:val="00954D7C"/>
    <w:rsid w:val="00954F77"/>
    <w:rsid w:val="0095527F"/>
    <w:rsid w:val="009554E6"/>
    <w:rsid w:val="00955521"/>
    <w:rsid w:val="00955608"/>
    <w:rsid w:val="009556CB"/>
    <w:rsid w:val="00955710"/>
    <w:rsid w:val="009559DC"/>
    <w:rsid w:val="00955B02"/>
    <w:rsid w:val="00955CB6"/>
    <w:rsid w:val="00955D51"/>
    <w:rsid w:val="009561E6"/>
    <w:rsid w:val="00956452"/>
    <w:rsid w:val="00956530"/>
    <w:rsid w:val="009565DF"/>
    <w:rsid w:val="00956656"/>
    <w:rsid w:val="00956860"/>
    <w:rsid w:val="00956931"/>
    <w:rsid w:val="00956975"/>
    <w:rsid w:val="00956997"/>
    <w:rsid w:val="00956F84"/>
    <w:rsid w:val="00956FA1"/>
    <w:rsid w:val="009571F0"/>
    <w:rsid w:val="00957283"/>
    <w:rsid w:val="00957427"/>
    <w:rsid w:val="00957857"/>
    <w:rsid w:val="00957A53"/>
    <w:rsid w:val="00957A8F"/>
    <w:rsid w:val="00957BDE"/>
    <w:rsid w:val="00957C2F"/>
    <w:rsid w:val="00957EC3"/>
    <w:rsid w:val="00957F48"/>
    <w:rsid w:val="00960024"/>
    <w:rsid w:val="009602B0"/>
    <w:rsid w:val="009606D3"/>
    <w:rsid w:val="009608E3"/>
    <w:rsid w:val="00960AF2"/>
    <w:rsid w:val="00960C6C"/>
    <w:rsid w:val="00961154"/>
    <w:rsid w:val="009611A5"/>
    <w:rsid w:val="0096135E"/>
    <w:rsid w:val="009614F0"/>
    <w:rsid w:val="009615FE"/>
    <w:rsid w:val="00961637"/>
    <w:rsid w:val="009619B9"/>
    <w:rsid w:val="0096216E"/>
    <w:rsid w:val="00962563"/>
    <w:rsid w:val="00962672"/>
    <w:rsid w:val="0096289A"/>
    <w:rsid w:val="00962FA2"/>
    <w:rsid w:val="009630A3"/>
    <w:rsid w:val="009631EE"/>
    <w:rsid w:val="00963350"/>
    <w:rsid w:val="009634C2"/>
    <w:rsid w:val="009634DE"/>
    <w:rsid w:val="00963902"/>
    <w:rsid w:val="00963AC9"/>
    <w:rsid w:val="00963BFD"/>
    <w:rsid w:val="00963D15"/>
    <w:rsid w:val="00963F18"/>
    <w:rsid w:val="00963F1F"/>
    <w:rsid w:val="00964192"/>
    <w:rsid w:val="00964311"/>
    <w:rsid w:val="0096453F"/>
    <w:rsid w:val="00964B61"/>
    <w:rsid w:val="00964B69"/>
    <w:rsid w:val="00964C83"/>
    <w:rsid w:val="00964F4F"/>
    <w:rsid w:val="009655DE"/>
    <w:rsid w:val="00965A59"/>
    <w:rsid w:val="00965A6E"/>
    <w:rsid w:val="00965BE8"/>
    <w:rsid w:val="00965CFA"/>
    <w:rsid w:val="00965F01"/>
    <w:rsid w:val="00966160"/>
    <w:rsid w:val="00966222"/>
    <w:rsid w:val="0096632E"/>
    <w:rsid w:val="009663AF"/>
    <w:rsid w:val="0096646A"/>
    <w:rsid w:val="009668A4"/>
    <w:rsid w:val="0096715B"/>
    <w:rsid w:val="00967177"/>
    <w:rsid w:val="0096729A"/>
    <w:rsid w:val="009676F6"/>
    <w:rsid w:val="00967AE5"/>
    <w:rsid w:val="00967BFE"/>
    <w:rsid w:val="00967D37"/>
    <w:rsid w:val="00967D64"/>
    <w:rsid w:val="00967FFA"/>
    <w:rsid w:val="0096B48B"/>
    <w:rsid w:val="0097005A"/>
    <w:rsid w:val="0097011D"/>
    <w:rsid w:val="00970242"/>
    <w:rsid w:val="00970405"/>
    <w:rsid w:val="0097055C"/>
    <w:rsid w:val="009706F3"/>
    <w:rsid w:val="009707D7"/>
    <w:rsid w:val="009708F7"/>
    <w:rsid w:val="0097099C"/>
    <w:rsid w:val="00970A61"/>
    <w:rsid w:val="00970B4B"/>
    <w:rsid w:val="00970B85"/>
    <w:rsid w:val="00970D73"/>
    <w:rsid w:val="00970E37"/>
    <w:rsid w:val="00970F27"/>
    <w:rsid w:val="00971125"/>
    <w:rsid w:val="009713E1"/>
    <w:rsid w:val="009715B5"/>
    <w:rsid w:val="00971637"/>
    <w:rsid w:val="009716CD"/>
    <w:rsid w:val="00971726"/>
    <w:rsid w:val="00971964"/>
    <w:rsid w:val="0097196A"/>
    <w:rsid w:val="00971A3B"/>
    <w:rsid w:val="00971E1E"/>
    <w:rsid w:val="00972092"/>
    <w:rsid w:val="009723D3"/>
    <w:rsid w:val="009725F0"/>
    <w:rsid w:val="00972632"/>
    <w:rsid w:val="00972B63"/>
    <w:rsid w:val="00972CB5"/>
    <w:rsid w:val="00972D91"/>
    <w:rsid w:val="0097380E"/>
    <w:rsid w:val="00973B87"/>
    <w:rsid w:val="00973DA6"/>
    <w:rsid w:val="00973F2E"/>
    <w:rsid w:val="00974025"/>
    <w:rsid w:val="00974062"/>
    <w:rsid w:val="009741E0"/>
    <w:rsid w:val="00974695"/>
    <w:rsid w:val="0097487A"/>
    <w:rsid w:val="00974968"/>
    <w:rsid w:val="00974BB5"/>
    <w:rsid w:val="00974C7B"/>
    <w:rsid w:val="00974D1D"/>
    <w:rsid w:val="009752C7"/>
    <w:rsid w:val="00975358"/>
    <w:rsid w:val="0097539B"/>
    <w:rsid w:val="00975580"/>
    <w:rsid w:val="00975582"/>
    <w:rsid w:val="009756FB"/>
    <w:rsid w:val="00975747"/>
    <w:rsid w:val="009757E6"/>
    <w:rsid w:val="0097589D"/>
    <w:rsid w:val="00975992"/>
    <w:rsid w:val="00975A73"/>
    <w:rsid w:val="00975B12"/>
    <w:rsid w:val="00975D52"/>
    <w:rsid w:val="00975F15"/>
    <w:rsid w:val="0097608F"/>
    <w:rsid w:val="009761AB"/>
    <w:rsid w:val="00976AA5"/>
    <w:rsid w:val="00976BBE"/>
    <w:rsid w:val="00976CFA"/>
    <w:rsid w:val="00976F04"/>
    <w:rsid w:val="00977134"/>
    <w:rsid w:val="00977896"/>
    <w:rsid w:val="009778E0"/>
    <w:rsid w:val="009779F8"/>
    <w:rsid w:val="0097923F"/>
    <w:rsid w:val="00980103"/>
    <w:rsid w:val="0098017C"/>
    <w:rsid w:val="00980193"/>
    <w:rsid w:val="009801BA"/>
    <w:rsid w:val="00980252"/>
    <w:rsid w:val="00980380"/>
    <w:rsid w:val="00980623"/>
    <w:rsid w:val="009806DA"/>
    <w:rsid w:val="00980AAE"/>
    <w:rsid w:val="00980CE0"/>
    <w:rsid w:val="00980D3D"/>
    <w:rsid w:val="00980E2F"/>
    <w:rsid w:val="00980E79"/>
    <w:rsid w:val="0098127D"/>
    <w:rsid w:val="00981305"/>
    <w:rsid w:val="0098147A"/>
    <w:rsid w:val="009814AD"/>
    <w:rsid w:val="0098161A"/>
    <w:rsid w:val="0098175A"/>
    <w:rsid w:val="00981A04"/>
    <w:rsid w:val="00981A61"/>
    <w:rsid w:val="00981CC6"/>
    <w:rsid w:val="00981D00"/>
    <w:rsid w:val="00981D3F"/>
    <w:rsid w:val="00982094"/>
    <w:rsid w:val="0098217E"/>
    <w:rsid w:val="0098250E"/>
    <w:rsid w:val="00983060"/>
    <w:rsid w:val="0098336E"/>
    <w:rsid w:val="009833CF"/>
    <w:rsid w:val="00983440"/>
    <w:rsid w:val="00983785"/>
    <w:rsid w:val="0098379A"/>
    <w:rsid w:val="009839B3"/>
    <w:rsid w:val="00983A3B"/>
    <w:rsid w:val="00983A66"/>
    <w:rsid w:val="00983A93"/>
    <w:rsid w:val="00983C1B"/>
    <w:rsid w:val="00983C5E"/>
    <w:rsid w:val="00983D04"/>
    <w:rsid w:val="00984130"/>
    <w:rsid w:val="00984519"/>
    <w:rsid w:val="0098492E"/>
    <w:rsid w:val="00984D3C"/>
    <w:rsid w:val="00984F40"/>
    <w:rsid w:val="00985187"/>
    <w:rsid w:val="00985209"/>
    <w:rsid w:val="0098530B"/>
    <w:rsid w:val="0098577B"/>
    <w:rsid w:val="00985A4A"/>
    <w:rsid w:val="00985BF1"/>
    <w:rsid w:val="00985CEA"/>
    <w:rsid w:val="00985D28"/>
    <w:rsid w:val="00985DFF"/>
    <w:rsid w:val="00986015"/>
    <w:rsid w:val="0098636D"/>
    <w:rsid w:val="0098669E"/>
    <w:rsid w:val="00986C86"/>
    <w:rsid w:val="00986CBA"/>
    <w:rsid w:val="00986D22"/>
    <w:rsid w:val="00986ECD"/>
    <w:rsid w:val="0098700A"/>
    <w:rsid w:val="00987161"/>
    <w:rsid w:val="0098744A"/>
    <w:rsid w:val="00987632"/>
    <w:rsid w:val="00987844"/>
    <w:rsid w:val="009879C7"/>
    <w:rsid w:val="00987A41"/>
    <w:rsid w:val="00987A4D"/>
    <w:rsid w:val="00987D4B"/>
    <w:rsid w:val="00987FB1"/>
    <w:rsid w:val="00990303"/>
    <w:rsid w:val="009906CC"/>
    <w:rsid w:val="009908F9"/>
    <w:rsid w:val="00990903"/>
    <w:rsid w:val="00991251"/>
    <w:rsid w:val="00991648"/>
    <w:rsid w:val="009916A7"/>
    <w:rsid w:val="0099177A"/>
    <w:rsid w:val="009918DA"/>
    <w:rsid w:val="00991B99"/>
    <w:rsid w:val="00991D46"/>
    <w:rsid w:val="00991E4F"/>
    <w:rsid w:val="009921DB"/>
    <w:rsid w:val="00992326"/>
    <w:rsid w:val="009923EB"/>
    <w:rsid w:val="009924D4"/>
    <w:rsid w:val="00992856"/>
    <w:rsid w:val="00992936"/>
    <w:rsid w:val="00992AFB"/>
    <w:rsid w:val="00992BDB"/>
    <w:rsid w:val="00993031"/>
    <w:rsid w:val="009930F9"/>
    <w:rsid w:val="009931C9"/>
    <w:rsid w:val="00993331"/>
    <w:rsid w:val="00993588"/>
    <w:rsid w:val="0099360B"/>
    <w:rsid w:val="009936EA"/>
    <w:rsid w:val="009939EC"/>
    <w:rsid w:val="00993F6A"/>
    <w:rsid w:val="0099402D"/>
    <w:rsid w:val="009942F3"/>
    <w:rsid w:val="009942F5"/>
    <w:rsid w:val="00994314"/>
    <w:rsid w:val="00994389"/>
    <w:rsid w:val="009945F3"/>
    <w:rsid w:val="00994685"/>
    <w:rsid w:val="009946C8"/>
    <w:rsid w:val="00994718"/>
    <w:rsid w:val="00994A06"/>
    <w:rsid w:val="00994B81"/>
    <w:rsid w:val="00994B8E"/>
    <w:rsid w:val="00994CE8"/>
    <w:rsid w:val="00994E9F"/>
    <w:rsid w:val="00994F02"/>
    <w:rsid w:val="00995099"/>
    <w:rsid w:val="00995401"/>
    <w:rsid w:val="009954A0"/>
    <w:rsid w:val="00995592"/>
    <w:rsid w:val="009956E5"/>
    <w:rsid w:val="00995722"/>
    <w:rsid w:val="00995B45"/>
    <w:rsid w:val="00995BC1"/>
    <w:rsid w:val="00995E4F"/>
    <w:rsid w:val="00995E61"/>
    <w:rsid w:val="00995E8B"/>
    <w:rsid w:val="00995F4D"/>
    <w:rsid w:val="009960A7"/>
    <w:rsid w:val="00996151"/>
    <w:rsid w:val="009961C6"/>
    <w:rsid w:val="009961FE"/>
    <w:rsid w:val="0099639E"/>
    <w:rsid w:val="009963D6"/>
    <w:rsid w:val="009963F3"/>
    <w:rsid w:val="0099642B"/>
    <w:rsid w:val="009964FC"/>
    <w:rsid w:val="00996658"/>
    <w:rsid w:val="0099665F"/>
    <w:rsid w:val="0099688F"/>
    <w:rsid w:val="009969EE"/>
    <w:rsid w:val="00996DDA"/>
    <w:rsid w:val="00996E76"/>
    <w:rsid w:val="00997041"/>
    <w:rsid w:val="009971FB"/>
    <w:rsid w:val="0099724B"/>
    <w:rsid w:val="0099741A"/>
    <w:rsid w:val="009975EC"/>
    <w:rsid w:val="009977BB"/>
    <w:rsid w:val="00997E25"/>
    <w:rsid w:val="00997EE9"/>
    <w:rsid w:val="00997FED"/>
    <w:rsid w:val="0099B2E2"/>
    <w:rsid w:val="009A0367"/>
    <w:rsid w:val="009A0748"/>
    <w:rsid w:val="009A0824"/>
    <w:rsid w:val="009A0AD4"/>
    <w:rsid w:val="009A0B09"/>
    <w:rsid w:val="009A0DFC"/>
    <w:rsid w:val="009A0F2F"/>
    <w:rsid w:val="009A0F61"/>
    <w:rsid w:val="009A0FE4"/>
    <w:rsid w:val="009A1043"/>
    <w:rsid w:val="009A107D"/>
    <w:rsid w:val="009A109C"/>
    <w:rsid w:val="009A12B7"/>
    <w:rsid w:val="009A171D"/>
    <w:rsid w:val="009A175C"/>
    <w:rsid w:val="009A17D0"/>
    <w:rsid w:val="009A1925"/>
    <w:rsid w:val="009A19C9"/>
    <w:rsid w:val="009A1BE8"/>
    <w:rsid w:val="009A1C0D"/>
    <w:rsid w:val="009A1DFD"/>
    <w:rsid w:val="009A1F3A"/>
    <w:rsid w:val="009A225B"/>
    <w:rsid w:val="009A2390"/>
    <w:rsid w:val="009A24E8"/>
    <w:rsid w:val="009A24FC"/>
    <w:rsid w:val="009A2504"/>
    <w:rsid w:val="009A28AA"/>
    <w:rsid w:val="009A2E15"/>
    <w:rsid w:val="009A2F32"/>
    <w:rsid w:val="009A3132"/>
    <w:rsid w:val="009A33DE"/>
    <w:rsid w:val="009A33F4"/>
    <w:rsid w:val="009A340C"/>
    <w:rsid w:val="009A344E"/>
    <w:rsid w:val="009A3844"/>
    <w:rsid w:val="009A38C8"/>
    <w:rsid w:val="009A3D85"/>
    <w:rsid w:val="009A4027"/>
    <w:rsid w:val="009A42EE"/>
    <w:rsid w:val="009A44CF"/>
    <w:rsid w:val="009A456A"/>
    <w:rsid w:val="009A45AE"/>
    <w:rsid w:val="009A476B"/>
    <w:rsid w:val="009A48F7"/>
    <w:rsid w:val="009A4A5A"/>
    <w:rsid w:val="009A4AC3"/>
    <w:rsid w:val="009A4C62"/>
    <w:rsid w:val="009A4D90"/>
    <w:rsid w:val="009A4F69"/>
    <w:rsid w:val="009A4F8D"/>
    <w:rsid w:val="009A5066"/>
    <w:rsid w:val="009A523B"/>
    <w:rsid w:val="009A52FA"/>
    <w:rsid w:val="009A5795"/>
    <w:rsid w:val="009A5973"/>
    <w:rsid w:val="009A5A09"/>
    <w:rsid w:val="009A5C79"/>
    <w:rsid w:val="009A5EF4"/>
    <w:rsid w:val="009A5F43"/>
    <w:rsid w:val="009A5F5B"/>
    <w:rsid w:val="009A61FF"/>
    <w:rsid w:val="009A6222"/>
    <w:rsid w:val="009A62D6"/>
    <w:rsid w:val="009A6548"/>
    <w:rsid w:val="009A6690"/>
    <w:rsid w:val="009A6948"/>
    <w:rsid w:val="009A6C02"/>
    <w:rsid w:val="009A6C9E"/>
    <w:rsid w:val="009A6CF3"/>
    <w:rsid w:val="009A6DCF"/>
    <w:rsid w:val="009A6E81"/>
    <w:rsid w:val="009A6F91"/>
    <w:rsid w:val="009A744D"/>
    <w:rsid w:val="009A74E5"/>
    <w:rsid w:val="009A76B4"/>
    <w:rsid w:val="009A775C"/>
    <w:rsid w:val="009A78A5"/>
    <w:rsid w:val="009A78B2"/>
    <w:rsid w:val="009A7980"/>
    <w:rsid w:val="009A7A5D"/>
    <w:rsid w:val="009A7D4E"/>
    <w:rsid w:val="009B01E1"/>
    <w:rsid w:val="009B0234"/>
    <w:rsid w:val="009B0434"/>
    <w:rsid w:val="009B0601"/>
    <w:rsid w:val="009B066A"/>
    <w:rsid w:val="009B078B"/>
    <w:rsid w:val="009B078C"/>
    <w:rsid w:val="009B0BAF"/>
    <w:rsid w:val="009B0D34"/>
    <w:rsid w:val="009B0D4D"/>
    <w:rsid w:val="009B0DED"/>
    <w:rsid w:val="009B10A6"/>
    <w:rsid w:val="009B158A"/>
    <w:rsid w:val="009B1911"/>
    <w:rsid w:val="009B1973"/>
    <w:rsid w:val="009B1A25"/>
    <w:rsid w:val="009B1ADE"/>
    <w:rsid w:val="009B1DCA"/>
    <w:rsid w:val="009B1EC8"/>
    <w:rsid w:val="009B23FF"/>
    <w:rsid w:val="009B242F"/>
    <w:rsid w:val="009B258A"/>
    <w:rsid w:val="009B25AC"/>
    <w:rsid w:val="009B2601"/>
    <w:rsid w:val="009B2A2F"/>
    <w:rsid w:val="009B2AAB"/>
    <w:rsid w:val="009B2CDE"/>
    <w:rsid w:val="009B3681"/>
    <w:rsid w:val="009B369A"/>
    <w:rsid w:val="009B36B8"/>
    <w:rsid w:val="009B393A"/>
    <w:rsid w:val="009B39BB"/>
    <w:rsid w:val="009B3B61"/>
    <w:rsid w:val="009B3C37"/>
    <w:rsid w:val="009B3CBC"/>
    <w:rsid w:val="009B3D1E"/>
    <w:rsid w:val="009B3D44"/>
    <w:rsid w:val="009B3E08"/>
    <w:rsid w:val="009B3E5C"/>
    <w:rsid w:val="009B3E89"/>
    <w:rsid w:val="009B3FF6"/>
    <w:rsid w:val="009B40E5"/>
    <w:rsid w:val="009B44E5"/>
    <w:rsid w:val="009B4643"/>
    <w:rsid w:val="009B485B"/>
    <w:rsid w:val="009B4891"/>
    <w:rsid w:val="009B4BB0"/>
    <w:rsid w:val="009B4CEE"/>
    <w:rsid w:val="009B4E03"/>
    <w:rsid w:val="009B4EBB"/>
    <w:rsid w:val="009B4F24"/>
    <w:rsid w:val="009B4FEF"/>
    <w:rsid w:val="009B52CA"/>
    <w:rsid w:val="009B5336"/>
    <w:rsid w:val="009B53B0"/>
    <w:rsid w:val="009B542B"/>
    <w:rsid w:val="009B56C1"/>
    <w:rsid w:val="009B579F"/>
    <w:rsid w:val="009B5913"/>
    <w:rsid w:val="009B5B08"/>
    <w:rsid w:val="009B6288"/>
    <w:rsid w:val="009B695A"/>
    <w:rsid w:val="009B6A65"/>
    <w:rsid w:val="009B6DF7"/>
    <w:rsid w:val="009B6EB4"/>
    <w:rsid w:val="009B6F38"/>
    <w:rsid w:val="009B721A"/>
    <w:rsid w:val="009B72F7"/>
    <w:rsid w:val="009B73BD"/>
    <w:rsid w:val="009B73F5"/>
    <w:rsid w:val="009B74EB"/>
    <w:rsid w:val="009B76B1"/>
    <w:rsid w:val="009B7719"/>
    <w:rsid w:val="009B781C"/>
    <w:rsid w:val="009B7B26"/>
    <w:rsid w:val="009B7CBC"/>
    <w:rsid w:val="009B7DD8"/>
    <w:rsid w:val="009B7E20"/>
    <w:rsid w:val="009B7EE8"/>
    <w:rsid w:val="009B7FFD"/>
    <w:rsid w:val="009C00D3"/>
    <w:rsid w:val="009C010D"/>
    <w:rsid w:val="009C0494"/>
    <w:rsid w:val="009C06FA"/>
    <w:rsid w:val="009C0883"/>
    <w:rsid w:val="009C0C23"/>
    <w:rsid w:val="009C0E24"/>
    <w:rsid w:val="009C109D"/>
    <w:rsid w:val="009C11FA"/>
    <w:rsid w:val="009C1236"/>
    <w:rsid w:val="009C123E"/>
    <w:rsid w:val="009C13D2"/>
    <w:rsid w:val="009C17C5"/>
    <w:rsid w:val="009C1988"/>
    <w:rsid w:val="009C1A4E"/>
    <w:rsid w:val="009C1ADE"/>
    <w:rsid w:val="009C1DBF"/>
    <w:rsid w:val="009C2026"/>
    <w:rsid w:val="009C2123"/>
    <w:rsid w:val="009C216B"/>
    <w:rsid w:val="009C257F"/>
    <w:rsid w:val="009C25DA"/>
    <w:rsid w:val="009C2650"/>
    <w:rsid w:val="009C266C"/>
    <w:rsid w:val="009C26B7"/>
    <w:rsid w:val="009C2793"/>
    <w:rsid w:val="009C283A"/>
    <w:rsid w:val="009C291E"/>
    <w:rsid w:val="009C2989"/>
    <w:rsid w:val="009C300E"/>
    <w:rsid w:val="009C310F"/>
    <w:rsid w:val="009C327A"/>
    <w:rsid w:val="009C3585"/>
    <w:rsid w:val="009C3647"/>
    <w:rsid w:val="009C36C9"/>
    <w:rsid w:val="009C381E"/>
    <w:rsid w:val="009C39E6"/>
    <w:rsid w:val="009C39E8"/>
    <w:rsid w:val="009C3A7B"/>
    <w:rsid w:val="009C3C17"/>
    <w:rsid w:val="009C3FAA"/>
    <w:rsid w:val="009C41BF"/>
    <w:rsid w:val="009C4948"/>
    <w:rsid w:val="009C4C00"/>
    <w:rsid w:val="009C4CAE"/>
    <w:rsid w:val="009C4F5D"/>
    <w:rsid w:val="009C512C"/>
    <w:rsid w:val="009C533D"/>
    <w:rsid w:val="009C5959"/>
    <w:rsid w:val="009C5F89"/>
    <w:rsid w:val="009C620D"/>
    <w:rsid w:val="009C638C"/>
    <w:rsid w:val="009C66ED"/>
    <w:rsid w:val="009C67D7"/>
    <w:rsid w:val="009C69AC"/>
    <w:rsid w:val="009C6B4B"/>
    <w:rsid w:val="009C6C10"/>
    <w:rsid w:val="009C6D43"/>
    <w:rsid w:val="009C6DEC"/>
    <w:rsid w:val="009C6EBA"/>
    <w:rsid w:val="009C701B"/>
    <w:rsid w:val="009C715A"/>
    <w:rsid w:val="009C73A8"/>
    <w:rsid w:val="009C7730"/>
    <w:rsid w:val="009C7984"/>
    <w:rsid w:val="009C7ABE"/>
    <w:rsid w:val="009D0206"/>
    <w:rsid w:val="009D039B"/>
    <w:rsid w:val="009D06E4"/>
    <w:rsid w:val="009D0723"/>
    <w:rsid w:val="009D0782"/>
    <w:rsid w:val="009D0910"/>
    <w:rsid w:val="009D092D"/>
    <w:rsid w:val="009D0934"/>
    <w:rsid w:val="009D0A1B"/>
    <w:rsid w:val="009D0AD7"/>
    <w:rsid w:val="009D0B01"/>
    <w:rsid w:val="009D0D8D"/>
    <w:rsid w:val="009D0E54"/>
    <w:rsid w:val="009D106A"/>
    <w:rsid w:val="009D1148"/>
    <w:rsid w:val="009D17AB"/>
    <w:rsid w:val="009D19F7"/>
    <w:rsid w:val="009D1B3F"/>
    <w:rsid w:val="009D1F3B"/>
    <w:rsid w:val="009D1F7D"/>
    <w:rsid w:val="009D1FD2"/>
    <w:rsid w:val="009D2274"/>
    <w:rsid w:val="009D23E4"/>
    <w:rsid w:val="009D2474"/>
    <w:rsid w:val="009D256D"/>
    <w:rsid w:val="009D2585"/>
    <w:rsid w:val="009D263C"/>
    <w:rsid w:val="009D2740"/>
    <w:rsid w:val="009D2AC0"/>
    <w:rsid w:val="009D2C81"/>
    <w:rsid w:val="009D2C82"/>
    <w:rsid w:val="009D2EAF"/>
    <w:rsid w:val="009D32D4"/>
    <w:rsid w:val="009D334C"/>
    <w:rsid w:val="009D339C"/>
    <w:rsid w:val="009D3504"/>
    <w:rsid w:val="009D3AE1"/>
    <w:rsid w:val="009D3BEF"/>
    <w:rsid w:val="009D3D9C"/>
    <w:rsid w:val="009D3DC6"/>
    <w:rsid w:val="009D3F25"/>
    <w:rsid w:val="009D4298"/>
    <w:rsid w:val="009D4336"/>
    <w:rsid w:val="009D4466"/>
    <w:rsid w:val="009D44A3"/>
    <w:rsid w:val="009D450F"/>
    <w:rsid w:val="009D471A"/>
    <w:rsid w:val="009D4809"/>
    <w:rsid w:val="009D4A0D"/>
    <w:rsid w:val="009D4A22"/>
    <w:rsid w:val="009D4C15"/>
    <w:rsid w:val="009D4D3D"/>
    <w:rsid w:val="009D4F21"/>
    <w:rsid w:val="009D5273"/>
    <w:rsid w:val="009D5535"/>
    <w:rsid w:val="009D587E"/>
    <w:rsid w:val="009D588A"/>
    <w:rsid w:val="009D5A1E"/>
    <w:rsid w:val="009D5E1D"/>
    <w:rsid w:val="009D6038"/>
    <w:rsid w:val="009D6174"/>
    <w:rsid w:val="009D61DB"/>
    <w:rsid w:val="009D641A"/>
    <w:rsid w:val="009D679F"/>
    <w:rsid w:val="009D69F2"/>
    <w:rsid w:val="009D6AC9"/>
    <w:rsid w:val="009D6C53"/>
    <w:rsid w:val="009D6DF4"/>
    <w:rsid w:val="009D6F6B"/>
    <w:rsid w:val="009D7139"/>
    <w:rsid w:val="009D73BC"/>
    <w:rsid w:val="009D76AF"/>
    <w:rsid w:val="009D7AC3"/>
    <w:rsid w:val="009D7AEE"/>
    <w:rsid w:val="009D7BF5"/>
    <w:rsid w:val="009D7D2C"/>
    <w:rsid w:val="009DD19B"/>
    <w:rsid w:val="009E0007"/>
    <w:rsid w:val="009E03B8"/>
    <w:rsid w:val="009E0822"/>
    <w:rsid w:val="009E0C4C"/>
    <w:rsid w:val="009E0C93"/>
    <w:rsid w:val="009E0D46"/>
    <w:rsid w:val="009E0E4C"/>
    <w:rsid w:val="009E10B7"/>
    <w:rsid w:val="009E129E"/>
    <w:rsid w:val="009E17CF"/>
    <w:rsid w:val="009E1827"/>
    <w:rsid w:val="009E199F"/>
    <w:rsid w:val="009E1A0C"/>
    <w:rsid w:val="009E1C15"/>
    <w:rsid w:val="009E1C37"/>
    <w:rsid w:val="009E1F58"/>
    <w:rsid w:val="009E2145"/>
    <w:rsid w:val="009E26A1"/>
    <w:rsid w:val="009E26F9"/>
    <w:rsid w:val="009E30F5"/>
    <w:rsid w:val="009E325F"/>
    <w:rsid w:val="009E3267"/>
    <w:rsid w:val="009E337D"/>
    <w:rsid w:val="009E33CF"/>
    <w:rsid w:val="009E3477"/>
    <w:rsid w:val="009E34AB"/>
    <w:rsid w:val="009E3509"/>
    <w:rsid w:val="009E37E8"/>
    <w:rsid w:val="009E3864"/>
    <w:rsid w:val="009E3918"/>
    <w:rsid w:val="009E3B71"/>
    <w:rsid w:val="009E3BE3"/>
    <w:rsid w:val="009E45B6"/>
    <w:rsid w:val="009E4731"/>
    <w:rsid w:val="009E4D3D"/>
    <w:rsid w:val="009E4D53"/>
    <w:rsid w:val="009E4E46"/>
    <w:rsid w:val="009E5071"/>
    <w:rsid w:val="009E50F2"/>
    <w:rsid w:val="009E515C"/>
    <w:rsid w:val="009E51C7"/>
    <w:rsid w:val="009E52F8"/>
    <w:rsid w:val="009E59B1"/>
    <w:rsid w:val="009E5D94"/>
    <w:rsid w:val="009E5E1F"/>
    <w:rsid w:val="009E6056"/>
    <w:rsid w:val="009E60D6"/>
    <w:rsid w:val="009E6353"/>
    <w:rsid w:val="009E636E"/>
    <w:rsid w:val="009E661C"/>
    <w:rsid w:val="009E6655"/>
    <w:rsid w:val="009E666E"/>
    <w:rsid w:val="009E6855"/>
    <w:rsid w:val="009E689D"/>
    <w:rsid w:val="009E6B46"/>
    <w:rsid w:val="009E6E2C"/>
    <w:rsid w:val="009E6F28"/>
    <w:rsid w:val="009E6F8F"/>
    <w:rsid w:val="009E726A"/>
    <w:rsid w:val="009E7286"/>
    <w:rsid w:val="009E7566"/>
    <w:rsid w:val="009E76F7"/>
    <w:rsid w:val="009E78B5"/>
    <w:rsid w:val="009E78D2"/>
    <w:rsid w:val="009E7A25"/>
    <w:rsid w:val="009E7C79"/>
    <w:rsid w:val="009E7E4A"/>
    <w:rsid w:val="009E7F27"/>
    <w:rsid w:val="009EDC20"/>
    <w:rsid w:val="009F03BE"/>
    <w:rsid w:val="009F0427"/>
    <w:rsid w:val="009F043B"/>
    <w:rsid w:val="009F05D8"/>
    <w:rsid w:val="009F0663"/>
    <w:rsid w:val="009F0674"/>
    <w:rsid w:val="009F08EB"/>
    <w:rsid w:val="009F0985"/>
    <w:rsid w:val="009F0ADC"/>
    <w:rsid w:val="009F0D1B"/>
    <w:rsid w:val="009F110F"/>
    <w:rsid w:val="009F114D"/>
    <w:rsid w:val="009F130C"/>
    <w:rsid w:val="009F14A0"/>
    <w:rsid w:val="009F163F"/>
    <w:rsid w:val="009F1962"/>
    <w:rsid w:val="009F19B6"/>
    <w:rsid w:val="009F19E9"/>
    <w:rsid w:val="009F1BC3"/>
    <w:rsid w:val="009F20B6"/>
    <w:rsid w:val="009F21E6"/>
    <w:rsid w:val="009F2211"/>
    <w:rsid w:val="009F231C"/>
    <w:rsid w:val="009F2360"/>
    <w:rsid w:val="009F2887"/>
    <w:rsid w:val="009F29ED"/>
    <w:rsid w:val="009F2AE2"/>
    <w:rsid w:val="009F2EF5"/>
    <w:rsid w:val="009F3012"/>
    <w:rsid w:val="009F32E4"/>
    <w:rsid w:val="009F33DB"/>
    <w:rsid w:val="009F3408"/>
    <w:rsid w:val="009F34E4"/>
    <w:rsid w:val="009F3640"/>
    <w:rsid w:val="009F36B8"/>
    <w:rsid w:val="009F3726"/>
    <w:rsid w:val="009F37CC"/>
    <w:rsid w:val="009F37DE"/>
    <w:rsid w:val="009F391E"/>
    <w:rsid w:val="009F3DA0"/>
    <w:rsid w:val="009F3DF0"/>
    <w:rsid w:val="009F41DA"/>
    <w:rsid w:val="009F4258"/>
    <w:rsid w:val="009F438B"/>
    <w:rsid w:val="009F43E6"/>
    <w:rsid w:val="009F4528"/>
    <w:rsid w:val="009F487B"/>
    <w:rsid w:val="009F4892"/>
    <w:rsid w:val="009F48D9"/>
    <w:rsid w:val="009F4B81"/>
    <w:rsid w:val="009F4C2F"/>
    <w:rsid w:val="009F50A6"/>
    <w:rsid w:val="009F5127"/>
    <w:rsid w:val="009F5537"/>
    <w:rsid w:val="009F553F"/>
    <w:rsid w:val="009F565D"/>
    <w:rsid w:val="009F572E"/>
    <w:rsid w:val="009F57F0"/>
    <w:rsid w:val="009F5B20"/>
    <w:rsid w:val="009F5D3C"/>
    <w:rsid w:val="009F5F81"/>
    <w:rsid w:val="009F62C7"/>
    <w:rsid w:val="009F63BA"/>
    <w:rsid w:val="009F6479"/>
    <w:rsid w:val="009F64E6"/>
    <w:rsid w:val="009F650C"/>
    <w:rsid w:val="009F68AF"/>
    <w:rsid w:val="009F6973"/>
    <w:rsid w:val="009F6BFE"/>
    <w:rsid w:val="009F6C2D"/>
    <w:rsid w:val="009F6C44"/>
    <w:rsid w:val="009F7694"/>
    <w:rsid w:val="009F76CC"/>
    <w:rsid w:val="009F787B"/>
    <w:rsid w:val="009F7885"/>
    <w:rsid w:val="009F7998"/>
    <w:rsid w:val="009F79DA"/>
    <w:rsid w:val="009F7B74"/>
    <w:rsid w:val="009F7EA1"/>
    <w:rsid w:val="009F7F26"/>
    <w:rsid w:val="009F7FDA"/>
    <w:rsid w:val="00A0014A"/>
    <w:rsid w:val="00A0078F"/>
    <w:rsid w:val="00A00A3D"/>
    <w:rsid w:val="00A00D0D"/>
    <w:rsid w:val="00A00F10"/>
    <w:rsid w:val="00A01055"/>
    <w:rsid w:val="00A0119D"/>
    <w:rsid w:val="00A014D6"/>
    <w:rsid w:val="00A015F4"/>
    <w:rsid w:val="00A017DF"/>
    <w:rsid w:val="00A0181E"/>
    <w:rsid w:val="00A019E1"/>
    <w:rsid w:val="00A01A2B"/>
    <w:rsid w:val="00A01D67"/>
    <w:rsid w:val="00A01E1C"/>
    <w:rsid w:val="00A01F41"/>
    <w:rsid w:val="00A01FDD"/>
    <w:rsid w:val="00A020F1"/>
    <w:rsid w:val="00A021BC"/>
    <w:rsid w:val="00A023E4"/>
    <w:rsid w:val="00A0268B"/>
    <w:rsid w:val="00A02B1B"/>
    <w:rsid w:val="00A02B29"/>
    <w:rsid w:val="00A02DB3"/>
    <w:rsid w:val="00A02E26"/>
    <w:rsid w:val="00A03038"/>
    <w:rsid w:val="00A0308F"/>
    <w:rsid w:val="00A03113"/>
    <w:rsid w:val="00A03216"/>
    <w:rsid w:val="00A03227"/>
    <w:rsid w:val="00A03353"/>
    <w:rsid w:val="00A0345B"/>
    <w:rsid w:val="00A036B0"/>
    <w:rsid w:val="00A03A6C"/>
    <w:rsid w:val="00A03EE5"/>
    <w:rsid w:val="00A04050"/>
    <w:rsid w:val="00A04512"/>
    <w:rsid w:val="00A0454A"/>
    <w:rsid w:val="00A0456B"/>
    <w:rsid w:val="00A0494A"/>
    <w:rsid w:val="00A04A39"/>
    <w:rsid w:val="00A04BDF"/>
    <w:rsid w:val="00A04CF0"/>
    <w:rsid w:val="00A04DC4"/>
    <w:rsid w:val="00A04E90"/>
    <w:rsid w:val="00A05201"/>
    <w:rsid w:val="00A05447"/>
    <w:rsid w:val="00A05614"/>
    <w:rsid w:val="00A05661"/>
    <w:rsid w:val="00A056B0"/>
    <w:rsid w:val="00A05855"/>
    <w:rsid w:val="00A05A6C"/>
    <w:rsid w:val="00A05A82"/>
    <w:rsid w:val="00A05C38"/>
    <w:rsid w:val="00A05CE3"/>
    <w:rsid w:val="00A05D68"/>
    <w:rsid w:val="00A06313"/>
    <w:rsid w:val="00A0640B"/>
    <w:rsid w:val="00A06631"/>
    <w:rsid w:val="00A06738"/>
    <w:rsid w:val="00A06740"/>
    <w:rsid w:val="00A0690D"/>
    <w:rsid w:val="00A069BF"/>
    <w:rsid w:val="00A06B1A"/>
    <w:rsid w:val="00A06CE9"/>
    <w:rsid w:val="00A074B4"/>
    <w:rsid w:val="00A074B8"/>
    <w:rsid w:val="00A07635"/>
    <w:rsid w:val="00A079E1"/>
    <w:rsid w:val="00A07C1F"/>
    <w:rsid w:val="00A1018C"/>
    <w:rsid w:val="00A103C8"/>
    <w:rsid w:val="00A103E4"/>
    <w:rsid w:val="00A1043B"/>
    <w:rsid w:val="00A105AD"/>
    <w:rsid w:val="00A108A6"/>
    <w:rsid w:val="00A10A21"/>
    <w:rsid w:val="00A10AB1"/>
    <w:rsid w:val="00A10B26"/>
    <w:rsid w:val="00A10C62"/>
    <w:rsid w:val="00A10F07"/>
    <w:rsid w:val="00A11003"/>
    <w:rsid w:val="00A11268"/>
    <w:rsid w:val="00A112C7"/>
    <w:rsid w:val="00A113E8"/>
    <w:rsid w:val="00A11600"/>
    <w:rsid w:val="00A1174B"/>
    <w:rsid w:val="00A11831"/>
    <w:rsid w:val="00A118A1"/>
    <w:rsid w:val="00A11A3E"/>
    <w:rsid w:val="00A11C9F"/>
    <w:rsid w:val="00A11E6A"/>
    <w:rsid w:val="00A11ED3"/>
    <w:rsid w:val="00A11EE6"/>
    <w:rsid w:val="00A120E0"/>
    <w:rsid w:val="00A1234D"/>
    <w:rsid w:val="00A12471"/>
    <w:rsid w:val="00A12684"/>
    <w:rsid w:val="00A1274E"/>
    <w:rsid w:val="00A127CB"/>
    <w:rsid w:val="00A12B92"/>
    <w:rsid w:val="00A12D8E"/>
    <w:rsid w:val="00A12EBB"/>
    <w:rsid w:val="00A12EE2"/>
    <w:rsid w:val="00A13239"/>
    <w:rsid w:val="00A136C0"/>
    <w:rsid w:val="00A13744"/>
    <w:rsid w:val="00A137A5"/>
    <w:rsid w:val="00A137B5"/>
    <w:rsid w:val="00A138AF"/>
    <w:rsid w:val="00A13A77"/>
    <w:rsid w:val="00A140CF"/>
    <w:rsid w:val="00A14134"/>
    <w:rsid w:val="00A14159"/>
    <w:rsid w:val="00A142E0"/>
    <w:rsid w:val="00A1439E"/>
    <w:rsid w:val="00A14508"/>
    <w:rsid w:val="00A14736"/>
    <w:rsid w:val="00A14AF4"/>
    <w:rsid w:val="00A14D3C"/>
    <w:rsid w:val="00A14DC9"/>
    <w:rsid w:val="00A14E0E"/>
    <w:rsid w:val="00A1508F"/>
    <w:rsid w:val="00A15141"/>
    <w:rsid w:val="00A156F1"/>
    <w:rsid w:val="00A15DF8"/>
    <w:rsid w:val="00A16064"/>
    <w:rsid w:val="00A16166"/>
    <w:rsid w:val="00A16238"/>
    <w:rsid w:val="00A1623C"/>
    <w:rsid w:val="00A16682"/>
    <w:rsid w:val="00A16760"/>
    <w:rsid w:val="00A16970"/>
    <w:rsid w:val="00A16D33"/>
    <w:rsid w:val="00A16EFF"/>
    <w:rsid w:val="00A16FFD"/>
    <w:rsid w:val="00A17352"/>
    <w:rsid w:val="00A17560"/>
    <w:rsid w:val="00A17703"/>
    <w:rsid w:val="00A17896"/>
    <w:rsid w:val="00A17AE0"/>
    <w:rsid w:val="00A17B22"/>
    <w:rsid w:val="00A17BF9"/>
    <w:rsid w:val="00A17F60"/>
    <w:rsid w:val="00A20226"/>
    <w:rsid w:val="00A205BD"/>
    <w:rsid w:val="00A20682"/>
    <w:rsid w:val="00A20814"/>
    <w:rsid w:val="00A20A15"/>
    <w:rsid w:val="00A20AAD"/>
    <w:rsid w:val="00A20B0F"/>
    <w:rsid w:val="00A20B36"/>
    <w:rsid w:val="00A20BC4"/>
    <w:rsid w:val="00A20C92"/>
    <w:rsid w:val="00A20CBF"/>
    <w:rsid w:val="00A20D3B"/>
    <w:rsid w:val="00A20E91"/>
    <w:rsid w:val="00A20F0D"/>
    <w:rsid w:val="00A211A1"/>
    <w:rsid w:val="00A21217"/>
    <w:rsid w:val="00A21351"/>
    <w:rsid w:val="00A21A05"/>
    <w:rsid w:val="00A21AD7"/>
    <w:rsid w:val="00A21B23"/>
    <w:rsid w:val="00A21D46"/>
    <w:rsid w:val="00A21DCF"/>
    <w:rsid w:val="00A21E0D"/>
    <w:rsid w:val="00A221D3"/>
    <w:rsid w:val="00A22238"/>
    <w:rsid w:val="00A22367"/>
    <w:rsid w:val="00A22591"/>
    <w:rsid w:val="00A226AD"/>
    <w:rsid w:val="00A227DD"/>
    <w:rsid w:val="00A22B7C"/>
    <w:rsid w:val="00A22B9C"/>
    <w:rsid w:val="00A22C61"/>
    <w:rsid w:val="00A22E2B"/>
    <w:rsid w:val="00A22E2C"/>
    <w:rsid w:val="00A22F06"/>
    <w:rsid w:val="00A22F09"/>
    <w:rsid w:val="00A230B6"/>
    <w:rsid w:val="00A233E7"/>
    <w:rsid w:val="00A23A80"/>
    <w:rsid w:val="00A23AAB"/>
    <w:rsid w:val="00A23AF6"/>
    <w:rsid w:val="00A23C3B"/>
    <w:rsid w:val="00A2405B"/>
    <w:rsid w:val="00A242D3"/>
    <w:rsid w:val="00A242DA"/>
    <w:rsid w:val="00A24582"/>
    <w:rsid w:val="00A24626"/>
    <w:rsid w:val="00A246C9"/>
    <w:rsid w:val="00A2470D"/>
    <w:rsid w:val="00A247BB"/>
    <w:rsid w:val="00A248B8"/>
    <w:rsid w:val="00A248FD"/>
    <w:rsid w:val="00A249D4"/>
    <w:rsid w:val="00A24A1F"/>
    <w:rsid w:val="00A24BC9"/>
    <w:rsid w:val="00A24DC1"/>
    <w:rsid w:val="00A2536C"/>
    <w:rsid w:val="00A253FE"/>
    <w:rsid w:val="00A256A3"/>
    <w:rsid w:val="00A25B25"/>
    <w:rsid w:val="00A25CF1"/>
    <w:rsid w:val="00A25DC6"/>
    <w:rsid w:val="00A25FB2"/>
    <w:rsid w:val="00A26267"/>
    <w:rsid w:val="00A2634C"/>
    <w:rsid w:val="00A266B2"/>
    <w:rsid w:val="00A26B08"/>
    <w:rsid w:val="00A26F8A"/>
    <w:rsid w:val="00A2716B"/>
    <w:rsid w:val="00A271C5"/>
    <w:rsid w:val="00A27325"/>
    <w:rsid w:val="00A27399"/>
    <w:rsid w:val="00A277A0"/>
    <w:rsid w:val="00A27932"/>
    <w:rsid w:val="00A302FF"/>
    <w:rsid w:val="00A3056F"/>
    <w:rsid w:val="00A3090D"/>
    <w:rsid w:val="00A30994"/>
    <w:rsid w:val="00A30A23"/>
    <w:rsid w:val="00A30B5A"/>
    <w:rsid w:val="00A30B78"/>
    <w:rsid w:val="00A30BE7"/>
    <w:rsid w:val="00A30D80"/>
    <w:rsid w:val="00A30D85"/>
    <w:rsid w:val="00A30DAE"/>
    <w:rsid w:val="00A30DFE"/>
    <w:rsid w:val="00A30FA6"/>
    <w:rsid w:val="00A30FE3"/>
    <w:rsid w:val="00A3104A"/>
    <w:rsid w:val="00A3137A"/>
    <w:rsid w:val="00A313EE"/>
    <w:rsid w:val="00A3150D"/>
    <w:rsid w:val="00A316F9"/>
    <w:rsid w:val="00A31997"/>
    <w:rsid w:val="00A3199D"/>
    <w:rsid w:val="00A31E78"/>
    <w:rsid w:val="00A31EE1"/>
    <w:rsid w:val="00A32180"/>
    <w:rsid w:val="00A3222E"/>
    <w:rsid w:val="00A3223B"/>
    <w:rsid w:val="00A323AC"/>
    <w:rsid w:val="00A3259C"/>
    <w:rsid w:val="00A32637"/>
    <w:rsid w:val="00A3298E"/>
    <w:rsid w:val="00A32AAE"/>
    <w:rsid w:val="00A32DAD"/>
    <w:rsid w:val="00A330A9"/>
    <w:rsid w:val="00A3332C"/>
    <w:rsid w:val="00A33362"/>
    <w:rsid w:val="00A3336F"/>
    <w:rsid w:val="00A33957"/>
    <w:rsid w:val="00A33A06"/>
    <w:rsid w:val="00A33EDE"/>
    <w:rsid w:val="00A33EED"/>
    <w:rsid w:val="00A34167"/>
    <w:rsid w:val="00A34369"/>
    <w:rsid w:val="00A34455"/>
    <w:rsid w:val="00A3459C"/>
    <w:rsid w:val="00A3459E"/>
    <w:rsid w:val="00A3468A"/>
    <w:rsid w:val="00A34846"/>
    <w:rsid w:val="00A34C6B"/>
    <w:rsid w:val="00A34C8E"/>
    <w:rsid w:val="00A35013"/>
    <w:rsid w:val="00A35021"/>
    <w:rsid w:val="00A350F8"/>
    <w:rsid w:val="00A354B7"/>
    <w:rsid w:val="00A3575D"/>
    <w:rsid w:val="00A35C20"/>
    <w:rsid w:val="00A35D75"/>
    <w:rsid w:val="00A35F0B"/>
    <w:rsid w:val="00A36105"/>
    <w:rsid w:val="00A3612E"/>
    <w:rsid w:val="00A363B4"/>
    <w:rsid w:val="00A36494"/>
    <w:rsid w:val="00A36524"/>
    <w:rsid w:val="00A36828"/>
    <w:rsid w:val="00A36A59"/>
    <w:rsid w:val="00A36B41"/>
    <w:rsid w:val="00A36E83"/>
    <w:rsid w:val="00A371DD"/>
    <w:rsid w:val="00A374B3"/>
    <w:rsid w:val="00A3752F"/>
    <w:rsid w:val="00A37A4B"/>
    <w:rsid w:val="00A37A73"/>
    <w:rsid w:val="00A37BC1"/>
    <w:rsid w:val="00A37CBF"/>
    <w:rsid w:val="00A37E88"/>
    <w:rsid w:val="00A40466"/>
    <w:rsid w:val="00A40780"/>
    <w:rsid w:val="00A40B14"/>
    <w:rsid w:val="00A40BC7"/>
    <w:rsid w:val="00A40C54"/>
    <w:rsid w:val="00A4101F"/>
    <w:rsid w:val="00A413B2"/>
    <w:rsid w:val="00A4144C"/>
    <w:rsid w:val="00A414BC"/>
    <w:rsid w:val="00A41672"/>
    <w:rsid w:val="00A41810"/>
    <w:rsid w:val="00A41817"/>
    <w:rsid w:val="00A4184B"/>
    <w:rsid w:val="00A41CEA"/>
    <w:rsid w:val="00A41DD4"/>
    <w:rsid w:val="00A41EFF"/>
    <w:rsid w:val="00A4201C"/>
    <w:rsid w:val="00A42069"/>
    <w:rsid w:val="00A421F6"/>
    <w:rsid w:val="00A4235E"/>
    <w:rsid w:val="00A425AF"/>
    <w:rsid w:val="00A426CB"/>
    <w:rsid w:val="00A42A91"/>
    <w:rsid w:val="00A42C53"/>
    <w:rsid w:val="00A42C7A"/>
    <w:rsid w:val="00A432E2"/>
    <w:rsid w:val="00A434BF"/>
    <w:rsid w:val="00A43946"/>
    <w:rsid w:val="00A43B6C"/>
    <w:rsid w:val="00A43B94"/>
    <w:rsid w:val="00A43BB8"/>
    <w:rsid w:val="00A43CAF"/>
    <w:rsid w:val="00A43CEE"/>
    <w:rsid w:val="00A43D25"/>
    <w:rsid w:val="00A43D3E"/>
    <w:rsid w:val="00A43F1B"/>
    <w:rsid w:val="00A43F64"/>
    <w:rsid w:val="00A43F89"/>
    <w:rsid w:val="00A4418A"/>
    <w:rsid w:val="00A445A7"/>
    <w:rsid w:val="00A4466C"/>
    <w:rsid w:val="00A448BD"/>
    <w:rsid w:val="00A44B75"/>
    <w:rsid w:val="00A44C73"/>
    <w:rsid w:val="00A44F89"/>
    <w:rsid w:val="00A455D8"/>
    <w:rsid w:val="00A4574B"/>
    <w:rsid w:val="00A45842"/>
    <w:rsid w:val="00A45968"/>
    <w:rsid w:val="00A461FB"/>
    <w:rsid w:val="00A46339"/>
    <w:rsid w:val="00A465F4"/>
    <w:rsid w:val="00A46949"/>
    <w:rsid w:val="00A4698A"/>
    <w:rsid w:val="00A469CF"/>
    <w:rsid w:val="00A46AB4"/>
    <w:rsid w:val="00A46B5E"/>
    <w:rsid w:val="00A46B7F"/>
    <w:rsid w:val="00A46BAF"/>
    <w:rsid w:val="00A4723A"/>
    <w:rsid w:val="00A473D5"/>
    <w:rsid w:val="00A4752B"/>
    <w:rsid w:val="00A47675"/>
    <w:rsid w:val="00A47B33"/>
    <w:rsid w:val="00A47B88"/>
    <w:rsid w:val="00A47D78"/>
    <w:rsid w:val="00A47D7A"/>
    <w:rsid w:val="00A47D8D"/>
    <w:rsid w:val="00A47DE7"/>
    <w:rsid w:val="00A5022B"/>
    <w:rsid w:val="00A5050E"/>
    <w:rsid w:val="00A50530"/>
    <w:rsid w:val="00A5058A"/>
    <w:rsid w:val="00A505E3"/>
    <w:rsid w:val="00A5069F"/>
    <w:rsid w:val="00A506D7"/>
    <w:rsid w:val="00A50753"/>
    <w:rsid w:val="00A50CC8"/>
    <w:rsid w:val="00A50E2F"/>
    <w:rsid w:val="00A5119F"/>
    <w:rsid w:val="00A51215"/>
    <w:rsid w:val="00A512BA"/>
    <w:rsid w:val="00A51469"/>
    <w:rsid w:val="00A51479"/>
    <w:rsid w:val="00A5153D"/>
    <w:rsid w:val="00A515A8"/>
    <w:rsid w:val="00A51845"/>
    <w:rsid w:val="00A519EE"/>
    <w:rsid w:val="00A51B92"/>
    <w:rsid w:val="00A51EEB"/>
    <w:rsid w:val="00A521CF"/>
    <w:rsid w:val="00A5234F"/>
    <w:rsid w:val="00A52388"/>
    <w:rsid w:val="00A52419"/>
    <w:rsid w:val="00A5247E"/>
    <w:rsid w:val="00A5260F"/>
    <w:rsid w:val="00A52936"/>
    <w:rsid w:val="00A52A03"/>
    <w:rsid w:val="00A52AE2"/>
    <w:rsid w:val="00A52BBE"/>
    <w:rsid w:val="00A52EAB"/>
    <w:rsid w:val="00A530B3"/>
    <w:rsid w:val="00A53104"/>
    <w:rsid w:val="00A53170"/>
    <w:rsid w:val="00A535D2"/>
    <w:rsid w:val="00A5360C"/>
    <w:rsid w:val="00A5387B"/>
    <w:rsid w:val="00A53883"/>
    <w:rsid w:val="00A53A39"/>
    <w:rsid w:val="00A53AA3"/>
    <w:rsid w:val="00A53C35"/>
    <w:rsid w:val="00A53E0E"/>
    <w:rsid w:val="00A53E1E"/>
    <w:rsid w:val="00A53ED2"/>
    <w:rsid w:val="00A53F4A"/>
    <w:rsid w:val="00A5410F"/>
    <w:rsid w:val="00A5411E"/>
    <w:rsid w:val="00A54307"/>
    <w:rsid w:val="00A5431D"/>
    <w:rsid w:val="00A54334"/>
    <w:rsid w:val="00A54551"/>
    <w:rsid w:val="00A54732"/>
    <w:rsid w:val="00A5476D"/>
    <w:rsid w:val="00A54855"/>
    <w:rsid w:val="00A548E3"/>
    <w:rsid w:val="00A549E1"/>
    <w:rsid w:val="00A54A80"/>
    <w:rsid w:val="00A54C68"/>
    <w:rsid w:val="00A54C9E"/>
    <w:rsid w:val="00A54EC3"/>
    <w:rsid w:val="00A54F51"/>
    <w:rsid w:val="00A55145"/>
    <w:rsid w:val="00A55603"/>
    <w:rsid w:val="00A55A9E"/>
    <w:rsid w:val="00A55B8D"/>
    <w:rsid w:val="00A55CCA"/>
    <w:rsid w:val="00A55EFB"/>
    <w:rsid w:val="00A56097"/>
    <w:rsid w:val="00A56106"/>
    <w:rsid w:val="00A56588"/>
    <w:rsid w:val="00A5669F"/>
    <w:rsid w:val="00A568DC"/>
    <w:rsid w:val="00A568E9"/>
    <w:rsid w:val="00A569DE"/>
    <w:rsid w:val="00A56C38"/>
    <w:rsid w:val="00A57165"/>
    <w:rsid w:val="00A57263"/>
    <w:rsid w:val="00A57556"/>
    <w:rsid w:val="00A575AB"/>
    <w:rsid w:val="00A57867"/>
    <w:rsid w:val="00A579FA"/>
    <w:rsid w:val="00A57C07"/>
    <w:rsid w:val="00A57C39"/>
    <w:rsid w:val="00A57F33"/>
    <w:rsid w:val="00A57FA2"/>
    <w:rsid w:val="00A5CA68"/>
    <w:rsid w:val="00A600D8"/>
    <w:rsid w:val="00A600DB"/>
    <w:rsid w:val="00A602FD"/>
    <w:rsid w:val="00A60480"/>
    <w:rsid w:val="00A606CA"/>
    <w:rsid w:val="00A606D9"/>
    <w:rsid w:val="00A6071D"/>
    <w:rsid w:val="00A608AA"/>
    <w:rsid w:val="00A608FA"/>
    <w:rsid w:val="00A609D0"/>
    <w:rsid w:val="00A60A77"/>
    <w:rsid w:val="00A61099"/>
    <w:rsid w:val="00A6126D"/>
    <w:rsid w:val="00A6148A"/>
    <w:rsid w:val="00A614AE"/>
    <w:rsid w:val="00A6173E"/>
    <w:rsid w:val="00A618BD"/>
    <w:rsid w:val="00A61B02"/>
    <w:rsid w:val="00A61E46"/>
    <w:rsid w:val="00A62428"/>
    <w:rsid w:val="00A6242A"/>
    <w:rsid w:val="00A624A6"/>
    <w:rsid w:val="00A6276E"/>
    <w:rsid w:val="00A62920"/>
    <w:rsid w:val="00A62A6F"/>
    <w:rsid w:val="00A62AE1"/>
    <w:rsid w:val="00A62E3C"/>
    <w:rsid w:val="00A62F25"/>
    <w:rsid w:val="00A632A7"/>
    <w:rsid w:val="00A63747"/>
    <w:rsid w:val="00A6388A"/>
    <w:rsid w:val="00A638E1"/>
    <w:rsid w:val="00A63B47"/>
    <w:rsid w:val="00A63B5B"/>
    <w:rsid w:val="00A63EA5"/>
    <w:rsid w:val="00A643E2"/>
    <w:rsid w:val="00A6494E"/>
    <w:rsid w:val="00A64C3E"/>
    <w:rsid w:val="00A64E2A"/>
    <w:rsid w:val="00A64E76"/>
    <w:rsid w:val="00A65055"/>
    <w:rsid w:val="00A653BC"/>
    <w:rsid w:val="00A65408"/>
    <w:rsid w:val="00A654AB"/>
    <w:rsid w:val="00A6570F"/>
    <w:rsid w:val="00A65892"/>
    <w:rsid w:val="00A658D3"/>
    <w:rsid w:val="00A65914"/>
    <w:rsid w:val="00A65B0F"/>
    <w:rsid w:val="00A65B20"/>
    <w:rsid w:val="00A65C1C"/>
    <w:rsid w:val="00A65F0F"/>
    <w:rsid w:val="00A66169"/>
    <w:rsid w:val="00A66233"/>
    <w:rsid w:val="00A66737"/>
    <w:rsid w:val="00A66911"/>
    <w:rsid w:val="00A6699E"/>
    <w:rsid w:val="00A66C7E"/>
    <w:rsid w:val="00A66CF8"/>
    <w:rsid w:val="00A66D21"/>
    <w:rsid w:val="00A66D76"/>
    <w:rsid w:val="00A6726B"/>
    <w:rsid w:val="00A6758E"/>
    <w:rsid w:val="00A675A4"/>
    <w:rsid w:val="00A677D0"/>
    <w:rsid w:val="00A677EE"/>
    <w:rsid w:val="00A677F1"/>
    <w:rsid w:val="00A67E03"/>
    <w:rsid w:val="00A7021D"/>
    <w:rsid w:val="00A7031B"/>
    <w:rsid w:val="00A70407"/>
    <w:rsid w:val="00A705B7"/>
    <w:rsid w:val="00A7068E"/>
    <w:rsid w:val="00A708D5"/>
    <w:rsid w:val="00A709FA"/>
    <w:rsid w:val="00A70FC6"/>
    <w:rsid w:val="00A71017"/>
    <w:rsid w:val="00A71236"/>
    <w:rsid w:val="00A717BB"/>
    <w:rsid w:val="00A717D3"/>
    <w:rsid w:val="00A71828"/>
    <w:rsid w:val="00A71A50"/>
    <w:rsid w:val="00A71B63"/>
    <w:rsid w:val="00A71CF0"/>
    <w:rsid w:val="00A71E4E"/>
    <w:rsid w:val="00A71E9D"/>
    <w:rsid w:val="00A71F10"/>
    <w:rsid w:val="00A7200D"/>
    <w:rsid w:val="00A72106"/>
    <w:rsid w:val="00A7211D"/>
    <w:rsid w:val="00A7224A"/>
    <w:rsid w:val="00A7227C"/>
    <w:rsid w:val="00A722E0"/>
    <w:rsid w:val="00A724C6"/>
    <w:rsid w:val="00A725AF"/>
    <w:rsid w:val="00A7283F"/>
    <w:rsid w:val="00A7294D"/>
    <w:rsid w:val="00A72992"/>
    <w:rsid w:val="00A72ABD"/>
    <w:rsid w:val="00A72C9A"/>
    <w:rsid w:val="00A72CC3"/>
    <w:rsid w:val="00A72CD7"/>
    <w:rsid w:val="00A72D29"/>
    <w:rsid w:val="00A73035"/>
    <w:rsid w:val="00A730CE"/>
    <w:rsid w:val="00A732D2"/>
    <w:rsid w:val="00A733C4"/>
    <w:rsid w:val="00A73ACD"/>
    <w:rsid w:val="00A73DC2"/>
    <w:rsid w:val="00A73E1A"/>
    <w:rsid w:val="00A741CB"/>
    <w:rsid w:val="00A744C5"/>
    <w:rsid w:val="00A7471D"/>
    <w:rsid w:val="00A747F5"/>
    <w:rsid w:val="00A75501"/>
    <w:rsid w:val="00A7598C"/>
    <w:rsid w:val="00A75B42"/>
    <w:rsid w:val="00A75BE0"/>
    <w:rsid w:val="00A763A0"/>
    <w:rsid w:val="00A7641A"/>
    <w:rsid w:val="00A7646A"/>
    <w:rsid w:val="00A76612"/>
    <w:rsid w:val="00A76653"/>
    <w:rsid w:val="00A76984"/>
    <w:rsid w:val="00A76AAB"/>
    <w:rsid w:val="00A76E3F"/>
    <w:rsid w:val="00A76E6B"/>
    <w:rsid w:val="00A7733B"/>
    <w:rsid w:val="00A7746E"/>
    <w:rsid w:val="00A77681"/>
    <w:rsid w:val="00A776DB"/>
    <w:rsid w:val="00A77785"/>
    <w:rsid w:val="00A77A77"/>
    <w:rsid w:val="00A77D0C"/>
    <w:rsid w:val="00A77EE0"/>
    <w:rsid w:val="00A77FD8"/>
    <w:rsid w:val="00A800C7"/>
    <w:rsid w:val="00A801E3"/>
    <w:rsid w:val="00A80224"/>
    <w:rsid w:val="00A803D4"/>
    <w:rsid w:val="00A80464"/>
    <w:rsid w:val="00A8063F"/>
    <w:rsid w:val="00A80834"/>
    <w:rsid w:val="00A80A20"/>
    <w:rsid w:val="00A80C8C"/>
    <w:rsid w:val="00A80D0C"/>
    <w:rsid w:val="00A81020"/>
    <w:rsid w:val="00A813AF"/>
    <w:rsid w:val="00A81476"/>
    <w:rsid w:val="00A81489"/>
    <w:rsid w:val="00A814CF"/>
    <w:rsid w:val="00A816E3"/>
    <w:rsid w:val="00A818EC"/>
    <w:rsid w:val="00A81C51"/>
    <w:rsid w:val="00A81EA1"/>
    <w:rsid w:val="00A81FBA"/>
    <w:rsid w:val="00A826CE"/>
    <w:rsid w:val="00A82899"/>
    <w:rsid w:val="00A8298E"/>
    <w:rsid w:val="00A82AE8"/>
    <w:rsid w:val="00A82B4B"/>
    <w:rsid w:val="00A82C60"/>
    <w:rsid w:val="00A82D33"/>
    <w:rsid w:val="00A8300A"/>
    <w:rsid w:val="00A83066"/>
    <w:rsid w:val="00A835A4"/>
    <w:rsid w:val="00A8368E"/>
    <w:rsid w:val="00A83829"/>
    <w:rsid w:val="00A83833"/>
    <w:rsid w:val="00A839BF"/>
    <w:rsid w:val="00A83A03"/>
    <w:rsid w:val="00A83B37"/>
    <w:rsid w:val="00A83C69"/>
    <w:rsid w:val="00A83F81"/>
    <w:rsid w:val="00A84060"/>
    <w:rsid w:val="00A844BD"/>
    <w:rsid w:val="00A84921"/>
    <w:rsid w:val="00A84A61"/>
    <w:rsid w:val="00A84B6A"/>
    <w:rsid w:val="00A84B88"/>
    <w:rsid w:val="00A84E11"/>
    <w:rsid w:val="00A84E44"/>
    <w:rsid w:val="00A85070"/>
    <w:rsid w:val="00A852E0"/>
    <w:rsid w:val="00A85347"/>
    <w:rsid w:val="00A858B1"/>
    <w:rsid w:val="00A8590C"/>
    <w:rsid w:val="00A85FBA"/>
    <w:rsid w:val="00A860CB"/>
    <w:rsid w:val="00A861CD"/>
    <w:rsid w:val="00A861F1"/>
    <w:rsid w:val="00A86421"/>
    <w:rsid w:val="00A8656D"/>
    <w:rsid w:val="00A8660D"/>
    <w:rsid w:val="00A866B6"/>
    <w:rsid w:val="00A86726"/>
    <w:rsid w:val="00A86A18"/>
    <w:rsid w:val="00A86EFE"/>
    <w:rsid w:val="00A86F49"/>
    <w:rsid w:val="00A8710A"/>
    <w:rsid w:val="00A87116"/>
    <w:rsid w:val="00A87345"/>
    <w:rsid w:val="00A87477"/>
    <w:rsid w:val="00A87494"/>
    <w:rsid w:val="00A874BC"/>
    <w:rsid w:val="00A8754E"/>
    <w:rsid w:val="00A87619"/>
    <w:rsid w:val="00A87ACE"/>
    <w:rsid w:val="00A87BD5"/>
    <w:rsid w:val="00A87BED"/>
    <w:rsid w:val="00A87D8B"/>
    <w:rsid w:val="00A87D94"/>
    <w:rsid w:val="00A87E4B"/>
    <w:rsid w:val="00A9002C"/>
    <w:rsid w:val="00A902D4"/>
    <w:rsid w:val="00A90453"/>
    <w:rsid w:val="00A9046E"/>
    <w:rsid w:val="00A90618"/>
    <w:rsid w:val="00A906D4"/>
    <w:rsid w:val="00A9071D"/>
    <w:rsid w:val="00A908D7"/>
    <w:rsid w:val="00A90AF1"/>
    <w:rsid w:val="00A90DC4"/>
    <w:rsid w:val="00A90DE3"/>
    <w:rsid w:val="00A9113B"/>
    <w:rsid w:val="00A916C0"/>
    <w:rsid w:val="00A917E6"/>
    <w:rsid w:val="00A919F7"/>
    <w:rsid w:val="00A91A05"/>
    <w:rsid w:val="00A92028"/>
    <w:rsid w:val="00A92199"/>
    <w:rsid w:val="00A921E8"/>
    <w:rsid w:val="00A921E9"/>
    <w:rsid w:val="00A922A0"/>
    <w:rsid w:val="00A923AD"/>
    <w:rsid w:val="00A924CD"/>
    <w:rsid w:val="00A9255A"/>
    <w:rsid w:val="00A92589"/>
    <w:rsid w:val="00A927A6"/>
    <w:rsid w:val="00A927D3"/>
    <w:rsid w:val="00A92967"/>
    <w:rsid w:val="00A92B66"/>
    <w:rsid w:val="00A92C9D"/>
    <w:rsid w:val="00A92DD9"/>
    <w:rsid w:val="00A9338E"/>
    <w:rsid w:val="00A9339C"/>
    <w:rsid w:val="00A933D5"/>
    <w:rsid w:val="00A9353B"/>
    <w:rsid w:val="00A93632"/>
    <w:rsid w:val="00A937F0"/>
    <w:rsid w:val="00A93B71"/>
    <w:rsid w:val="00A93BD8"/>
    <w:rsid w:val="00A93CAA"/>
    <w:rsid w:val="00A93CBF"/>
    <w:rsid w:val="00A93DFE"/>
    <w:rsid w:val="00A9426D"/>
    <w:rsid w:val="00A94926"/>
    <w:rsid w:val="00A94962"/>
    <w:rsid w:val="00A9499B"/>
    <w:rsid w:val="00A94BD9"/>
    <w:rsid w:val="00A94C83"/>
    <w:rsid w:val="00A94D04"/>
    <w:rsid w:val="00A94F37"/>
    <w:rsid w:val="00A95090"/>
    <w:rsid w:val="00A9510C"/>
    <w:rsid w:val="00A951E3"/>
    <w:rsid w:val="00A95425"/>
    <w:rsid w:val="00A954F8"/>
    <w:rsid w:val="00A958A0"/>
    <w:rsid w:val="00A9596A"/>
    <w:rsid w:val="00A95C18"/>
    <w:rsid w:val="00A95CD1"/>
    <w:rsid w:val="00A95E4E"/>
    <w:rsid w:val="00A961EE"/>
    <w:rsid w:val="00A963C5"/>
    <w:rsid w:val="00A96694"/>
    <w:rsid w:val="00A96796"/>
    <w:rsid w:val="00A96A15"/>
    <w:rsid w:val="00A96AD7"/>
    <w:rsid w:val="00A96D7F"/>
    <w:rsid w:val="00A96DF8"/>
    <w:rsid w:val="00A96E80"/>
    <w:rsid w:val="00A973C1"/>
    <w:rsid w:val="00A974BA"/>
    <w:rsid w:val="00A974E0"/>
    <w:rsid w:val="00A97575"/>
    <w:rsid w:val="00A97922"/>
    <w:rsid w:val="00A97B30"/>
    <w:rsid w:val="00A97BEE"/>
    <w:rsid w:val="00A97D12"/>
    <w:rsid w:val="00A97EC2"/>
    <w:rsid w:val="00A97F44"/>
    <w:rsid w:val="00A97F9B"/>
    <w:rsid w:val="00AA035B"/>
    <w:rsid w:val="00AA0461"/>
    <w:rsid w:val="00AA0540"/>
    <w:rsid w:val="00AA0668"/>
    <w:rsid w:val="00AA072F"/>
    <w:rsid w:val="00AA08A1"/>
    <w:rsid w:val="00AA0A48"/>
    <w:rsid w:val="00AA0A66"/>
    <w:rsid w:val="00AA0D35"/>
    <w:rsid w:val="00AA0FC6"/>
    <w:rsid w:val="00AA1027"/>
    <w:rsid w:val="00AA10B6"/>
    <w:rsid w:val="00AA11E8"/>
    <w:rsid w:val="00AA12C6"/>
    <w:rsid w:val="00AA1477"/>
    <w:rsid w:val="00AA179A"/>
    <w:rsid w:val="00AA19DB"/>
    <w:rsid w:val="00AA1F05"/>
    <w:rsid w:val="00AA1FF7"/>
    <w:rsid w:val="00AA20A0"/>
    <w:rsid w:val="00AA22EC"/>
    <w:rsid w:val="00AA24B8"/>
    <w:rsid w:val="00AA24FC"/>
    <w:rsid w:val="00AA251B"/>
    <w:rsid w:val="00AA2625"/>
    <w:rsid w:val="00AA2652"/>
    <w:rsid w:val="00AA26BF"/>
    <w:rsid w:val="00AA28BA"/>
    <w:rsid w:val="00AA291C"/>
    <w:rsid w:val="00AA2928"/>
    <w:rsid w:val="00AA29E9"/>
    <w:rsid w:val="00AA2A91"/>
    <w:rsid w:val="00AA304A"/>
    <w:rsid w:val="00AA32A1"/>
    <w:rsid w:val="00AA3395"/>
    <w:rsid w:val="00AA3874"/>
    <w:rsid w:val="00AA3878"/>
    <w:rsid w:val="00AA38D9"/>
    <w:rsid w:val="00AA3942"/>
    <w:rsid w:val="00AA3A27"/>
    <w:rsid w:val="00AA3C62"/>
    <w:rsid w:val="00AA3C7E"/>
    <w:rsid w:val="00AA3E89"/>
    <w:rsid w:val="00AA41B6"/>
    <w:rsid w:val="00AA430E"/>
    <w:rsid w:val="00AA44F8"/>
    <w:rsid w:val="00AA4530"/>
    <w:rsid w:val="00AA45B6"/>
    <w:rsid w:val="00AA477B"/>
    <w:rsid w:val="00AA49BD"/>
    <w:rsid w:val="00AA4CD2"/>
    <w:rsid w:val="00AA4D96"/>
    <w:rsid w:val="00AA4E81"/>
    <w:rsid w:val="00AA4F02"/>
    <w:rsid w:val="00AA5194"/>
    <w:rsid w:val="00AA51E4"/>
    <w:rsid w:val="00AA53AB"/>
    <w:rsid w:val="00AA554C"/>
    <w:rsid w:val="00AA56D9"/>
    <w:rsid w:val="00AA5828"/>
    <w:rsid w:val="00AA5926"/>
    <w:rsid w:val="00AA5B49"/>
    <w:rsid w:val="00AA5BC5"/>
    <w:rsid w:val="00AA5CD8"/>
    <w:rsid w:val="00AA5DFA"/>
    <w:rsid w:val="00AA5EB3"/>
    <w:rsid w:val="00AA6085"/>
    <w:rsid w:val="00AA6283"/>
    <w:rsid w:val="00AA6616"/>
    <w:rsid w:val="00AA6621"/>
    <w:rsid w:val="00AA6774"/>
    <w:rsid w:val="00AA6B7F"/>
    <w:rsid w:val="00AA6C87"/>
    <w:rsid w:val="00AA6D55"/>
    <w:rsid w:val="00AA6E3F"/>
    <w:rsid w:val="00AA6EE7"/>
    <w:rsid w:val="00AA71CD"/>
    <w:rsid w:val="00AA7C98"/>
    <w:rsid w:val="00AA7CA6"/>
    <w:rsid w:val="00AA7E71"/>
    <w:rsid w:val="00AA7F45"/>
    <w:rsid w:val="00AB00D3"/>
    <w:rsid w:val="00AB0125"/>
    <w:rsid w:val="00AB028D"/>
    <w:rsid w:val="00AB057B"/>
    <w:rsid w:val="00AB0889"/>
    <w:rsid w:val="00AB0B70"/>
    <w:rsid w:val="00AB0C08"/>
    <w:rsid w:val="00AB0E60"/>
    <w:rsid w:val="00AB1064"/>
    <w:rsid w:val="00AB1079"/>
    <w:rsid w:val="00AB12A9"/>
    <w:rsid w:val="00AB1326"/>
    <w:rsid w:val="00AB1967"/>
    <w:rsid w:val="00AB1A45"/>
    <w:rsid w:val="00AB24B9"/>
    <w:rsid w:val="00AB2623"/>
    <w:rsid w:val="00AB28CB"/>
    <w:rsid w:val="00AB2A46"/>
    <w:rsid w:val="00AB2BB4"/>
    <w:rsid w:val="00AB2C72"/>
    <w:rsid w:val="00AB2CF7"/>
    <w:rsid w:val="00AB2DEF"/>
    <w:rsid w:val="00AB2E2C"/>
    <w:rsid w:val="00AB3021"/>
    <w:rsid w:val="00AB3107"/>
    <w:rsid w:val="00AB34C3"/>
    <w:rsid w:val="00AB3537"/>
    <w:rsid w:val="00AB3787"/>
    <w:rsid w:val="00AB381B"/>
    <w:rsid w:val="00AB383F"/>
    <w:rsid w:val="00AB38D5"/>
    <w:rsid w:val="00AB4506"/>
    <w:rsid w:val="00AB454D"/>
    <w:rsid w:val="00AB4602"/>
    <w:rsid w:val="00AB46D3"/>
    <w:rsid w:val="00AB470E"/>
    <w:rsid w:val="00AB4718"/>
    <w:rsid w:val="00AB480F"/>
    <w:rsid w:val="00AB4B5B"/>
    <w:rsid w:val="00AB4C40"/>
    <w:rsid w:val="00AB4E1C"/>
    <w:rsid w:val="00AB5047"/>
    <w:rsid w:val="00AB526F"/>
    <w:rsid w:val="00AB53A4"/>
    <w:rsid w:val="00AB58D7"/>
    <w:rsid w:val="00AB5A06"/>
    <w:rsid w:val="00AB5B00"/>
    <w:rsid w:val="00AB5EE1"/>
    <w:rsid w:val="00AB5F2D"/>
    <w:rsid w:val="00AB652D"/>
    <w:rsid w:val="00AB6540"/>
    <w:rsid w:val="00AB67E4"/>
    <w:rsid w:val="00AB683F"/>
    <w:rsid w:val="00AB6C03"/>
    <w:rsid w:val="00AB6ED2"/>
    <w:rsid w:val="00AB6FD0"/>
    <w:rsid w:val="00AB6FE5"/>
    <w:rsid w:val="00AB6FF0"/>
    <w:rsid w:val="00AB7061"/>
    <w:rsid w:val="00AB778B"/>
    <w:rsid w:val="00AB77DB"/>
    <w:rsid w:val="00AB7D76"/>
    <w:rsid w:val="00AB7E42"/>
    <w:rsid w:val="00AC00B2"/>
    <w:rsid w:val="00AC011B"/>
    <w:rsid w:val="00AC0481"/>
    <w:rsid w:val="00AC0509"/>
    <w:rsid w:val="00AC074D"/>
    <w:rsid w:val="00AC0C7A"/>
    <w:rsid w:val="00AC0E55"/>
    <w:rsid w:val="00AC10F5"/>
    <w:rsid w:val="00AC12C4"/>
    <w:rsid w:val="00AC1414"/>
    <w:rsid w:val="00AC15FE"/>
    <w:rsid w:val="00AC1842"/>
    <w:rsid w:val="00AC1DAB"/>
    <w:rsid w:val="00AC1E53"/>
    <w:rsid w:val="00AC224E"/>
    <w:rsid w:val="00AC2253"/>
    <w:rsid w:val="00AC277E"/>
    <w:rsid w:val="00AC2993"/>
    <w:rsid w:val="00AC2A66"/>
    <w:rsid w:val="00AC2D71"/>
    <w:rsid w:val="00AC3387"/>
    <w:rsid w:val="00AC34AE"/>
    <w:rsid w:val="00AC3815"/>
    <w:rsid w:val="00AC382D"/>
    <w:rsid w:val="00AC3CB6"/>
    <w:rsid w:val="00AC40C7"/>
    <w:rsid w:val="00AC4336"/>
    <w:rsid w:val="00AC446B"/>
    <w:rsid w:val="00AC48F4"/>
    <w:rsid w:val="00AC4AB5"/>
    <w:rsid w:val="00AC4BF3"/>
    <w:rsid w:val="00AC4C58"/>
    <w:rsid w:val="00AC4FFF"/>
    <w:rsid w:val="00AC506F"/>
    <w:rsid w:val="00AC532D"/>
    <w:rsid w:val="00AC5447"/>
    <w:rsid w:val="00AC5656"/>
    <w:rsid w:val="00AC578E"/>
    <w:rsid w:val="00AC5A07"/>
    <w:rsid w:val="00AC5D0A"/>
    <w:rsid w:val="00AC5F9E"/>
    <w:rsid w:val="00AC6053"/>
    <w:rsid w:val="00AC63A4"/>
    <w:rsid w:val="00AC67AC"/>
    <w:rsid w:val="00AC6878"/>
    <w:rsid w:val="00AC6A6F"/>
    <w:rsid w:val="00AC6A84"/>
    <w:rsid w:val="00AC6B59"/>
    <w:rsid w:val="00AC6BF8"/>
    <w:rsid w:val="00AC6C25"/>
    <w:rsid w:val="00AC6D63"/>
    <w:rsid w:val="00AC6E67"/>
    <w:rsid w:val="00AC6F4A"/>
    <w:rsid w:val="00AC70CE"/>
    <w:rsid w:val="00AC71E2"/>
    <w:rsid w:val="00AC7330"/>
    <w:rsid w:val="00AC7466"/>
    <w:rsid w:val="00AC766A"/>
    <w:rsid w:val="00AC77B8"/>
    <w:rsid w:val="00AC78D8"/>
    <w:rsid w:val="00AC7A98"/>
    <w:rsid w:val="00AC7BA7"/>
    <w:rsid w:val="00AC7DA1"/>
    <w:rsid w:val="00AC7F33"/>
    <w:rsid w:val="00AD031A"/>
    <w:rsid w:val="00AD048C"/>
    <w:rsid w:val="00AD06EE"/>
    <w:rsid w:val="00AD0ECD"/>
    <w:rsid w:val="00AD0F63"/>
    <w:rsid w:val="00AD110C"/>
    <w:rsid w:val="00AD140E"/>
    <w:rsid w:val="00AD1561"/>
    <w:rsid w:val="00AD15D7"/>
    <w:rsid w:val="00AD1709"/>
    <w:rsid w:val="00AD1774"/>
    <w:rsid w:val="00AD1877"/>
    <w:rsid w:val="00AD18CB"/>
    <w:rsid w:val="00AD1C82"/>
    <w:rsid w:val="00AD1D5C"/>
    <w:rsid w:val="00AD1DA2"/>
    <w:rsid w:val="00AD20AE"/>
    <w:rsid w:val="00AD210B"/>
    <w:rsid w:val="00AD240B"/>
    <w:rsid w:val="00AD2D65"/>
    <w:rsid w:val="00AD2DF0"/>
    <w:rsid w:val="00AD32C7"/>
    <w:rsid w:val="00AD34D3"/>
    <w:rsid w:val="00AD362C"/>
    <w:rsid w:val="00AD3797"/>
    <w:rsid w:val="00AD39FA"/>
    <w:rsid w:val="00AD3A81"/>
    <w:rsid w:val="00AD3AA9"/>
    <w:rsid w:val="00AD3D6F"/>
    <w:rsid w:val="00AD3FE7"/>
    <w:rsid w:val="00AD4353"/>
    <w:rsid w:val="00AD4634"/>
    <w:rsid w:val="00AD493F"/>
    <w:rsid w:val="00AD4BD2"/>
    <w:rsid w:val="00AD4C3B"/>
    <w:rsid w:val="00AD4C62"/>
    <w:rsid w:val="00AD4CEB"/>
    <w:rsid w:val="00AD5268"/>
    <w:rsid w:val="00AD5570"/>
    <w:rsid w:val="00AD5E17"/>
    <w:rsid w:val="00AD5FDA"/>
    <w:rsid w:val="00AD64AE"/>
    <w:rsid w:val="00AD6535"/>
    <w:rsid w:val="00AD66D2"/>
    <w:rsid w:val="00AD66F1"/>
    <w:rsid w:val="00AD688A"/>
    <w:rsid w:val="00AD6B26"/>
    <w:rsid w:val="00AD6C1C"/>
    <w:rsid w:val="00AD6C39"/>
    <w:rsid w:val="00AD6E3C"/>
    <w:rsid w:val="00AD6E8C"/>
    <w:rsid w:val="00AD7039"/>
    <w:rsid w:val="00AD718B"/>
    <w:rsid w:val="00AD73CD"/>
    <w:rsid w:val="00AD7456"/>
    <w:rsid w:val="00AD747B"/>
    <w:rsid w:val="00AD768B"/>
    <w:rsid w:val="00AD7825"/>
    <w:rsid w:val="00AD795C"/>
    <w:rsid w:val="00AD7AC2"/>
    <w:rsid w:val="00AD7AEF"/>
    <w:rsid w:val="00AD7CBA"/>
    <w:rsid w:val="00AD7D16"/>
    <w:rsid w:val="00AD7D33"/>
    <w:rsid w:val="00AE0061"/>
    <w:rsid w:val="00AE00C8"/>
    <w:rsid w:val="00AE07A4"/>
    <w:rsid w:val="00AE08B1"/>
    <w:rsid w:val="00AE097E"/>
    <w:rsid w:val="00AE0B7A"/>
    <w:rsid w:val="00AE1161"/>
    <w:rsid w:val="00AE12DF"/>
    <w:rsid w:val="00AE15D8"/>
    <w:rsid w:val="00AE1764"/>
    <w:rsid w:val="00AE192E"/>
    <w:rsid w:val="00AE1B15"/>
    <w:rsid w:val="00AE1BC0"/>
    <w:rsid w:val="00AE1FDE"/>
    <w:rsid w:val="00AE2173"/>
    <w:rsid w:val="00AE23CA"/>
    <w:rsid w:val="00AE2455"/>
    <w:rsid w:val="00AE27B9"/>
    <w:rsid w:val="00AE297E"/>
    <w:rsid w:val="00AE2C5A"/>
    <w:rsid w:val="00AE2CED"/>
    <w:rsid w:val="00AE2EF6"/>
    <w:rsid w:val="00AE2F28"/>
    <w:rsid w:val="00AE303D"/>
    <w:rsid w:val="00AE33FC"/>
    <w:rsid w:val="00AE3466"/>
    <w:rsid w:val="00AE3559"/>
    <w:rsid w:val="00AE36ED"/>
    <w:rsid w:val="00AE376D"/>
    <w:rsid w:val="00AE3BA0"/>
    <w:rsid w:val="00AE3CAB"/>
    <w:rsid w:val="00AE3DFE"/>
    <w:rsid w:val="00AE4149"/>
    <w:rsid w:val="00AE4169"/>
    <w:rsid w:val="00AE41CB"/>
    <w:rsid w:val="00AE4233"/>
    <w:rsid w:val="00AE45C5"/>
    <w:rsid w:val="00AE4649"/>
    <w:rsid w:val="00AE4743"/>
    <w:rsid w:val="00AE4819"/>
    <w:rsid w:val="00AE4877"/>
    <w:rsid w:val="00AE488A"/>
    <w:rsid w:val="00AE489D"/>
    <w:rsid w:val="00AE4A1A"/>
    <w:rsid w:val="00AE4A39"/>
    <w:rsid w:val="00AE4B86"/>
    <w:rsid w:val="00AE4C86"/>
    <w:rsid w:val="00AE4C9A"/>
    <w:rsid w:val="00AE4DCD"/>
    <w:rsid w:val="00AE4E0C"/>
    <w:rsid w:val="00AE4E32"/>
    <w:rsid w:val="00AE4FDA"/>
    <w:rsid w:val="00AE51BF"/>
    <w:rsid w:val="00AE52A7"/>
    <w:rsid w:val="00AE5A05"/>
    <w:rsid w:val="00AE5AFC"/>
    <w:rsid w:val="00AE5F6B"/>
    <w:rsid w:val="00AE60DF"/>
    <w:rsid w:val="00AE6537"/>
    <w:rsid w:val="00AE67FD"/>
    <w:rsid w:val="00AE6806"/>
    <w:rsid w:val="00AE6823"/>
    <w:rsid w:val="00AE6FC8"/>
    <w:rsid w:val="00AE6FE7"/>
    <w:rsid w:val="00AE73E0"/>
    <w:rsid w:val="00AE76C4"/>
    <w:rsid w:val="00AE7732"/>
    <w:rsid w:val="00AE7AA5"/>
    <w:rsid w:val="00AE7C2D"/>
    <w:rsid w:val="00AE7CD3"/>
    <w:rsid w:val="00AE7F66"/>
    <w:rsid w:val="00AED63B"/>
    <w:rsid w:val="00AF0272"/>
    <w:rsid w:val="00AF0E09"/>
    <w:rsid w:val="00AF0F26"/>
    <w:rsid w:val="00AF1098"/>
    <w:rsid w:val="00AF19E5"/>
    <w:rsid w:val="00AF1AE1"/>
    <w:rsid w:val="00AF1BFA"/>
    <w:rsid w:val="00AF1C45"/>
    <w:rsid w:val="00AF1D13"/>
    <w:rsid w:val="00AF1D2A"/>
    <w:rsid w:val="00AF1D64"/>
    <w:rsid w:val="00AF1D9E"/>
    <w:rsid w:val="00AF1EB5"/>
    <w:rsid w:val="00AF216E"/>
    <w:rsid w:val="00AF26CB"/>
    <w:rsid w:val="00AF2C03"/>
    <w:rsid w:val="00AF2D57"/>
    <w:rsid w:val="00AF2E75"/>
    <w:rsid w:val="00AF2E7E"/>
    <w:rsid w:val="00AF2F2A"/>
    <w:rsid w:val="00AF2F7F"/>
    <w:rsid w:val="00AF31BF"/>
    <w:rsid w:val="00AF31C7"/>
    <w:rsid w:val="00AF332A"/>
    <w:rsid w:val="00AF36D4"/>
    <w:rsid w:val="00AF3B1F"/>
    <w:rsid w:val="00AF3CC5"/>
    <w:rsid w:val="00AF3FFC"/>
    <w:rsid w:val="00AF412D"/>
    <w:rsid w:val="00AF4148"/>
    <w:rsid w:val="00AF446A"/>
    <w:rsid w:val="00AF49CB"/>
    <w:rsid w:val="00AF4A76"/>
    <w:rsid w:val="00AF4AB5"/>
    <w:rsid w:val="00AF4CE4"/>
    <w:rsid w:val="00AF4DAA"/>
    <w:rsid w:val="00AF5040"/>
    <w:rsid w:val="00AF564D"/>
    <w:rsid w:val="00AF59E9"/>
    <w:rsid w:val="00AF5E16"/>
    <w:rsid w:val="00AF615F"/>
    <w:rsid w:val="00AF62A8"/>
    <w:rsid w:val="00AF630F"/>
    <w:rsid w:val="00AF65CD"/>
    <w:rsid w:val="00AF67A0"/>
    <w:rsid w:val="00AF6850"/>
    <w:rsid w:val="00AF6AAE"/>
    <w:rsid w:val="00AF6CAA"/>
    <w:rsid w:val="00AF6DF2"/>
    <w:rsid w:val="00AF6E22"/>
    <w:rsid w:val="00AF712E"/>
    <w:rsid w:val="00AF7161"/>
    <w:rsid w:val="00AF72A3"/>
    <w:rsid w:val="00AF7386"/>
    <w:rsid w:val="00AF7729"/>
    <w:rsid w:val="00AF795A"/>
    <w:rsid w:val="00AF7A48"/>
    <w:rsid w:val="00AF7E87"/>
    <w:rsid w:val="00AFC580"/>
    <w:rsid w:val="00B00090"/>
    <w:rsid w:val="00B0023B"/>
    <w:rsid w:val="00B00447"/>
    <w:rsid w:val="00B005AF"/>
    <w:rsid w:val="00B00617"/>
    <w:rsid w:val="00B0074A"/>
    <w:rsid w:val="00B008A4"/>
    <w:rsid w:val="00B00AD5"/>
    <w:rsid w:val="00B00D03"/>
    <w:rsid w:val="00B00DCB"/>
    <w:rsid w:val="00B010AD"/>
    <w:rsid w:val="00B012AC"/>
    <w:rsid w:val="00B01482"/>
    <w:rsid w:val="00B019E4"/>
    <w:rsid w:val="00B01A1E"/>
    <w:rsid w:val="00B01B59"/>
    <w:rsid w:val="00B01CD0"/>
    <w:rsid w:val="00B01E34"/>
    <w:rsid w:val="00B01E9A"/>
    <w:rsid w:val="00B021CA"/>
    <w:rsid w:val="00B02309"/>
    <w:rsid w:val="00B023AA"/>
    <w:rsid w:val="00B023C5"/>
    <w:rsid w:val="00B025E0"/>
    <w:rsid w:val="00B02740"/>
    <w:rsid w:val="00B0298F"/>
    <w:rsid w:val="00B02A94"/>
    <w:rsid w:val="00B02F66"/>
    <w:rsid w:val="00B0305E"/>
    <w:rsid w:val="00B031E8"/>
    <w:rsid w:val="00B033B9"/>
    <w:rsid w:val="00B03589"/>
    <w:rsid w:val="00B036EB"/>
    <w:rsid w:val="00B037DC"/>
    <w:rsid w:val="00B03930"/>
    <w:rsid w:val="00B039E8"/>
    <w:rsid w:val="00B03B40"/>
    <w:rsid w:val="00B03D5E"/>
    <w:rsid w:val="00B03D95"/>
    <w:rsid w:val="00B047D8"/>
    <w:rsid w:val="00B04881"/>
    <w:rsid w:val="00B04919"/>
    <w:rsid w:val="00B05029"/>
    <w:rsid w:val="00B050B1"/>
    <w:rsid w:val="00B05359"/>
    <w:rsid w:val="00B05571"/>
    <w:rsid w:val="00B05691"/>
    <w:rsid w:val="00B059CD"/>
    <w:rsid w:val="00B059EC"/>
    <w:rsid w:val="00B05AFB"/>
    <w:rsid w:val="00B060B9"/>
    <w:rsid w:val="00B0611D"/>
    <w:rsid w:val="00B0645B"/>
    <w:rsid w:val="00B0649F"/>
    <w:rsid w:val="00B065C9"/>
    <w:rsid w:val="00B0697E"/>
    <w:rsid w:val="00B06F5D"/>
    <w:rsid w:val="00B0705B"/>
    <w:rsid w:val="00B07076"/>
    <w:rsid w:val="00B07729"/>
    <w:rsid w:val="00B077E8"/>
    <w:rsid w:val="00B0781A"/>
    <w:rsid w:val="00B079FF"/>
    <w:rsid w:val="00B07A96"/>
    <w:rsid w:val="00B07E55"/>
    <w:rsid w:val="00B07EFA"/>
    <w:rsid w:val="00B1003A"/>
    <w:rsid w:val="00B100A6"/>
    <w:rsid w:val="00B10238"/>
    <w:rsid w:val="00B10297"/>
    <w:rsid w:val="00B10328"/>
    <w:rsid w:val="00B10664"/>
    <w:rsid w:val="00B10B9E"/>
    <w:rsid w:val="00B10BA3"/>
    <w:rsid w:val="00B10C6B"/>
    <w:rsid w:val="00B10CCC"/>
    <w:rsid w:val="00B10E7E"/>
    <w:rsid w:val="00B10E88"/>
    <w:rsid w:val="00B10F7A"/>
    <w:rsid w:val="00B10FFB"/>
    <w:rsid w:val="00B110BD"/>
    <w:rsid w:val="00B112A8"/>
    <w:rsid w:val="00B11387"/>
    <w:rsid w:val="00B11F69"/>
    <w:rsid w:val="00B123CB"/>
    <w:rsid w:val="00B12600"/>
    <w:rsid w:val="00B1283D"/>
    <w:rsid w:val="00B128DF"/>
    <w:rsid w:val="00B128ED"/>
    <w:rsid w:val="00B129B9"/>
    <w:rsid w:val="00B12D60"/>
    <w:rsid w:val="00B12E6C"/>
    <w:rsid w:val="00B12F99"/>
    <w:rsid w:val="00B12FE8"/>
    <w:rsid w:val="00B1312B"/>
    <w:rsid w:val="00B132BE"/>
    <w:rsid w:val="00B132EC"/>
    <w:rsid w:val="00B134DA"/>
    <w:rsid w:val="00B1352F"/>
    <w:rsid w:val="00B135F5"/>
    <w:rsid w:val="00B137D0"/>
    <w:rsid w:val="00B13A1B"/>
    <w:rsid w:val="00B13DFF"/>
    <w:rsid w:val="00B1400D"/>
    <w:rsid w:val="00B1417D"/>
    <w:rsid w:val="00B141AC"/>
    <w:rsid w:val="00B14256"/>
    <w:rsid w:val="00B143A0"/>
    <w:rsid w:val="00B1445D"/>
    <w:rsid w:val="00B14640"/>
    <w:rsid w:val="00B14BF7"/>
    <w:rsid w:val="00B14E40"/>
    <w:rsid w:val="00B1518D"/>
    <w:rsid w:val="00B158D1"/>
    <w:rsid w:val="00B15F29"/>
    <w:rsid w:val="00B15F37"/>
    <w:rsid w:val="00B1603E"/>
    <w:rsid w:val="00B16116"/>
    <w:rsid w:val="00B1618C"/>
    <w:rsid w:val="00B162DF"/>
    <w:rsid w:val="00B16573"/>
    <w:rsid w:val="00B166E1"/>
    <w:rsid w:val="00B16B5F"/>
    <w:rsid w:val="00B16D9D"/>
    <w:rsid w:val="00B16E0A"/>
    <w:rsid w:val="00B16F9A"/>
    <w:rsid w:val="00B172A7"/>
    <w:rsid w:val="00B1752C"/>
    <w:rsid w:val="00B175CE"/>
    <w:rsid w:val="00B177F0"/>
    <w:rsid w:val="00B17937"/>
    <w:rsid w:val="00B17D03"/>
    <w:rsid w:val="00B17D20"/>
    <w:rsid w:val="00B17E6C"/>
    <w:rsid w:val="00B1EFDC"/>
    <w:rsid w:val="00B2016C"/>
    <w:rsid w:val="00B201EC"/>
    <w:rsid w:val="00B205ED"/>
    <w:rsid w:val="00B207B1"/>
    <w:rsid w:val="00B208BF"/>
    <w:rsid w:val="00B20995"/>
    <w:rsid w:val="00B20C2E"/>
    <w:rsid w:val="00B20CF2"/>
    <w:rsid w:val="00B20D5C"/>
    <w:rsid w:val="00B213D8"/>
    <w:rsid w:val="00B21CC2"/>
    <w:rsid w:val="00B21D4B"/>
    <w:rsid w:val="00B21DB2"/>
    <w:rsid w:val="00B22219"/>
    <w:rsid w:val="00B224E9"/>
    <w:rsid w:val="00B22BDF"/>
    <w:rsid w:val="00B22BF7"/>
    <w:rsid w:val="00B22C6E"/>
    <w:rsid w:val="00B22C9A"/>
    <w:rsid w:val="00B22CC3"/>
    <w:rsid w:val="00B22D90"/>
    <w:rsid w:val="00B22E7A"/>
    <w:rsid w:val="00B22EE6"/>
    <w:rsid w:val="00B2301D"/>
    <w:rsid w:val="00B23035"/>
    <w:rsid w:val="00B23360"/>
    <w:rsid w:val="00B23936"/>
    <w:rsid w:val="00B2393F"/>
    <w:rsid w:val="00B2413F"/>
    <w:rsid w:val="00B2417A"/>
    <w:rsid w:val="00B241C9"/>
    <w:rsid w:val="00B24275"/>
    <w:rsid w:val="00B245B4"/>
    <w:rsid w:val="00B247C4"/>
    <w:rsid w:val="00B248B2"/>
    <w:rsid w:val="00B24D0D"/>
    <w:rsid w:val="00B24D48"/>
    <w:rsid w:val="00B251EC"/>
    <w:rsid w:val="00B253B6"/>
    <w:rsid w:val="00B253C1"/>
    <w:rsid w:val="00B2547D"/>
    <w:rsid w:val="00B25621"/>
    <w:rsid w:val="00B256A7"/>
    <w:rsid w:val="00B2584E"/>
    <w:rsid w:val="00B25E9E"/>
    <w:rsid w:val="00B25F1A"/>
    <w:rsid w:val="00B26249"/>
    <w:rsid w:val="00B2660A"/>
    <w:rsid w:val="00B26AEA"/>
    <w:rsid w:val="00B26B3B"/>
    <w:rsid w:val="00B26DD0"/>
    <w:rsid w:val="00B27077"/>
    <w:rsid w:val="00B27182"/>
    <w:rsid w:val="00B271DC"/>
    <w:rsid w:val="00B27355"/>
    <w:rsid w:val="00B274DD"/>
    <w:rsid w:val="00B27563"/>
    <w:rsid w:val="00B27868"/>
    <w:rsid w:val="00B278E3"/>
    <w:rsid w:val="00B27B94"/>
    <w:rsid w:val="00B27C81"/>
    <w:rsid w:val="00B27FC5"/>
    <w:rsid w:val="00B28D17"/>
    <w:rsid w:val="00B2A6B5"/>
    <w:rsid w:val="00B30115"/>
    <w:rsid w:val="00B30437"/>
    <w:rsid w:val="00B30538"/>
    <w:rsid w:val="00B307F2"/>
    <w:rsid w:val="00B3082D"/>
    <w:rsid w:val="00B30842"/>
    <w:rsid w:val="00B3091B"/>
    <w:rsid w:val="00B309EE"/>
    <w:rsid w:val="00B30AAC"/>
    <w:rsid w:val="00B30C71"/>
    <w:rsid w:val="00B30D43"/>
    <w:rsid w:val="00B310EB"/>
    <w:rsid w:val="00B31120"/>
    <w:rsid w:val="00B31454"/>
    <w:rsid w:val="00B316F5"/>
    <w:rsid w:val="00B3174A"/>
    <w:rsid w:val="00B31A0C"/>
    <w:rsid w:val="00B31E42"/>
    <w:rsid w:val="00B31F93"/>
    <w:rsid w:val="00B31FCD"/>
    <w:rsid w:val="00B31FFF"/>
    <w:rsid w:val="00B3202D"/>
    <w:rsid w:val="00B32296"/>
    <w:rsid w:val="00B322F2"/>
    <w:rsid w:val="00B32636"/>
    <w:rsid w:val="00B326A1"/>
    <w:rsid w:val="00B326BE"/>
    <w:rsid w:val="00B32B80"/>
    <w:rsid w:val="00B32C29"/>
    <w:rsid w:val="00B32D3F"/>
    <w:rsid w:val="00B33012"/>
    <w:rsid w:val="00B331A8"/>
    <w:rsid w:val="00B33333"/>
    <w:rsid w:val="00B333C9"/>
    <w:rsid w:val="00B33644"/>
    <w:rsid w:val="00B3365D"/>
    <w:rsid w:val="00B33736"/>
    <w:rsid w:val="00B3375D"/>
    <w:rsid w:val="00B33863"/>
    <w:rsid w:val="00B33956"/>
    <w:rsid w:val="00B33B0E"/>
    <w:rsid w:val="00B33BBA"/>
    <w:rsid w:val="00B33BBD"/>
    <w:rsid w:val="00B340D1"/>
    <w:rsid w:val="00B3422B"/>
    <w:rsid w:val="00B3449A"/>
    <w:rsid w:val="00B344E9"/>
    <w:rsid w:val="00B3453C"/>
    <w:rsid w:val="00B349D7"/>
    <w:rsid w:val="00B349F0"/>
    <w:rsid w:val="00B34B78"/>
    <w:rsid w:val="00B34D1B"/>
    <w:rsid w:val="00B34D68"/>
    <w:rsid w:val="00B34F1D"/>
    <w:rsid w:val="00B35114"/>
    <w:rsid w:val="00B35234"/>
    <w:rsid w:val="00B35735"/>
    <w:rsid w:val="00B35875"/>
    <w:rsid w:val="00B35AB8"/>
    <w:rsid w:val="00B35B54"/>
    <w:rsid w:val="00B35B5C"/>
    <w:rsid w:val="00B35C09"/>
    <w:rsid w:val="00B35D61"/>
    <w:rsid w:val="00B36258"/>
    <w:rsid w:val="00B362F2"/>
    <w:rsid w:val="00B364C3"/>
    <w:rsid w:val="00B36525"/>
    <w:rsid w:val="00B3654A"/>
    <w:rsid w:val="00B368F1"/>
    <w:rsid w:val="00B36900"/>
    <w:rsid w:val="00B36D3B"/>
    <w:rsid w:val="00B36EB6"/>
    <w:rsid w:val="00B36F32"/>
    <w:rsid w:val="00B3716A"/>
    <w:rsid w:val="00B37329"/>
    <w:rsid w:val="00B3739D"/>
    <w:rsid w:val="00B374AB"/>
    <w:rsid w:val="00B375B6"/>
    <w:rsid w:val="00B3776E"/>
    <w:rsid w:val="00B37790"/>
    <w:rsid w:val="00B3779B"/>
    <w:rsid w:val="00B377E6"/>
    <w:rsid w:val="00B3785B"/>
    <w:rsid w:val="00B3794F"/>
    <w:rsid w:val="00B37B8B"/>
    <w:rsid w:val="00B4049C"/>
    <w:rsid w:val="00B40651"/>
    <w:rsid w:val="00B40704"/>
    <w:rsid w:val="00B407A9"/>
    <w:rsid w:val="00B40959"/>
    <w:rsid w:val="00B409C8"/>
    <w:rsid w:val="00B41174"/>
    <w:rsid w:val="00B41319"/>
    <w:rsid w:val="00B4136D"/>
    <w:rsid w:val="00B413A5"/>
    <w:rsid w:val="00B41728"/>
    <w:rsid w:val="00B41929"/>
    <w:rsid w:val="00B41CF7"/>
    <w:rsid w:val="00B41CFB"/>
    <w:rsid w:val="00B42060"/>
    <w:rsid w:val="00B4206F"/>
    <w:rsid w:val="00B42274"/>
    <w:rsid w:val="00B422B8"/>
    <w:rsid w:val="00B42528"/>
    <w:rsid w:val="00B42540"/>
    <w:rsid w:val="00B4262A"/>
    <w:rsid w:val="00B42B2B"/>
    <w:rsid w:val="00B42E12"/>
    <w:rsid w:val="00B42EA2"/>
    <w:rsid w:val="00B42F7B"/>
    <w:rsid w:val="00B43031"/>
    <w:rsid w:val="00B434B4"/>
    <w:rsid w:val="00B439C4"/>
    <w:rsid w:val="00B43A85"/>
    <w:rsid w:val="00B43F4B"/>
    <w:rsid w:val="00B43F7A"/>
    <w:rsid w:val="00B440B5"/>
    <w:rsid w:val="00B44178"/>
    <w:rsid w:val="00B44281"/>
    <w:rsid w:val="00B4474E"/>
    <w:rsid w:val="00B44836"/>
    <w:rsid w:val="00B4494C"/>
    <w:rsid w:val="00B4498C"/>
    <w:rsid w:val="00B44D38"/>
    <w:rsid w:val="00B44DD3"/>
    <w:rsid w:val="00B44E25"/>
    <w:rsid w:val="00B454C0"/>
    <w:rsid w:val="00B45630"/>
    <w:rsid w:val="00B459BB"/>
    <w:rsid w:val="00B45C02"/>
    <w:rsid w:val="00B45C2D"/>
    <w:rsid w:val="00B45C4E"/>
    <w:rsid w:val="00B45E27"/>
    <w:rsid w:val="00B45F64"/>
    <w:rsid w:val="00B4600E"/>
    <w:rsid w:val="00B460DD"/>
    <w:rsid w:val="00B46283"/>
    <w:rsid w:val="00B462D5"/>
    <w:rsid w:val="00B4641E"/>
    <w:rsid w:val="00B464BC"/>
    <w:rsid w:val="00B4680B"/>
    <w:rsid w:val="00B4687C"/>
    <w:rsid w:val="00B46B5F"/>
    <w:rsid w:val="00B46D35"/>
    <w:rsid w:val="00B46DA0"/>
    <w:rsid w:val="00B46ED8"/>
    <w:rsid w:val="00B47121"/>
    <w:rsid w:val="00B47281"/>
    <w:rsid w:val="00B473FD"/>
    <w:rsid w:val="00B4784E"/>
    <w:rsid w:val="00B49A65"/>
    <w:rsid w:val="00B501D2"/>
    <w:rsid w:val="00B50288"/>
    <w:rsid w:val="00B5044C"/>
    <w:rsid w:val="00B504A1"/>
    <w:rsid w:val="00B50698"/>
    <w:rsid w:val="00B50961"/>
    <w:rsid w:val="00B50BE1"/>
    <w:rsid w:val="00B50EAA"/>
    <w:rsid w:val="00B513CE"/>
    <w:rsid w:val="00B51711"/>
    <w:rsid w:val="00B51723"/>
    <w:rsid w:val="00B51868"/>
    <w:rsid w:val="00B5193E"/>
    <w:rsid w:val="00B51976"/>
    <w:rsid w:val="00B51A39"/>
    <w:rsid w:val="00B51A79"/>
    <w:rsid w:val="00B51A95"/>
    <w:rsid w:val="00B51B9D"/>
    <w:rsid w:val="00B51BED"/>
    <w:rsid w:val="00B51D0A"/>
    <w:rsid w:val="00B51F13"/>
    <w:rsid w:val="00B52017"/>
    <w:rsid w:val="00B520B1"/>
    <w:rsid w:val="00B52140"/>
    <w:rsid w:val="00B52304"/>
    <w:rsid w:val="00B52519"/>
    <w:rsid w:val="00B52C13"/>
    <w:rsid w:val="00B52C89"/>
    <w:rsid w:val="00B52E70"/>
    <w:rsid w:val="00B52F64"/>
    <w:rsid w:val="00B53044"/>
    <w:rsid w:val="00B53192"/>
    <w:rsid w:val="00B533B1"/>
    <w:rsid w:val="00B5352C"/>
    <w:rsid w:val="00B536B0"/>
    <w:rsid w:val="00B537AE"/>
    <w:rsid w:val="00B53B31"/>
    <w:rsid w:val="00B53B4C"/>
    <w:rsid w:val="00B53C97"/>
    <w:rsid w:val="00B53CE7"/>
    <w:rsid w:val="00B53DD1"/>
    <w:rsid w:val="00B53EAB"/>
    <w:rsid w:val="00B53FA4"/>
    <w:rsid w:val="00B540C0"/>
    <w:rsid w:val="00B54229"/>
    <w:rsid w:val="00B542C2"/>
    <w:rsid w:val="00B5457A"/>
    <w:rsid w:val="00B54982"/>
    <w:rsid w:val="00B54B05"/>
    <w:rsid w:val="00B54B71"/>
    <w:rsid w:val="00B54CC2"/>
    <w:rsid w:val="00B54D5E"/>
    <w:rsid w:val="00B54DF5"/>
    <w:rsid w:val="00B54E20"/>
    <w:rsid w:val="00B54F26"/>
    <w:rsid w:val="00B54FE9"/>
    <w:rsid w:val="00B550E0"/>
    <w:rsid w:val="00B55234"/>
    <w:rsid w:val="00B552C0"/>
    <w:rsid w:val="00B55A4B"/>
    <w:rsid w:val="00B55AAD"/>
    <w:rsid w:val="00B55BB9"/>
    <w:rsid w:val="00B55D7C"/>
    <w:rsid w:val="00B55EEF"/>
    <w:rsid w:val="00B55F71"/>
    <w:rsid w:val="00B56177"/>
    <w:rsid w:val="00B56416"/>
    <w:rsid w:val="00B5671E"/>
    <w:rsid w:val="00B56849"/>
    <w:rsid w:val="00B5697E"/>
    <w:rsid w:val="00B56B25"/>
    <w:rsid w:val="00B570FF"/>
    <w:rsid w:val="00B57119"/>
    <w:rsid w:val="00B57373"/>
    <w:rsid w:val="00B57566"/>
    <w:rsid w:val="00B5758D"/>
    <w:rsid w:val="00B57891"/>
    <w:rsid w:val="00B57FD8"/>
    <w:rsid w:val="00B5C7FE"/>
    <w:rsid w:val="00B6000D"/>
    <w:rsid w:val="00B6033C"/>
    <w:rsid w:val="00B6054F"/>
    <w:rsid w:val="00B6066F"/>
    <w:rsid w:val="00B608CD"/>
    <w:rsid w:val="00B60984"/>
    <w:rsid w:val="00B60AD5"/>
    <w:rsid w:val="00B60B58"/>
    <w:rsid w:val="00B60D0B"/>
    <w:rsid w:val="00B60D33"/>
    <w:rsid w:val="00B60E63"/>
    <w:rsid w:val="00B60E7A"/>
    <w:rsid w:val="00B61164"/>
    <w:rsid w:val="00B614B2"/>
    <w:rsid w:val="00B617E8"/>
    <w:rsid w:val="00B61D4A"/>
    <w:rsid w:val="00B62540"/>
    <w:rsid w:val="00B625AF"/>
    <w:rsid w:val="00B6276C"/>
    <w:rsid w:val="00B627D7"/>
    <w:rsid w:val="00B6280A"/>
    <w:rsid w:val="00B62D7A"/>
    <w:rsid w:val="00B62FC4"/>
    <w:rsid w:val="00B630BE"/>
    <w:rsid w:val="00B6312A"/>
    <w:rsid w:val="00B63145"/>
    <w:rsid w:val="00B63174"/>
    <w:rsid w:val="00B631E1"/>
    <w:rsid w:val="00B63359"/>
    <w:rsid w:val="00B633A1"/>
    <w:rsid w:val="00B63423"/>
    <w:rsid w:val="00B634FA"/>
    <w:rsid w:val="00B63850"/>
    <w:rsid w:val="00B639C7"/>
    <w:rsid w:val="00B63C2D"/>
    <w:rsid w:val="00B63D2E"/>
    <w:rsid w:val="00B64009"/>
    <w:rsid w:val="00B644BE"/>
    <w:rsid w:val="00B64612"/>
    <w:rsid w:val="00B6463F"/>
    <w:rsid w:val="00B64A27"/>
    <w:rsid w:val="00B64D80"/>
    <w:rsid w:val="00B64DAF"/>
    <w:rsid w:val="00B64E04"/>
    <w:rsid w:val="00B64E8A"/>
    <w:rsid w:val="00B65074"/>
    <w:rsid w:val="00B651B9"/>
    <w:rsid w:val="00B65247"/>
    <w:rsid w:val="00B6561D"/>
    <w:rsid w:val="00B656F5"/>
    <w:rsid w:val="00B658A8"/>
    <w:rsid w:val="00B65B0D"/>
    <w:rsid w:val="00B660D3"/>
    <w:rsid w:val="00B661F7"/>
    <w:rsid w:val="00B66254"/>
    <w:rsid w:val="00B66306"/>
    <w:rsid w:val="00B66345"/>
    <w:rsid w:val="00B66441"/>
    <w:rsid w:val="00B666B5"/>
    <w:rsid w:val="00B666F0"/>
    <w:rsid w:val="00B6670E"/>
    <w:rsid w:val="00B6672B"/>
    <w:rsid w:val="00B66781"/>
    <w:rsid w:val="00B6690A"/>
    <w:rsid w:val="00B66A0F"/>
    <w:rsid w:val="00B66AB1"/>
    <w:rsid w:val="00B66BC4"/>
    <w:rsid w:val="00B67755"/>
    <w:rsid w:val="00B677C1"/>
    <w:rsid w:val="00B679A0"/>
    <w:rsid w:val="00B67AD8"/>
    <w:rsid w:val="00B67B1C"/>
    <w:rsid w:val="00B67C96"/>
    <w:rsid w:val="00B67E72"/>
    <w:rsid w:val="00B7006F"/>
    <w:rsid w:val="00B701E2"/>
    <w:rsid w:val="00B7054A"/>
    <w:rsid w:val="00B70665"/>
    <w:rsid w:val="00B70776"/>
    <w:rsid w:val="00B7077D"/>
    <w:rsid w:val="00B707A3"/>
    <w:rsid w:val="00B7087E"/>
    <w:rsid w:val="00B708D8"/>
    <w:rsid w:val="00B70E8E"/>
    <w:rsid w:val="00B70F3E"/>
    <w:rsid w:val="00B70F5D"/>
    <w:rsid w:val="00B7104D"/>
    <w:rsid w:val="00B7132E"/>
    <w:rsid w:val="00B71455"/>
    <w:rsid w:val="00B7146C"/>
    <w:rsid w:val="00B7159E"/>
    <w:rsid w:val="00B71632"/>
    <w:rsid w:val="00B7172D"/>
    <w:rsid w:val="00B71741"/>
    <w:rsid w:val="00B7192B"/>
    <w:rsid w:val="00B71C91"/>
    <w:rsid w:val="00B724A1"/>
    <w:rsid w:val="00B725FF"/>
    <w:rsid w:val="00B72644"/>
    <w:rsid w:val="00B72A5E"/>
    <w:rsid w:val="00B72DB4"/>
    <w:rsid w:val="00B72E65"/>
    <w:rsid w:val="00B72E96"/>
    <w:rsid w:val="00B72FFF"/>
    <w:rsid w:val="00B730AC"/>
    <w:rsid w:val="00B736F7"/>
    <w:rsid w:val="00B7373B"/>
    <w:rsid w:val="00B7376C"/>
    <w:rsid w:val="00B73776"/>
    <w:rsid w:val="00B73D6E"/>
    <w:rsid w:val="00B743D2"/>
    <w:rsid w:val="00B744F1"/>
    <w:rsid w:val="00B7460D"/>
    <w:rsid w:val="00B74AC0"/>
    <w:rsid w:val="00B74AE2"/>
    <w:rsid w:val="00B74F0C"/>
    <w:rsid w:val="00B75339"/>
    <w:rsid w:val="00B75416"/>
    <w:rsid w:val="00B75577"/>
    <w:rsid w:val="00B75619"/>
    <w:rsid w:val="00B7566A"/>
    <w:rsid w:val="00B759C9"/>
    <w:rsid w:val="00B75AFB"/>
    <w:rsid w:val="00B75B49"/>
    <w:rsid w:val="00B75C88"/>
    <w:rsid w:val="00B75D61"/>
    <w:rsid w:val="00B75E65"/>
    <w:rsid w:val="00B75E73"/>
    <w:rsid w:val="00B76019"/>
    <w:rsid w:val="00B7639D"/>
    <w:rsid w:val="00B763BC"/>
    <w:rsid w:val="00B76734"/>
    <w:rsid w:val="00B7695C"/>
    <w:rsid w:val="00B76E15"/>
    <w:rsid w:val="00B76E94"/>
    <w:rsid w:val="00B77107"/>
    <w:rsid w:val="00B77118"/>
    <w:rsid w:val="00B772F2"/>
    <w:rsid w:val="00B773D4"/>
    <w:rsid w:val="00B7763E"/>
    <w:rsid w:val="00B776E5"/>
    <w:rsid w:val="00B77724"/>
    <w:rsid w:val="00B80299"/>
    <w:rsid w:val="00B805B8"/>
    <w:rsid w:val="00B80645"/>
    <w:rsid w:val="00B8094D"/>
    <w:rsid w:val="00B80DF7"/>
    <w:rsid w:val="00B80E7F"/>
    <w:rsid w:val="00B80F23"/>
    <w:rsid w:val="00B80FA4"/>
    <w:rsid w:val="00B80FB6"/>
    <w:rsid w:val="00B80FCA"/>
    <w:rsid w:val="00B811C5"/>
    <w:rsid w:val="00B8140B"/>
    <w:rsid w:val="00B817B2"/>
    <w:rsid w:val="00B817F6"/>
    <w:rsid w:val="00B8199A"/>
    <w:rsid w:val="00B81B7B"/>
    <w:rsid w:val="00B81D1C"/>
    <w:rsid w:val="00B81E88"/>
    <w:rsid w:val="00B820C8"/>
    <w:rsid w:val="00B820E4"/>
    <w:rsid w:val="00B8234D"/>
    <w:rsid w:val="00B823CD"/>
    <w:rsid w:val="00B825B0"/>
    <w:rsid w:val="00B8276F"/>
    <w:rsid w:val="00B82CA9"/>
    <w:rsid w:val="00B82D70"/>
    <w:rsid w:val="00B832E2"/>
    <w:rsid w:val="00B83301"/>
    <w:rsid w:val="00B83350"/>
    <w:rsid w:val="00B833B7"/>
    <w:rsid w:val="00B835D6"/>
    <w:rsid w:val="00B8380B"/>
    <w:rsid w:val="00B83AB0"/>
    <w:rsid w:val="00B83BB6"/>
    <w:rsid w:val="00B83C42"/>
    <w:rsid w:val="00B83C93"/>
    <w:rsid w:val="00B83CEE"/>
    <w:rsid w:val="00B8446D"/>
    <w:rsid w:val="00B844D5"/>
    <w:rsid w:val="00B8492D"/>
    <w:rsid w:val="00B84A0D"/>
    <w:rsid w:val="00B84B64"/>
    <w:rsid w:val="00B84C7B"/>
    <w:rsid w:val="00B84DD4"/>
    <w:rsid w:val="00B84E64"/>
    <w:rsid w:val="00B84EA3"/>
    <w:rsid w:val="00B85292"/>
    <w:rsid w:val="00B854EA"/>
    <w:rsid w:val="00B857F4"/>
    <w:rsid w:val="00B85889"/>
    <w:rsid w:val="00B85E4F"/>
    <w:rsid w:val="00B85E5A"/>
    <w:rsid w:val="00B85EDF"/>
    <w:rsid w:val="00B85FF1"/>
    <w:rsid w:val="00B8608E"/>
    <w:rsid w:val="00B8609F"/>
    <w:rsid w:val="00B86436"/>
    <w:rsid w:val="00B867ED"/>
    <w:rsid w:val="00B868FA"/>
    <w:rsid w:val="00B86A6C"/>
    <w:rsid w:val="00B86A7F"/>
    <w:rsid w:val="00B86C6D"/>
    <w:rsid w:val="00B86C71"/>
    <w:rsid w:val="00B86C94"/>
    <w:rsid w:val="00B86C9A"/>
    <w:rsid w:val="00B86CD0"/>
    <w:rsid w:val="00B86D41"/>
    <w:rsid w:val="00B86DEF"/>
    <w:rsid w:val="00B86F5B"/>
    <w:rsid w:val="00B870A6"/>
    <w:rsid w:val="00B871A2"/>
    <w:rsid w:val="00B879E6"/>
    <w:rsid w:val="00B879FC"/>
    <w:rsid w:val="00B87AC2"/>
    <w:rsid w:val="00B87EE9"/>
    <w:rsid w:val="00B887AF"/>
    <w:rsid w:val="00B90139"/>
    <w:rsid w:val="00B9064B"/>
    <w:rsid w:val="00B909B7"/>
    <w:rsid w:val="00B909CD"/>
    <w:rsid w:val="00B90D5A"/>
    <w:rsid w:val="00B90F84"/>
    <w:rsid w:val="00B91166"/>
    <w:rsid w:val="00B911E5"/>
    <w:rsid w:val="00B91579"/>
    <w:rsid w:val="00B919C6"/>
    <w:rsid w:val="00B91ADC"/>
    <w:rsid w:val="00B91B10"/>
    <w:rsid w:val="00B91B9C"/>
    <w:rsid w:val="00B91C13"/>
    <w:rsid w:val="00B91D7C"/>
    <w:rsid w:val="00B91DB8"/>
    <w:rsid w:val="00B91EFD"/>
    <w:rsid w:val="00B9209D"/>
    <w:rsid w:val="00B9225D"/>
    <w:rsid w:val="00B922EB"/>
    <w:rsid w:val="00B92428"/>
    <w:rsid w:val="00B92660"/>
    <w:rsid w:val="00B92838"/>
    <w:rsid w:val="00B92BA0"/>
    <w:rsid w:val="00B92C9B"/>
    <w:rsid w:val="00B92D70"/>
    <w:rsid w:val="00B92E42"/>
    <w:rsid w:val="00B936E2"/>
    <w:rsid w:val="00B938B2"/>
    <w:rsid w:val="00B93D59"/>
    <w:rsid w:val="00B93D9A"/>
    <w:rsid w:val="00B93DEC"/>
    <w:rsid w:val="00B93E65"/>
    <w:rsid w:val="00B94070"/>
    <w:rsid w:val="00B940C3"/>
    <w:rsid w:val="00B940C4"/>
    <w:rsid w:val="00B9424B"/>
    <w:rsid w:val="00B94334"/>
    <w:rsid w:val="00B9438D"/>
    <w:rsid w:val="00B94428"/>
    <w:rsid w:val="00B94574"/>
    <w:rsid w:val="00B94EC0"/>
    <w:rsid w:val="00B94FDB"/>
    <w:rsid w:val="00B9520B"/>
    <w:rsid w:val="00B95574"/>
    <w:rsid w:val="00B9560E"/>
    <w:rsid w:val="00B95808"/>
    <w:rsid w:val="00B95C9F"/>
    <w:rsid w:val="00B95D96"/>
    <w:rsid w:val="00B95DA8"/>
    <w:rsid w:val="00B95DAF"/>
    <w:rsid w:val="00B95E74"/>
    <w:rsid w:val="00B95EAD"/>
    <w:rsid w:val="00B96197"/>
    <w:rsid w:val="00B9625F"/>
    <w:rsid w:val="00B96303"/>
    <w:rsid w:val="00B96318"/>
    <w:rsid w:val="00B963F5"/>
    <w:rsid w:val="00B9675B"/>
    <w:rsid w:val="00B96761"/>
    <w:rsid w:val="00B96855"/>
    <w:rsid w:val="00B96B13"/>
    <w:rsid w:val="00B97169"/>
    <w:rsid w:val="00B97341"/>
    <w:rsid w:val="00B973DE"/>
    <w:rsid w:val="00B975FC"/>
    <w:rsid w:val="00B9767E"/>
    <w:rsid w:val="00B977C7"/>
    <w:rsid w:val="00B97AB7"/>
    <w:rsid w:val="00B97ACB"/>
    <w:rsid w:val="00B97CE7"/>
    <w:rsid w:val="00BA00CD"/>
    <w:rsid w:val="00BA015E"/>
    <w:rsid w:val="00BA017C"/>
    <w:rsid w:val="00BA0486"/>
    <w:rsid w:val="00BA0798"/>
    <w:rsid w:val="00BA081B"/>
    <w:rsid w:val="00BA08A1"/>
    <w:rsid w:val="00BA0903"/>
    <w:rsid w:val="00BA0DDC"/>
    <w:rsid w:val="00BA0DF1"/>
    <w:rsid w:val="00BA0E62"/>
    <w:rsid w:val="00BA119D"/>
    <w:rsid w:val="00BA129D"/>
    <w:rsid w:val="00BA1352"/>
    <w:rsid w:val="00BA15D2"/>
    <w:rsid w:val="00BA1611"/>
    <w:rsid w:val="00BA1B17"/>
    <w:rsid w:val="00BA1B4A"/>
    <w:rsid w:val="00BA1CF0"/>
    <w:rsid w:val="00BA258A"/>
    <w:rsid w:val="00BA2617"/>
    <w:rsid w:val="00BA270F"/>
    <w:rsid w:val="00BA2713"/>
    <w:rsid w:val="00BA2822"/>
    <w:rsid w:val="00BA2AB8"/>
    <w:rsid w:val="00BA2AD8"/>
    <w:rsid w:val="00BA2B05"/>
    <w:rsid w:val="00BA2C7E"/>
    <w:rsid w:val="00BA2E85"/>
    <w:rsid w:val="00BA2FE4"/>
    <w:rsid w:val="00BA3388"/>
    <w:rsid w:val="00BA3389"/>
    <w:rsid w:val="00BA33A6"/>
    <w:rsid w:val="00BA3537"/>
    <w:rsid w:val="00BA3579"/>
    <w:rsid w:val="00BA3908"/>
    <w:rsid w:val="00BA39F7"/>
    <w:rsid w:val="00BA3CFB"/>
    <w:rsid w:val="00BA3D91"/>
    <w:rsid w:val="00BA3EF6"/>
    <w:rsid w:val="00BA4476"/>
    <w:rsid w:val="00BA449A"/>
    <w:rsid w:val="00BA457D"/>
    <w:rsid w:val="00BA4593"/>
    <w:rsid w:val="00BA45A1"/>
    <w:rsid w:val="00BA4829"/>
    <w:rsid w:val="00BA4981"/>
    <w:rsid w:val="00BA4C48"/>
    <w:rsid w:val="00BA4CE4"/>
    <w:rsid w:val="00BA4E80"/>
    <w:rsid w:val="00BA4EB9"/>
    <w:rsid w:val="00BA52C7"/>
    <w:rsid w:val="00BA574B"/>
    <w:rsid w:val="00BA58DE"/>
    <w:rsid w:val="00BA5923"/>
    <w:rsid w:val="00BA5D4B"/>
    <w:rsid w:val="00BA5E95"/>
    <w:rsid w:val="00BA5ED9"/>
    <w:rsid w:val="00BA6181"/>
    <w:rsid w:val="00BA6566"/>
    <w:rsid w:val="00BA664F"/>
    <w:rsid w:val="00BA66D9"/>
    <w:rsid w:val="00BA6CCC"/>
    <w:rsid w:val="00BA6D3F"/>
    <w:rsid w:val="00BA6FE0"/>
    <w:rsid w:val="00BA6FE8"/>
    <w:rsid w:val="00BA7044"/>
    <w:rsid w:val="00BA736A"/>
    <w:rsid w:val="00BA74CD"/>
    <w:rsid w:val="00BA74D4"/>
    <w:rsid w:val="00BA7764"/>
    <w:rsid w:val="00BA7788"/>
    <w:rsid w:val="00BA7844"/>
    <w:rsid w:val="00BA7918"/>
    <w:rsid w:val="00BA7B3E"/>
    <w:rsid w:val="00BA7C92"/>
    <w:rsid w:val="00BA7E7B"/>
    <w:rsid w:val="00BB0371"/>
    <w:rsid w:val="00BB057B"/>
    <w:rsid w:val="00BB080F"/>
    <w:rsid w:val="00BB09F4"/>
    <w:rsid w:val="00BB0C2C"/>
    <w:rsid w:val="00BB0DB1"/>
    <w:rsid w:val="00BB0F51"/>
    <w:rsid w:val="00BB1051"/>
    <w:rsid w:val="00BB11A7"/>
    <w:rsid w:val="00BB11DB"/>
    <w:rsid w:val="00BB12B6"/>
    <w:rsid w:val="00BB175E"/>
    <w:rsid w:val="00BB17C3"/>
    <w:rsid w:val="00BB18E1"/>
    <w:rsid w:val="00BB1B54"/>
    <w:rsid w:val="00BB1B89"/>
    <w:rsid w:val="00BB1CBC"/>
    <w:rsid w:val="00BB1E60"/>
    <w:rsid w:val="00BB1F54"/>
    <w:rsid w:val="00BB1FAD"/>
    <w:rsid w:val="00BB1FD6"/>
    <w:rsid w:val="00BB1FF3"/>
    <w:rsid w:val="00BB25DB"/>
    <w:rsid w:val="00BB2A79"/>
    <w:rsid w:val="00BB2AE7"/>
    <w:rsid w:val="00BB2BAD"/>
    <w:rsid w:val="00BB2C31"/>
    <w:rsid w:val="00BB2F30"/>
    <w:rsid w:val="00BB30CA"/>
    <w:rsid w:val="00BB3868"/>
    <w:rsid w:val="00BB38FB"/>
    <w:rsid w:val="00BB39DF"/>
    <w:rsid w:val="00BB3B47"/>
    <w:rsid w:val="00BB3BF3"/>
    <w:rsid w:val="00BB3C80"/>
    <w:rsid w:val="00BB4286"/>
    <w:rsid w:val="00BB42AF"/>
    <w:rsid w:val="00BB43A4"/>
    <w:rsid w:val="00BB442B"/>
    <w:rsid w:val="00BB4581"/>
    <w:rsid w:val="00BB46FB"/>
    <w:rsid w:val="00BB48B5"/>
    <w:rsid w:val="00BB4BAF"/>
    <w:rsid w:val="00BB4C07"/>
    <w:rsid w:val="00BB5041"/>
    <w:rsid w:val="00BB5475"/>
    <w:rsid w:val="00BB5489"/>
    <w:rsid w:val="00BB5966"/>
    <w:rsid w:val="00BB5978"/>
    <w:rsid w:val="00BB5A2C"/>
    <w:rsid w:val="00BB5A97"/>
    <w:rsid w:val="00BB5B78"/>
    <w:rsid w:val="00BB5F2D"/>
    <w:rsid w:val="00BB5FE4"/>
    <w:rsid w:val="00BB601E"/>
    <w:rsid w:val="00BB638D"/>
    <w:rsid w:val="00BB648F"/>
    <w:rsid w:val="00BB65C2"/>
    <w:rsid w:val="00BB6681"/>
    <w:rsid w:val="00BB6699"/>
    <w:rsid w:val="00BB683C"/>
    <w:rsid w:val="00BB6847"/>
    <w:rsid w:val="00BB6C7A"/>
    <w:rsid w:val="00BB6D1E"/>
    <w:rsid w:val="00BB6F67"/>
    <w:rsid w:val="00BB6FB1"/>
    <w:rsid w:val="00BB72DC"/>
    <w:rsid w:val="00BB7507"/>
    <w:rsid w:val="00BB7560"/>
    <w:rsid w:val="00BB7613"/>
    <w:rsid w:val="00BB761F"/>
    <w:rsid w:val="00BB76D8"/>
    <w:rsid w:val="00BB77BC"/>
    <w:rsid w:val="00BB7A87"/>
    <w:rsid w:val="00BB7BBD"/>
    <w:rsid w:val="00BB7D6B"/>
    <w:rsid w:val="00BB7F68"/>
    <w:rsid w:val="00BB7FA8"/>
    <w:rsid w:val="00BBFE45"/>
    <w:rsid w:val="00BC0164"/>
    <w:rsid w:val="00BC0168"/>
    <w:rsid w:val="00BC025D"/>
    <w:rsid w:val="00BC02FF"/>
    <w:rsid w:val="00BC047C"/>
    <w:rsid w:val="00BC04BD"/>
    <w:rsid w:val="00BC04DD"/>
    <w:rsid w:val="00BC0871"/>
    <w:rsid w:val="00BC09B6"/>
    <w:rsid w:val="00BC0A05"/>
    <w:rsid w:val="00BC0F51"/>
    <w:rsid w:val="00BC133E"/>
    <w:rsid w:val="00BC15C3"/>
    <w:rsid w:val="00BC1B93"/>
    <w:rsid w:val="00BC1D0F"/>
    <w:rsid w:val="00BC2302"/>
    <w:rsid w:val="00BC23B2"/>
    <w:rsid w:val="00BC24AC"/>
    <w:rsid w:val="00BC275C"/>
    <w:rsid w:val="00BC27D9"/>
    <w:rsid w:val="00BC2A6D"/>
    <w:rsid w:val="00BC2AFD"/>
    <w:rsid w:val="00BC2C6F"/>
    <w:rsid w:val="00BC2F25"/>
    <w:rsid w:val="00BC305C"/>
    <w:rsid w:val="00BC3105"/>
    <w:rsid w:val="00BC3216"/>
    <w:rsid w:val="00BC33EF"/>
    <w:rsid w:val="00BC34E2"/>
    <w:rsid w:val="00BC358E"/>
    <w:rsid w:val="00BC37CB"/>
    <w:rsid w:val="00BC3990"/>
    <w:rsid w:val="00BC3B82"/>
    <w:rsid w:val="00BC3EF9"/>
    <w:rsid w:val="00BC3F1D"/>
    <w:rsid w:val="00BC41C7"/>
    <w:rsid w:val="00BC4930"/>
    <w:rsid w:val="00BC4968"/>
    <w:rsid w:val="00BC4A8D"/>
    <w:rsid w:val="00BC4AE9"/>
    <w:rsid w:val="00BC4D89"/>
    <w:rsid w:val="00BC52F9"/>
    <w:rsid w:val="00BC54B7"/>
    <w:rsid w:val="00BC5AFD"/>
    <w:rsid w:val="00BC5BEF"/>
    <w:rsid w:val="00BC5DE8"/>
    <w:rsid w:val="00BC5E19"/>
    <w:rsid w:val="00BC6106"/>
    <w:rsid w:val="00BC61F5"/>
    <w:rsid w:val="00BC639E"/>
    <w:rsid w:val="00BC63D9"/>
    <w:rsid w:val="00BC681C"/>
    <w:rsid w:val="00BC6A43"/>
    <w:rsid w:val="00BC6AF6"/>
    <w:rsid w:val="00BC6B44"/>
    <w:rsid w:val="00BC6CB1"/>
    <w:rsid w:val="00BC74A3"/>
    <w:rsid w:val="00BC7546"/>
    <w:rsid w:val="00BC75C6"/>
    <w:rsid w:val="00BC7762"/>
    <w:rsid w:val="00BC78EE"/>
    <w:rsid w:val="00BC7C60"/>
    <w:rsid w:val="00BC7E5C"/>
    <w:rsid w:val="00BD031D"/>
    <w:rsid w:val="00BD0455"/>
    <w:rsid w:val="00BD08FA"/>
    <w:rsid w:val="00BD0976"/>
    <w:rsid w:val="00BD0C16"/>
    <w:rsid w:val="00BD1281"/>
    <w:rsid w:val="00BD14E2"/>
    <w:rsid w:val="00BD169A"/>
    <w:rsid w:val="00BD18B2"/>
    <w:rsid w:val="00BD18C8"/>
    <w:rsid w:val="00BD1982"/>
    <w:rsid w:val="00BD1CA8"/>
    <w:rsid w:val="00BD22AE"/>
    <w:rsid w:val="00BD22C6"/>
    <w:rsid w:val="00BD22F9"/>
    <w:rsid w:val="00BD2495"/>
    <w:rsid w:val="00BD2843"/>
    <w:rsid w:val="00BD293C"/>
    <w:rsid w:val="00BD2C21"/>
    <w:rsid w:val="00BD2D6D"/>
    <w:rsid w:val="00BD2F24"/>
    <w:rsid w:val="00BD31E5"/>
    <w:rsid w:val="00BD3508"/>
    <w:rsid w:val="00BD3BB1"/>
    <w:rsid w:val="00BD3BCE"/>
    <w:rsid w:val="00BD401E"/>
    <w:rsid w:val="00BD41FC"/>
    <w:rsid w:val="00BD43D2"/>
    <w:rsid w:val="00BD447A"/>
    <w:rsid w:val="00BD473A"/>
    <w:rsid w:val="00BD48D2"/>
    <w:rsid w:val="00BD4AE1"/>
    <w:rsid w:val="00BD4C26"/>
    <w:rsid w:val="00BD4CA6"/>
    <w:rsid w:val="00BD4D81"/>
    <w:rsid w:val="00BD4E85"/>
    <w:rsid w:val="00BD4F4C"/>
    <w:rsid w:val="00BD5026"/>
    <w:rsid w:val="00BD5223"/>
    <w:rsid w:val="00BD52A2"/>
    <w:rsid w:val="00BD532B"/>
    <w:rsid w:val="00BD5640"/>
    <w:rsid w:val="00BD5865"/>
    <w:rsid w:val="00BD5C87"/>
    <w:rsid w:val="00BD5DE8"/>
    <w:rsid w:val="00BD5F0C"/>
    <w:rsid w:val="00BD6030"/>
    <w:rsid w:val="00BD645E"/>
    <w:rsid w:val="00BD6AA9"/>
    <w:rsid w:val="00BD6AC4"/>
    <w:rsid w:val="00BD6C2A"/>
    <w:rsid w:val="00BD6C4F"/>
    <w:rsid w:val="00BD6CB5"/>
    <w:rsid w:val="00BD6CC3"/>
    <w:rsid w:val="00BD6E23"/>
    <w:rsid w:val="00BD6F2E"/>
    <w:rsid w:val="00BD7078"/>
    <w:rsid w:val="00BD7128"/>
    <w:rsid w:val="00BD7145"/>
    <w:rsid w:val="00BD7300"/>
    <w:rsid w:val="00BD74E4"/>
    <w:rsid w:val="00BD75B1"/>
    <w:rsid w:val="00BD78C2"/>
    <w:rsid w:val="00BD794F"/>
    <w:rsid w:val="00BD7A23"/>
    <w:rsid w:val="00BD7E16"/>
    <w:rsid w:val="00BE01C6"/>
    <w:rsid w:val="00BE01C8"/>
    <w:rsid w:val="00BE024A"/>
    <w:rsid w:val="00BE031E"/>
    <w:rsid w:val="00BE0512"/>
    <w:rsid w:val="00BE05FD"/>
    <w:rsid w:val="00BE0719"/>
    <w:rsid w:val="00BE076E"/>
    <w:rsid w:val="00BE07E4"/>
    <w:rsid w:val="00BE0AD5"/>
    <w:rsid w:val="00BE0AE7"/>
    <w:rsid w:val="00BE10FF"/>
    <w:rsid w:val="00BE116D"/>
    <w:rsid w:val="00BE133D"/>
    <w:rsid w:val="00BE17F3"/>
    <w:rsid w:val="00BE19B5"/>
    <w:rsid w:val="00BE19BE"/>
    <w:rsid w:val="00BE1A1C"/>
    <w:rsid w:val="00BE1BD8"/>
    <w:rsid w:val="00BE1E4B"/>
    <w:rsid w:val="00BE2054"/>
    <w:rsid w:val="00BE2260"/>
    <w:rsid w:val="00BE238A"/>
    <w:rsid w:val="00BE23E5"/>
    <w:rsid w:val="00BE2528"/>
    <w:rsid w:val="00BE2689"/>
    <w:rsid w:val="00BE2939"/>
    <w:rsid w:val="00BE3055"/>
    <w:rsid w:val="00BE334D"/>
    <w:rsid w:val="00BE3A5D"/>
    <w:rsid w:val="00BE3A83"/>
    <w:rsid w:val="00BE3B3F"/>
    <w:rsid w:val="00BE3D0C"/>
    <w:rsid w:val="00BE3E68"/>
    <w:rsid w:val="00BE3FAA"/>
    <w:rsid w:val="00BE4037"/>
    <w:rsid w:val="00BE4175"/>
    <w:rsid w:val="00BE4355"/>
    <w:rsid w:val="00BE4708"/>
    <w:rsid w:val="00BE481A"/>
    <w:rsid w:val="00BE485D"/>
    <w:rsid w:val="00BE4C1C"/>
    <w:rsid w:val="00BE4C2E"/>
    <w:rsid w:val="00BE4D41"/>
    <w:rsid w:val="00BE5306"/>
    <w:rsid w:val="00BE53D1"/>
    <w:rsid w:val="00BE546E"/>
    <w:rsid w:val="00BE54CA"/>
    <w:rsid w:val="00BE56DE"/>
    <w:rsid w:val="00BE59E9"/>
    <w:rsid w:val="00BE5AA5"/>
    <w:rsid w:val="00BE5ABF"/>
    <w:rsid w:val="00BE5C65"/>
    <w:rsid w:val="00BE5E83"/>
    <w:rsid w:val="00BE5FC9"/>
    <w:rsid w:val="00BE6088"/>
    <w:rsid w:val="00BE6107"/>
    <w:rsid w:val="00BE625E"/>
    <w:rsid w:val="00BE63E4"/>
    <w:rsid w:val="00BE63EF"/>
    <w:rsid w:val="00BE6564"/>
    <w:rsid w:val="00BE65B2"/>
    <w:rsid w:val="00BE6737"/>
    <w:rsid w:val="00BE677B"/>
    <w:rsid w:val="00BE67A3"/>
    <w:rsid w:val="00BE6B42"/>
    <w:rsid w:val="00BE6F18"/>
    <w:rsid w:val="00BE6F28"/>
    <w:rsid w:val="00BE7009"/>
    <w:rsid w:val="00BE7083"/>
    <w:rsid w:val="00BE7293"/>
    <w:rsid w:val="00BE78EA"/>
    <w:rsid w:val="00BE7AD9"/>
    <w:rsid w:val="00BE7CCE"/>
    <w:rsid w:val="00BEABFA"/>
    <w:rsid w:val="00BF01AE"/>
    <w:rsid w:val="00BF0410"/>
    <w:rsid w:val="00BF0734"/>
    <w:rsid w:val="00BF0A29"/>
    <w:rsid w:val="00BF0F01"/>
    <w:rsid w:val="00BF0F02"/>
    <w:rsid w:val="00BF0F5C"/>
    <w:rsid w:val="00BF106E"/>
    <w:rsid w:val="00BF11F5"/>
    <w:rsid w:val="00BF12C0"/>
    <w:rsid w:val="00BF1336"/>
    <w:rsid w:val="00BF154D"/>
    <w:rsid w:val="00BF15AA"/>
    <w:rsid w:val="00BF173F"/>
    <w:rsid w:val="00BF19F4"/>
    <w:rsid w:val="00BF1CB7"/>
    <w:rsid w:val="00BF1D15"/>
    <w:rsid w:val="00BF1EB9"/>
    <w:rsid w:val="00BF20BD"/>
    <w:rsid w:val="00BF21E6"/>
    <w:rsid w:val="00BF248B"/>
    <w:rsid w:val="00BF2752"/>
    <w:rsid w:val="00BF2853"/>
    <w:rsid w:val="00BF2866"/>
    <w:rsid w:val="00BF289E"/>
    <w:rsid w:val="00BF28F2"/>
    <w:rsid w:val="00BF295D"/>
    <w:rsid w:val="00BF29A6"/>
    <w:rsid w:val="00BF2D78"/>
    <w:rsid w:val="00BF2D9B"/>
    <w:rsid w:val="00BF30BD"/>
    <w:rsid w:val="00BF31C8"/>
    <w:rsid w:val="00BF3335"/>
    <w:rsid w:val="00BF362C"/>
    <w:rsid w:val="00BF36D3"/>
    <w:rsid w:val="00BF3771"/>
    <w:rsid w:val="00BF3791"/>
    <w:rsid w:val="00BF395A"/>
    <w:rsid w:val="00BF3A8C"/>
    <w:rsid w:val="00BF3DFB"/>
    <w:rsid w:val="00BF3E6A"/>
    <w:rsid w:val="00BF3FA5"/>
    <w:rsid w:val="00BF4491"/>
    <w:rsid w:val="00BF45A7"/>
    <w:rsid w:val="00BF460E"/>
    <w:rsid w:val="00BF4688"/>
    <w:rsid w:val="00BF4F20"/>
    <w:rsid w:val="00BF4F76"/>
    <w:rsid w:val="00BF4FDB"/>
    <w:rsid w:val="00BF50C4"/>
    <w:rsid w:val="00BF52CD"/>
    <w:rsid w:val="00BF53DF"/>
    <w:rsid w:val="00BF55D0"/>
    <w:rsid w:val="00BF560C"/>
    <w:rsid w:val="00BF5794"/>
    <w:rsid w:val="00BF59D6"/>
    <w:rsid w:val="00BF5CC0"/>
    <w:rsid w:val="00BF5D02"/>
    <w:rsid w:val="00BF5D48"/>
    <w:rsid w:val="00BF608A"/>
    <w:rsid w:val="00BF628E"/>
    <w:rsid w:val="00BF62DA"/>
    <w:rsid w:val="00BF6372"/>
    <w:rsid w:val="00BF648D"/>
    <w:rsid w:val="00BF64F3"/>
    <w:rsid w:val="00BF651D"/>
    <w:rsid w:val="00BF659F"/>
    <w:rsid w:val="00BF6789"/>
    <w:rsid w:val="00BF67F9"/>
    <w:rsid w:val="00BF6882"/>
    <w:rsid w:val="00BF692A"/>
    <w:rsid w:val="00BF6CEB"/>
    <w:rsid w:val="00BF6D93"/>
    <w:rsid w:val="00BF6FC1"/>
    <w:rsid w:val="00BF7169"/>
    <w:rsid w:val="00BF7579"/>
    <w:rsid w:val="00BF7709"/>
    <w:rsid w:val="00BF7848"/>
    <w:rsid w:val="00BF79AF"/>
    <w:rsid w:val="00BF7DB8"/>
    <w:rsid w:val="00BF7DCB"/>
    <w:rsid w:val="00BF7E83"/>
    <w:rsid w:val="00BFF989"/>
    <w:rsid w:val="00C0018B"/>
    <w:rsid w:val="00C001ED"/>
    <w:rsid w:val="00C00382"/>
    <w:rsid w:val="00C003F2"/>
    <w:rsid w:val="00C007FB"/>
    <w:rsid w:val="00C00B16"/>
    <w:rsid w:val="00C00CEC"/>
    <w:rsid w:val="00C00CEE"/>
    <w:rsid w:val="00C00FD1"/>
    <w:rsid w:val="00C011A8"/>
    <w:rsid w:val="00C012F9"/>
    <w:rsid w:val="00C015CA"/>
    <w:rsid w:val="00C016B3"/>
    <w:rsid w:val="00C01C11"/>
    <w:rsid w:val="00C01D92"/>
    <w:rsid w:val="00C01FAA"/>
    <w:rsid w:val="00C020D2"/>
    <w:rsid w:val="00C02124"/>
    <w:rsid w:val="00C023AA"/>
    <w:rsid w:val="00C024E4"/>
    <w:rsid w:val="00C025C2"/>
    <w:rsid w:val="00C0286D"/>
    <w:rsid w:val="00C02DA5"/>
    <w:rsid w:val="00C02E67"/>
    <w:rsid w:val="00C02E9A"/>
    <w:rsid w:val="00C02F2F"/>
    <w:rsid w:val="00C031FD"/>
    <w:rsid w:val="00C032D2"/>
    <w:rsid w:val="00C03425"/>
    <w:rsid w:val="00C0362A"/>
    <w:rsid w:val="00C03884"/>
    <w:rsid w:val="00C03891"/>
    <w:rsid w:val="00C03A55"/>
    <w:rsid w:val="00C03A6C"/>
    <w:rsid w:val="00C03F80"/>
    <w:rsid w:val="00C0420F"/>
    <w:rsid w:val="00C04372"/>
    <w:rsid w:val="00C043DC"/>
    <w:rsid w:val="00C048CA"/>
    <w:rsid w:val="00C049F1"/>
    <w:rsid w:val="00C04AC9"/>
    <w:rsid w:val="00C04B36"/>
    <w:rsid w:val="00C04BE3"/>
    <w:rsid w:val="00C04C82"/>
    <w:rsid w:val="00C04FBB"/>
    <w:rsid w:val="00C054D3"/>
    <w:rsid w:val="00C059B1"/>
    <w:rsid w:val="00C05AD7"/>
    <w:rsid w:val="00C05ADA"/>
    <w:rsid w:val="00C05B21"/>
    <w:rsid w:val="00C05BED"/>
    <w:rsid w:val="00C05D53"/>
    <w:rsid w:val="00C06053"/>
    <w:rsid w:val="00C06146"/>
    <w:rsid w:val="00C06169"/>
    <w:rsid w:val="00C06358"/>
    <w:rsid w:val="00C063EA"/>
    <w:rsid w:val="00C06507"/>
    <w:rsid w:val="00C06879"/>
    <w:rsid w:val="00C06902"/>
    <w:rsid w:val="00C06FE1"/>
    <w:rsid w:val="00C0730D"/>
    <w:rsid w:val="00C0758B"/>
    <w:rsid w:val="00C075AE"/>
    <w:rsid w:val="00C07782"/>
    <w:rsid w:val="00C07804"/>
    <w:rsid w:val="00C07CC3"/>
    <w:rsid w:val="00C07E08"/>
    <w:rsid w:val="00C07F65"/>
    <w:rsid w:val="00C10102"/>
    <w:rsid w:val="00C1051E"/>
    <w:rsid w:val="00C107E3"/>
    <w:rsid w:val="00C109A9"/>
    <w:rsid w:val="00C10D18"/>
    <w:rsid w:val="00C11056"/>
    <w:rsid w:val="00C111A3"/>
    <w:rsid w:val="00C1149F"/>
    <w:rsid w:val="00C11606"/>
    <w:rsid w:val="00C11640"/>
    <w:rsid w:val="00C11904"/>
    <w:rsid w:val="00C11BB0"/>
    <w:rsid w:val="00C11CBF"/>
    <w:rsid w:val="00C11CC1"/>
    <w:rsid w:val="00C11CF4"/>
    <w:rsid w:val="00C11D57"/>
    <w:rsid w:val="00C11DFC"/>
    <w:rsid w:val="00C11E78"/>
    <w:rsid w:val="00C12273"/>
    <w:rsid w:val="00C12483"/>
    <w:rsid w:val="00C12743"/>
    <w:rsid w:val="00C12928"/>
    <w:rsid w:val="00C1293F"/>
    <w:rsid w:val="00C12A76"/>
    <w:rsid w:val="00C12AF7"/>
    <w:rsid w:val="00C12CC9"/>
    <w:rsid w:val="00C13165"/>
    <w:rsid w:val="00C13265"/>
    <w:rsid w:val="00C1363A"/>
    <w:rsid w:val="00C1369A"/>
    <w:rsid w:val="00C13AF6"/>
    <w:rsid w:val="00C13D75"/>
    <w:rsid w:val="00C13E6D"/>
    <w:rsid w:val="00C1496A"/>
    <w:rsid w:val="00C14D58"/>
    <w:rsid w:val="00C14E83"/>
    <w:rsid w:val="00C15112"/>
    <w:rsid w:val="00C1527D"/>
    <w:rsid w:val="00C1552A"/>
    <w:rsid w:val="00C15BCD"/>
    <w:rsid w:val="00C15DBF"/>
    <w:rsid w:val="00C16106"/>
    <w:rsid w:val="00C161F0"/>
    <w:rsid w:val="00C16595"/>
    <w:rsid w:val="00C166E6"/>
    <w:rsid w:val="00C16763"/>
    <w:rsid w:val="00C1697B"/>
    <w:rsid w:val="00C16AA6"/>
    <w:rsid w:val="00C16C4C"/>
    <w:rsid w:val="00C16CAA"/>
    <w:rsid w:val="00C16DDD"/>
    <w:rsid w:val="00C16E27"/>
    <w:rsid w:val="00C16E50"/>
    <w:rsid w:val="00C173B2"/>
    <w:rsid w:val="00C1759F"/>
    <w:rsid w:val="00C175E5"/>
    <w:rsid w:val="00C1781B"/>
    <w:rsid w:val="00C17C94"/>
    <w:rsid w:val="00C17D0F"/>
    <w:rsid w:val="00C1B5A0"/>
    <w:rsid w:val="00C20038"/>
    <w:rsid w:val="00C200CE"/>
    <w:rsid w:val="00C20145"/>
    <w:rsid w:val="00C201B7"/>
    <w:rsid w:val="00C20452"/>
    <w:rsid w:val="00C20483"/>
    <w:rsid w:val="00C20494"/>
    <w:rsid w:val="00C2060A"/>
    <w:rsid w:val="00C2083C"/>
    <w:rsid w:val="00C20B2D"/>
    <w:rsid w:val="00C20C85"/>
    <w:rsid w:val="00C20D0C"/>
    <w:rsid w:val="00C20E1B"/>
    <w:rsid w:val="00C21192"/>
    <w:rsid w:val="00C2149B"/>
    <w:rsid w:val="00C2149C"/>
    <w:rsid w:val="00C21531"/>
    <w:rsid w:val="00C21CCB"/>
    <w:rsid w:val="00C21E55"/>
    <w:rsid w:val="00C21EF5"/>
    <w:rsid w:val="00C22089"/>
    <w:rsid w:val="00C22315"/>
    <w:rsid w:val="00C22340"/>
    <w:rsid w:val="00C223B4"/>
    <w:rsid w:val="00C223BF"/>
    <w:rsid w:val="00C225F8"/>
    <w:rsid w:val="00C22C08"/>
    <w:rsid w:val="00C22E08"/>
    <w:rsid w:val="00C22E3E"/>
    <w:rsid w:val="00C22FB5"/>
    <w:rsid w:val="00C23336"/>
    <w:rsid w:val="00C235E6"/>
    <w:rsid w:val="00C236D5"/>
    <w:rsid w:val="00C23AE8"/>
    <w:rsid w:val="00C23E77"/>
    <w:rsid w:val="00C24011"/>
    <w:rsid w:val="00C244A0"/>
    <w:rsid w:val="00C24561"/>
    <w:rsid w:val="00C2485C"/>
    <w:rsid w:val="00C249FA"/>
    <w:rsid w:val="00C24A60"/>
    <w:rsid w:val="00C24D71"/>
    <w:rsid w:val="00C2517C"/>
    <w:rsid w:val="00C252E1"/>
    <w:rsid w:val="00C2551A"/>
    <w:rsid w:val="00C25625"/>
    <w:rsid w:val="00C25626"/>
    <w:rsid w:val="00C2577D"/>
    <w:rsid w:val="00C2588B"/>
    <w:rsid w:val="00C25AF0"/>
    <w:rsid w:val="00C25B14"/>
    <w:rsid w:val="00C25C57"/>
    <w:rsid w:val="00C25F19"/>
    <w:rsid w:val="00C25FF0"/>
    <w:rsid w:val="00C262A2"/>
    <w:rsid w:val="00C262B0"/>
    <w:rsid w:val="00C262D2"/>
    <w:rsid w:val="00C2636C"/>
    <w:rsid w:val="00C26835"/>
    <w:rsid w:val="00C26934"/>
    <w:rsid w:val="00C26970"/>
    <w:rsid w:val="00C26A98"/>
    <w:rsid w:val="00C26B64"/>
    <w:rsid w:val="00C2774B"/>
    <w:rsid w:val="00C278E9"/>
    <w:rsid w:val="00C27BA7"/>
    <w:rsid w:val="00C27C3C"/>
    <w:rsid w:val="00C27D02"/>
    <w:rsid w:val="00C300DA"/>
    <w:rsid w:val="00C30526"/>
    <w:rsid w:val="00C30731"/>
    <w:rsid w:val="00C3091C"/>
    <w:rsid w:val="00C30CC3"/>
    <w:rsid w:val="00C30ED6"/>
    <w:rsid w:val="00C30F11"/>
    <w:rsid w:val="00C3114F"/>
    <w:rsid w:val="00C31197"/>
    <w:rsid w:val="00C3122F"/>
    <w:rsid w:val="00C312E5"/>
    <w:rsid w:val="00C314B6"/>
    <w:rsid w:val="00C3158F"/>
    <w:rsid w:val="00C316A9"/>
    <w:rsid w:val="00C3180C"/>
    <w:rsid w:val="00C31EF4"/>
    <w:rsid w:val="00C31FF1"/>
    <w:rsid w:val="00C320D2"/>
    <w:rsid w:val="00C3232A"/>
    <w:rsid w:val="00C32361"/>
    <w:rsid w:val="00C325AE"/>
    <w:rsid w:val="00C32702"/>
    <w:rsid w:val="00C327A3"/>
    <w:rsid w:val="00C32A01"/>
    <w:rsid w:val="00C32E35"/>
    <w:rsid w:val="00C32F80"/>
    <w:rsid w:val="00C33046"/>
    <w:rsid w:val="00C331BC"/>
    <w:rsid w:val="00C33239"/>
    <w:rsid w:val="00C33684"/>
    <w:rsid w:val="00C33991"/>
    <w:rsid w:val="00C33B9A"/>
    <w:rsid w:val="00C3406E"/>
    <w:rsid w:val="00C3494B"/>
    <w:rsid w:val="00C34975"/>
    <w:rsid w:val="00C349E0"/>
    <w:rsid w:val="00C34A90"/>
    <w:rsid w:val="00C34CF0"/>
    <w:rsid w:val="00C34D1D"/>
    <w:rsid w:val="00C34DB6"/>
    <w:rsid w:val="00C35005"/>
    <w:rsid w:val="00C351C9"/>
    <w:rsid w:val="00C3523D"/>
    <w:rsid w:val="00C35356"/>
    <w:rsid w:val="00C3552C"/>
    <w:rsid w:val="00C35775"/>
    <w:rsid w:val="00C35861"/>
    <w:rsid w:val="00C358D2"/>
    <w:rsid w:val="00C35A0E"/>
    <w:rsid w:val="00C35ADA"/>
    <w:rsid w:val="00C35BC2"/>
    <w:rsid w:val="00C35F2A"/>
    <w:rsid w:val="00C364D1"/>
    <w:rsid w:val="00C36BAD"/>
    <w:rsid w:val="00C36F29"/>
    <w:rsid w:val="00C36FC1"/>
    <w:rsid w:val="00C3729D"/>
    <w:rsid w:val="00C3766D"/>
    <w:rsid w:val="00C37A2E"/>
    <w:rsid w:val="00C37BD8"/>
    <w:rsid w:val="00C37BF6"/>
    <w:rsid w:val="00C37C9C"/>
    <w:rsid w:val="00C37DDE"/>
    <w:rsid w:val="00C37E43"/>
    <w:rsid w:val="00C37EAD"/>
    <w:rsid w:val="00C37F7E"/>
    <w:rsid w:val="00C40086"/>
    <w:rsid w:val="00C400C3"/>
    <w:rsid w:val="00C401E9"/>
    <w:rsid w:val="00C404CA"/>
    <w:rsid w:val="00C40557"/>
    <w:rsid w:val="00C40751"/>
    <w:rsid w:val="00C4076D"/>
    <w:rsid w:val="00C4094B"/>
    <w:rsid w:val="00C409F8"/>
    <w:rsid w:val="00C40A27"/>
    <w:rsid w:val="00C40AB9"/>
    <w:rsid w:val="00C40BA0"/>
    <w:rsid w:val="00C40BAC"/>
    <w:rsid w:val="00C40D3D"/>
    <w:rsid w:val="00C40E1C"/>
    <w:rsid w:val="00C40EA9"/>
    <w:rsid w:val="00C4128A"/>
    <w:rsid w:val="00C412C4"/>
    <w:rsid w:val="00C414F4"/>
    <w:rsid w:val="00C417B2"/>
    <w:rsid w:val="00C417B9"/>
    <w:rsid w:val="00C4180D"/>
    <w:rsid w:val="00C41814"/>
    <w:rsid w:val="00C41939"/>
    <w:rsid w:val="00C41ACB"/>
    <w:rsid w:val="00C422AC"/>
    <w:rsid w:val="00C4239D"/>
    <w:rsid w:val="00C423A6"/>
    <w:rsid w:val="00C4261E"/>
    <w:rsid w:val="00C4299D"/>
    <w:rsid w:val="00C42AD4"/>
    <w:rsid w:val="00C42AE1"/>
    <w:rsid w:val="00C42CC3"/>
    <w:rsid w:val="00C42F3B"/>
    <w:rsid w:val="00C43094"/>
    <w:rsid w:val="00C4324D"/>
    <w:rsid w:val="00C4345F"/>
    <w:rsid w:val="00C435B8"/>
    <w:rsid w:val="00C43AD2"/>
    <w:rsid w:val="00C43C10"/>
    <w:rsid w:val="00C44026"/>
    <w:rsid w:val="00C44162"/>
    <w:rsid w:val="00C44187"/>
    <w:rsid w:val="00C44338"/>
    <w:rsid w:val="00C44529"/>
    <w:rsid w:val="00C44774"/>
    <w:rsid w:val="00C44892"/>
    <w:rsid w:val="00C44ACD"/>
    <w:rsid w:val="00C44B05"/>
    <w:rsid w:val="00C44BA9"/>
    <w:rsid w:val="00C44C83"/>
    <w:rsid w:val="00C44CAA"/>
    <w:rsid w:val="00C44E7F"/>
    <w:rsid w:val="00C44F54"/>
    <w:rsid w:val="00C44FAB"/>
    <w:rsid w:val="00C45434"/>
    <w:rsid w:val="00C455C5"/>
    <w:rsid w:val="00C457C1"/>
    <w:rsid w:val="00C458B8"/>
    <w:rsid w:val="00C45926"/>
    <w:rsid w:val="00C45C47"/>
    <w:rsid w:val="00C46274"/>
    <w:rsid w:val="00C462A1"/>
    <w:rsid w:val="00C46363"/>
    <w:rsid w:val="00C46467"/>
    <w:rsid w:val="00C46656"/>
    <w:rsid w:val="00C46664"/>
    <w:rsid w:val="00C46B1A"/>
    <w:rsid w:val="00C46B8E"/>
    <w:rsid w:val="00C46F61"/>
    <w:rsid w:val="00C4704E"/>
    <w:rsid w:val="00C470D8"/>
    <w:rsid w:val="00C4711F"/>
    <w:rsid w:val="00C47168"/>
    <w:rsid w:val="00C47192"/>
    <w:rsid w:val="00C47442"/>
    <w:rsid w:val="00C475AA"/>
    <w:rsid w:val="00C4764E"/>
    <w:rsid w:val="00C4788F"/>
    <w:rsid w:val="00C4798C"/>
    <w:rsid w:val="00C47999"/>
    <w:rsid w:val="00C47BE7"/>
    <w:rsid w:val="00C47D1C"/>
    <w:rsid w:val="00C47D6B"/>
    <w:rsid w:val="00C47EA5"/>
    <w:rsid w:val="00C487BD"/>
    <w:rsid w:val="00C502DD"/>
    <w:rsid w:val="00C50392"/>
    <w:rsid w:val="00C5062C"/>
    <w:rsid w:val="00C506E1"/>
    <w:rsid w:val="00C507C5"/>
    <w:rsid w:val="00C507C6"/>
    <w:rsid w:val="00C5087C"/>
    <w:rsid w:val="00C50ACF"/>
    <w:rsid w:val="00C50AD5"/>
    <w:rsid w:val="00C50FB7"/>
    <w:rsid w:val="00C510C3"/>
    <w:rsid w:val="00C51343"/>
    <w:rsid w:val="00C518BB"/>
    <w:rsid w:val="00C518EB"/>
    <w:rsid w:val="00C518F2"/>
    <w:rsid w:val="00C51D79"/>
    <w:rsid w:val="00C51F0F"/>
    <w:rsid w:val="00C527C6"/>
    <w:rsid w:val="00C52BB4"/>
    <w:rsid w:val="00C52C08"/>
    <w:rsid w:val="00C52D73"/>
    <w:rsid w:val="00C52F56"/>
    <w:rsid w:val="00C52FD1"/>
    <w:rsid w:val="00C52FF1"/>
    <w:rsid w:val="00C53208"/>
    <w:rsid w:val="00C53302"/>
    <w:rsid w:val="00C5379C"/>
    <w:rsid w:val="00C53B84"/>
    <w:rsid w:val="00C53C6A"/>
    <w:rsid w:val="00C54184"/>
    <w:rsid w:val="00C54722"/>
    <w:rsid w:val="00C5478D"/>
    <w:rsid w:val="00C54808"/>
    <w:rsid w:val="00C548A5"/>
    <w:rsid w:val="00C54A26"/>
    <w:rsid w:val="00C54F70"/>
    <w:rsid w:val="00C55212"/>
    <w:rsid w:val="00C5524D"/>
    <w:rsid w:val="00C5576F"/>
    <w:rsid w:val="00C55851"/>
    <w:rsid w:val="00C55853"/>
    <w:rsid w:val="00C558D1"/>
    <w:rsid w:val="00C55B01"/>
    <w:rsid w:val="00C55C57"/>
    <w:rsid w:val="00C55CAF"/>
    <w:rsid w:val="00C55E42"/>
    <w:rsid w:val="00C55F27"/>
    <w:rsid w:val="00C562BD"/>
    <w:rsid w:val="00C56777"/>
    <w:rsid w:val="00C567B8"/>
    <w:rsid w:val="00C56A8B"/>
    <w:rsid w:val="00C56ADC"/>
    <w:rsid w:val="00C57300"/>
    <w:rsid w:val="00C57428"/>
    <w:rsid w:val="00C5755A"/>
    <w:rsid w:val="00C57735"/>
    <w:rsid w:val="00C57780"/>
    <w:rsid w:val="00C579FB"/>
    <w:rsid w:val="00C606A4"/>
    <w:rsid w:val="00C608C0"/>
    <w:rsid w:val="00C6091C"/>
    <w:rsid w:val="00C6096E"/>
    <w:rsid w:val="00C61068"/>
    <w:rsid w:val="00C612A7"/>
    <w:rsid w:val="00C613AE"/>
    <w:rsid w:val="00C614BE"/>
    <w:rsid w:val="00C61636"/>
    <w:rsid w:val="00C6170A"/>
    <w:rsid w:val="00C61AAF"/>
    <w:rsid w:val="00C61FAB"/>
    <w:rsid w:val="00C61FD1"/>
    <w:rsid w:val="00C62058"/>
    <w:rsid w:val="00C62C0F"/>
    <w:rsid w:val="00C62C17"/>
    <w:rsid w:val="00C62C40"/>
    <w:rsid w:val="00C62D24"/>
    <w:rsid w:val="00C631B6"/>
    <w:rsid w:val="00C63272"/>
    <w:rsid w:val="00C633E2"/>
    <w:rsid w:val="00C6359E"/>
    <w:rsid w:val="00C63987"/>
    <w:rsid w:val="00C63BFC"/>
    <w:rsid w:val="00C63D4D"/>
    <w:rsid w:val="00C6428D"/>
    <w:rsid w:val="00C64580"/>
    <w:rsid w:val="00C64707"/>
    <w:rsid w:val="00C64719"/>
    <w:rsid w:val="00C64726"/>
    <w:rsid w:val="00C647DB"/>
    <w:rsid w:val="00C64B34"/>
    <w:rsid w:val="00C64C6B"/>
    <w:rsid w:val="00C64D1E"/>
    <w:rsid w:val="00C64F3C"/>
    <w:rsid w:val="00C65164"/>
    <w:rsid w:val="00C65401"/>
    <w:rsid w:val="00C6574F"/>
    <w:rsid w:val="00C657F3"/>
    <w:rsid w:val="00C6592A"/>
    <w:rsid w:val="00C65D40"/>
    <w:rsid w:val="00C65D6C"/>
    <w:rsid w:val="00C65D8D"/>
    <w:rsid w:val="00C65EB5"/>
    <w:rsid w:val="00C66454"/>
    <w:rsid w:val="00C66599"/>
    <w:rsid w:val="00C66933"/>
    <w:rsid w:val="00C66A12"/>
    <w:rsid w:val="00C66A69"/>
    <w:rsid w:val="00C66C15"/>
    <w:rsid w:val="00C66D72"/>
    <w:rsid w:val="00C672AF"/>
    <w:rsid w:val="00C67834"/>
    <w:rsid w:val="00C6784F"/>
    <w:rsid w:val="00C679AD"/>
    <w:rsid w:val="00C67A55"/>
    <w:rsid w:val="00C67C67"/>
    <w:rsid w:val="00C67C6A"/>
    <w:rsid w:val="00C67E88"/>
    <w:rsid w:val="00C67E8A"/>
    <w:rsid w:val="00C701D3"/>
    <w:rsid w:val="00C7036D"/>
    <w:rsid w:val="00C70538"/>
    <w:rsid w:val="00C705F9"/>
    <w:rsid w:val="00C70634"/>
    <w:rsid w:val="00C70746"/>
    <w:rsid w:val="00C70850"/>
    <w:rsid w:val="00C70948"/>
    <w:rsid w:val="00C70B93"/>
    <w:rsid w:val="00C70FB2"/>
    <w:rsid w:val="00C711BF"/>
    <w:rsid w:val="00C71537"/>
    <w:rsid w:val="00C7160D"/>
    <w:rsid w:val="00C7177C"/>
    <w:rsid w:val="00C71C0F"/>
    <w:rsid w:val="00C71D92"/>
    <w:rsid w:val="00C71E4B"/>
    <w:rsid w:val="00C72098"/>
    <w:rsid w:val="00C721E6"/>
    <w:rsid w:val="00C72308"/>
    <w:rsid w:val="00C725ED"/>
    <w:rsid w:val="00C72616"/>
    <w:rsid w:val="00C7275E"/>
    <w:rsid w:val="00C728A7"/>
    <w:rsid w:val="00C729DF"/>
    <w:rsid w:val="00C72A38"/>
    <w:rsid w:val="00C72B1A"/>
    <w:rsid w:val="00C72CEF"/>
    <w:rsid w:val="00C72D0A"/>
    <w:rsid w:val="00C72D2C"/>
    <w:rsid w:val="00C72FD7"/>
    <w:rsid w:val="00C73496"/>
    <w:rsid w:val="00C73806"/>
    <w:rsid w:val="00C7390B"/>
    <w:rsid w:val="00C73B65"/>
    <w:rsid w:val="00C73C0C"/>
    <w:rsid w:val="00C73C18"/>
    <w:rsid w:val="00C73CDC"/>
    <w:rsid w:val="00C73D5A"/>
    <w:rsid w:val="00C73F12"/>
    <w:rsid w:val="00C74112"/>
    <w:rsid w:val="00C74145"/>
    <w:rsid w:val="00C7457D"/>
    <w:rsid w:val="00C745BE"/>
    <w:rsid w:val="00C751CF"/>
    <w:rsid w:val="00C752CB"/>
    <w:rsid w:val="00C75BDC"/>
    <w:rsid w:val="00C760EB"/>
    <w:rsid w:val="00C7616B"/>
    <w:rsid w:val="00C76373"/>
    <w:rsid w:val="00C763F4"/>
    <w:rsid w:val="00C7649F"/>
    <w:rsid w:val="00C764F1"/>
    <w:rsid w:val="00C76D28"/>
    <w:rsid w:val="00C76DE2"/>
    <w:rsid w:val="00C77069"/>
    <w:rsid w:val="00C77182"/>
    <w:rsid w:val="00C7728A"/>
    <w:rsid w:val="00C77455"/>
    <w:rsid w:val="00C7769E"/>
    <w:rsid w:val="00C7779F"/>
    <w:rsid w:val="00C77BF2"/>
    <w:rsid w:val="00C77CD8"/>
    <w:rsid w:val="00C77D20"/>
    <w:rsid w:val="00C77F6A"/>
    <w:rsid w:val="00C8006B"/>
    <w:rsid w:val="00C800D4"/>
    <w:rsid w:val="00C807EF"/>
    <w:rsid w:val="00C8087F"/>
    <w:rsid w:val="00C810AE"/>
    <w:rsid w:val="00C811B6"/>
    <w:rsid w:val="00C8146E"/>
    <w:rsid w:val="00C815FA"/>
    <w:rsid w:val="00C81A6C"/>
    <w:rsid w:val="00C81C04"/>
    <w:rsid w:val="00C8214E"/>
    <w:rsid w:val="00C82172"/>
    <w:rsid w:val="00C8226F"/>
    <w:rsid w:val="00C822D3"/>
    <w:rsid w:val="00C82548"/>
    <w:rsid w:val="00C8260E"/>
    <w:rsid w:val="00C82D41"/>
    <w:rsid w:val="00C82FC1"/>
    <w:rsid w:val="00C8323C"/>
    <w:rsid w:val="00C8335B"/>
    <w:rsid w:val="00C834BC"/>
    <w:rsid w:val="00C83781"/>
    <w:rsid w:val="00C83789"/>
    <w:rsid w:val="00C83A16"/>
    <w:rsid w:val="00C83A7B"/>
    <w:rsid w:val="00C83AB4"/>
    <w:rsid w:val="00C83C91"/>
    <w:rsid w:val="00C83CBC"/>
    <w:rsid w:val="00C84094"/>
    <w:rsid w:val="00C843AC"/>
    <w:rsid w:val="00C844BF"/>
    <w:rsid w:val="00C8453D"/>
    <w:rsid w:val="00C846D3"/>
    <w:rsid w:val="00C84794"/>
    <w:rsid w:val="00C84877"/>
    <w:rsid w:val="00C84AFB"/>
    <w:rsid w:val="00C84C6C"/>
    <w:rsid w:val="00C85328"/>
    <w:rsid w:val="00C8575A"/>
    <w:rsid w:val="00C859E7"/>
    <w:rsid w:val="00C85A73"/>
    <w:rsid w:val="00C85BF2"/>
    <w:rsid w:val="00C85FF3"/>
    <w:rsid w:val="00C8625F"/>
    <w:rsid w:val="00C86368"/>
    <w:rsid w:val="00C8639B"/>
    <w:rsid w:val="00C86442"/>
    <w:rsid w:val="00C8646C"/>
    <w:rsid w:val="00C86478"/>
    <w:rsid w:val="00C864ED"/>
    <w:rsid w:val="00C86603"/>
    <w:rsid w:val="00C8684A"/>
    <w:rsid w:val="00C869DC"/>
    <w:rsid w:val="00C86B87"/>
    <w:rsid w:val="00C86FCA"/>
    <w:rsid w:val="00C87028"/>
    <w:rsid w:val="00C87454"/>
    <w:rsid w:val="00C8747A"/>
    <w:rsid w:val="00C875CE"/>
    <w:rsid w:val="00C877B6"/>
    <w:rsid w:val="00C8786A"/>
    <w:rsid w:val="00C87A32"/>
    <w:rsid w:val="00C87B7A"/>
    <w:rsid w:val="00C87B9B"/>
    <w:rsid w:val="00C87C43"/>
    <w:rsid w:val="00C87E03"/>
    <w:rsid w:val="00C87FDB"/>
    <w:rsid w:val="00C9020F"/>
    <w:rsid w:val="00C905A4"/>
    <w:rsid w:val="00C906F2"/>
    <w:rsid w:val="00C907DB"/>
    <w:rsid w:val="00C9118D"/>
    <w:rsid w:val="00C9153E"/>
    <w:rsid w:val="00C917AC"/>
    <w:rsid w:val="00C917CE"/>
    <w:rsid w:val="00C91863"/>
    <w:rsid w:val="00C91993"/>
    <w:rsid w:val="00C91F04"/>
    <w:rsid w:val="00C92032"/>
    <w:rsid w:val="00C92245"/>
    <w:rsid w:val="00C9230E"/>
    <w:rsid w:val="00C92769"/>
    <w:rsid w:val="00C928EB"/>
    <w:rsid w:val="00C92970"/>
    <w:rsid w:val="00C929C5"/>
    <w:rsid w:val="00C93113"/>
    <w:rsid w:val="00C932B6"/>
    <w:rsid w:val="00C9335E"/>
    <w:rsid w:val="00C93451"/>
    <w:rsid w:val="00C93590"/>
    <w:rsid w:val="00C936D0"/>
    <w:rsid w:val="00C93721"/>
    <w:rsid w:val="00C93BC5"/>
    <w:rsid w:val="00C93C28"/>
    <w:rsid w:val="00C94916"/>
    <w:rsid w:val="00C94C52"/>
    <w:rsid w:val="00C94CFE"/>
    <w:rsid w:val="00C94D55"/>
    <w:rsid w:val="00C94F74"/>
    <w:rsid w:val="00C9522A"/>
    <w:rsid w:val="00C954D0"/>
    <w:rsid w:val="00C955AB"/>
    <w:rsid w:val="00C95776"/>
    <w:rsid w:val="00C95785"/>
    <w:rsid w:val="00C9578B"/>
    <w:rsid w:val="00C958D2"/>
    <w:rsid w:val="00C95A4E"/>
    <w:rsid w:val="00C95A68"/>
    <w:rsid w:val="00C95E64"/>
    <w:rsid w:val="00C95F11"/>
    <w:rsid w:val="00C96415"/>
    <w:rsid w:val="00C96465"/>
    <w:rsid w:val="00C965A9"/>
    <w:rsid w:val="00C965F2"/>
    <w:rsid w:val="00C96775"/>
    <w:rsid w:val="00C967D1"/>
    <w:rsid w:val="00C968C1"/>
    <w:rsid w:val="00C96A73"/>
    <w:rsid w:val="00C96A8A"/>
    <w:rsid w:val="00C96A9F"/>
    <w:rsid w:val="00C96BCB"/>
    <w:rsid w:val="00C96C48"/>
    <w:rsid w:val="00C96D6B"/>
    <w:rsid w:val="00C96F10"/>
    <w:rsid w:val="00C9709D"/>
    <w:rsid w:val="00C970C1"/>
    <w:rsid w:val="00C97642"/>
    <w:rsid w:val="00C9775F"/>
    <w:rsid w:val="00C9787B"/>
    <w:rsid w:val="00C9792C"/>
    <w:rsid w:val="00C97D66"/>
    <w:rsid w:val="00C97E16"/>
    <w:rsid w:val="00CA000A"/>
    <w:rsid w:val="00CA001C"/>
    <w:rsid w:val="00CA05A6"/>
    <w:rsid w:val="00CA05ED"/>
    <w:rsid w:val="00CA0844"/>
    <w:rsid w:val="00CA0A00"/>
    <w:rsid w:val="00CA1211"/>
    <w:rsid w:val="00CA1426"/>
    <w:rsid w:val="00CA1581"/>
    <w:rsid w:val="00CA1697"/>
    <w:rsid w:val="00CA184C"/>
    <w:rsid w:val="00CA191E"/>
    <w:rsid w:val="00CA19F7"/>
    <w:rsid w:val="00CA1B48"/>
    <w:rsid w:val="00CA1B72"/>
    <w:rsid w:val="00CA1C8C"/>
    <w:rsid w:val="00CA1CFF"/>
    <w:rsid w:val="00CA1D3D"/>
    <w:rsid w:val="00CA222E"/>
    <w:rsid w:val="00CA240A"/>
    <w:rsid w:val="00CA2614"/>
    <w:rsid w:val="00CA2638"/>
    <w:rsid w:val="00CA2895"/>
    <w:rsid w:val="00CA28F6"/>
    <w:rsid w:val="00CA2A14"/>
    <w:rsid w:val="00CA2C19"/>
    <w:rsid w:val="00CA2E39"/>
    <w:rsid w:val="00CA3025"/>
    <w:rsid w:val="00CA306F"/>
    <w:rsid w:val="00CA310F"/>
    <w:rsid w:val="00CA315C"/>
    <w:rsid w:val="00CA3253"/>
    <w:rsid w:val="00CA3360"/>
    <w:rsid w:val="00CA3384"/>
    <w:rsid w:val="00CA35B6"/>
    <w:rsid w:val="00CA392E"/>
    <w:rsid w:val="00CA3BE6"/>
    <w:rsid w:val="00CA3FF0"/>
    <w:rsid w:val="00CA4005"/>
    <w:rsid w:val="00CA400F"/>
    <w:rsid w:val="00CA430D"/>
    <w:rsid w:val="00CA4358"/>
    <w:rsid w:val="00CA43BC"/>
    <w:rsid w:val="00CA445B"/>
    <w:rsid w:val="00CA4514"/>
    <w:rsid w:val="00CA4888"/>
    <w:rsid w:val="00CA4AE6"/>
    <w:rsid w:val="00CA4C42"/>
    <w:rsid w:val="00CA4DC7"/>
    <w:rsid w:val="00CA4E00"/>
    <w:rsid w:val="00CA4E73"/>
    <w:rsid w:val="00CA4F34"/>
    <w:rsid w:val="00CA56F4"/>
    <w:rsid w:val="00CA57BB"/>
    <w:rsid w:val="00CA5929"/>
    <w:rsid w:val="00CA5B2D"/>
    <w:rsid w:val="00CA5DBE"/>
    <w:rsid w:val="00CA5EAA"/>
    <w:rsid w:val="00CA6405"/>
    <w:rsid w:val="00CA6653"/>
    <w:rsid w:val="00CA689F"/>
    <w:rsid w:val="00CA694D"/>
    <w:rsid w:val="00CA6A65"/>
    <w:rsid w:val="00CA6B57"/>
    <w:rsid w:val="00CA6BD3"/>
    <w:rsid w:val="00CA6C7F"/>
    <w:rsid w:val="00CA6E23"/>
    <w:rsid w:val="00CA6F01"/>
    <w:rsid w:val="00CA709F"/>
    <w:rsid w:val="00CA7AA7"/>
    <w:rsid w:val="00CA7D04"/>
    <w:rsid w:val="00CB00BC"/>
    <w:rsid w:val="00CB00C6"/>
    <w:rsid w:val="00CB013D"/>
    <w:rsid w:val="00CB049C"/>
    <w:rsid w:val="00CB0749"/>
    <w:rsid w:val="00CB07D7"/>
    <w:rsid w:val="00CB096F"/>
    <w:rsid w:val="00CB09DE"/>
    <w:rsid w:val="00CB0C0F"/>
    <w:rsid w:val="00CB0C2E"/>
    <w:rsid w:val="00CB0D3E"/>
    <w:rsid w:val="00CB0EC4"/>
    <w:rsid w:val="00CB1190"/>
    <w:rsid w:val="00CB14B2"/>
    <w:rsid w:val="00CB1689"/>
    <w:rsid w:val="00CB1A4E"/>
    <w:rsid w:val="00CB1B8A"/>
    <w:rsid w:val="00CB1C79"/>
    <w:rsid w:val="00CB1D4D"/>
    <w:rsid w:val="00CB1D9F"/>
    <w:rsid w:val="00CB1EF2"/>
    <w:rsid w:val="00CB220A"/>
    <w:rsid w:val="00CB23F9"/>
    <w:rsid w:val="00CB257D"/>
    <w:rsid w:val="00CB2827"/>
    <w:rsid w:val="00CB2982"/>
    <w:rsid w:val="00CB29F5"/>
    <w:rsid w:val="00CB2A74"/>
    <w:rsid w:val="00CB2C64"/>
    <w:rsid w:val="00CB2FFD"/>
    <w:rsid w:val="00CB3011"/>
    <w:rsid w:val="00CB306E"/>
    <w:rsid w:val="00CB30D4"/>
    <w:rsid w:val="00CB3117"/>
    <w:rsid w:val="00CB34CE"/>
    <w:rsid w:val="00CB3681"/>
    <w:rsid w:val="00CB3955"/>
    <w:rsid w:val="00CB3D7B"/>
    <w:rsid w:val="00CB40DC"/>
    <w:rsid w:val="00CB458A"/>
    <w:rsid w:val="00CB4600"/>
    <w:rsid w:val="00CB4659"/>
    <w:rsid w:val="00CB473E"/>
    <w:rsid w:val="00CB4894"/>
    <w:rsid w:val="00CB4C0B"/>
    <w:rsid w:val="00CB4D94"/>
    <w:rsid w:val="00CB4FA0"/>
    <w:rsid w:val="00CB4FBB"/>
    <w:rsid w:val="00CB5160"/>
    <w:rsid w:val="00CB51D8"/>
    <w:rsid w:val="00CB52C9"/>
    <w:rsid w:val="00CB53FE"/>
    <w:rsid w:val="00CB5609"/>
    <w:rsid w:val="00CB5BC5"/>
    <w:rsid w:val="00CB5C39"/>
    <w:rsid w:val="00CB5DEC"/>
    <w:rsid w:val="00CB6035"/>
    <w:rsid w:val="00CB603B"/>
    <w:rsid w:val="00CB6089"/>
    <w:rsid w:val="00CB63CB"/>
    <w:rsid w:val="00CB63F7"/>
    <w:rsid w:val="00CB64EB"/>
    <w:rsid w:val="00CB66C8"/>
    <w:rsid w:val="00CB6CD7"/>
    <w:rsid w:val="00CB718D"/>
    <w:rsid w:val="00CB746E"/>
    <w:rsid w:val="00CB7482"/>
    <w:rsid w:val="00CB76E9"/>
    <w:rsid w:val="00CB793C"/>
    <w:rsid w:val="00CB79DA"/>
    <w:rsid w:val="00CB7ACC"/>
    <w:rsid w:val="00CC047F"/>
    <w:rsid w:val="00CC04D5"/>
    <w:rsid w:val="00CC0564"/>
    <w:rsid w:val="00CC05C7"/>
    <w:rsid w:val="00CC065A"/>
    <w:rsid w:val="00CC0793"/>
    <w:rsid w:val="00CC0896"/>
    <w:rsid w:val="00CC0AD8"/>
    <w:rsid w:val="00CC0E23"/>
    <w:rsid w:val="00CC0EA0"/>
    <w:rsid w:val="00CC0EB3"/>
    <w:rsid w:val="00CC1064"/>
    <w:rsid w:val="00CC112C"/>
    <w:rsid w:val="00CC1267"/>
    <w:rsid w:val="00CC1472"/>
    <w:rsid w:val="00CC180F"/>
    <w:rsid w:val="00CC1947"/>
    <w:rsid w:val="00CC1A72"/>
    <w:rsid w:val="00CC1CFE"/>
    <w:rsid w:val="00CC1F33"/>
    <w:rsid w:val="00CC22C3"/>
    <w:rsid w:val="00CC2331"/>
    <w:rsid w:val="00CC2384"/>
    <w:rsid w:val="00CC2467"/>
    <w:rsid w:val="00CC2592"/>
    <w:rsid w:val="00CC2905"/>
    <w:rsid w:val="00CC2AB0"/>
    <w:rsid w:val="00CC2BBD"/>
    <w:rsid w:val="00CC2BD4"/>
    <w:rsid w:val="00CC2CCF"/>
    <w:rsid w:val="00CC2FF8"/>
    <w:rsid w:val="00CC3120"/>
    <w:rsid w:val="00CC320F"/>
    <w:rsid w:val="00CC3264"/>
    <w:rsid w:val="00CC3809"/>
    <w:rsid w:val="00CC3AAC"/>
    <w:rsid w:val="00CC3D6C"/>
    <w:rsid w:val="00CC3DF8"/>
    <w:rsid w:val="00CC3EB0"/>
    <w:rsid w:val="00CC3ED2"/>
    <w:rsid w:val="00CC45EE"/>
    <w:rsid w:val="00CC48B7"/>
    <w:rsid w:val="00CC4BC0"/>
    <w:rsid w:val="00CC4CAC"/>
    <w:rsid w:val="00CC4E30"/>
    <w:rsid w:val="00CC5473"/>
    <w:rsid w:val="00CC548A"/>
    <w:rsid w:val="00CC5535"/>
    <w:rsid w:val="00CC569A"/>
    <w:rsid w:val="00CC56A8"/>
    <w:rsid w:val="00CC58E5"/>
    <w:rsid w:val="00CC58FE"/>
    <w:rsid w:val="00CC5AB6"/>
    <w:rsid w:val="00CC5BC4"/>
    <w:rsid w:val="00CC5DA5"/>
    <w:rsid w:val="00CC5E31"/>
    <w:rsid w:val="00CC5F3A"/>
    <w:rsid w:val="00CC5F97"/>
    <w:rsid w:val="00CC6449"/>
    <w:rsid w:val="00CC648D"/>
    <w:rsid w:val="00CC665A"/>
    <w:rsid w:val="00CC6B84"/>
    <w:rsid w:val="00CC6CC4"/>
    <w:rsid w:val="00CC71AD"/>
    <w:rsid w:val="00CC7295"/>
    <w:rsid w:val="00CC7346"/>
    <w:rsid w:val="00CC765F"/>
    <w:rsid w:val="00CC76B6"/>
    <w:rsid w:val="00CC7781"/>
    <w:rsid w:val="00CC7846"/>
    <w:rsid w:val="00CC7852"/>
    <w:rsid w:val="00CC79AF"/>
    <w:rsid w:val="00CC7A03"/>
    <w:rsid w:val="00CC7ACC"/>
    <w:rsid w:val="00CC7B6A"/>
    <w:rsid w:val="00CC7B72"/>
    <w:rsid w:val="00CC7BE1"/>
    <w:rsid w:val="00CC7C27"/>
    <w:rsid w:val="00CC7D70"/>
    <w:rsid w:val="00CD002F"/>
    <w:rsid w:val="00CD063B"/>
    <w:rsid w:val="00CD07E5"/>
    <w:rsid w:val="00CD094F"/>
    <w:rsid w:val="00CD0A59"/>
    <w:rsid w:val="00CD0C87"/>
    <w:rsid w:val="00CD0D80"/>
    <w:rsid w:val="00CD0EC7"/>
    <w:rsid w:val="00CD0F97"/>
    <w:rsid w:val="00CD1193"/>
    <w:rsid w:val="00CD121A"/>
    <w:rsid w:val="00CD1399"/>
    <w:rsid w:val="00CD15A8"/>
    <w:rsid w:val="00CD15B0"/>
    <w:rsid w:val="00CD18A1"/>
    <w:rsid w:val="00CD1A9A"/>
    <w:rsid w:val="00CD1C16"/>
    <w:rsid w:val="00CD1CE4"/>
    <w:rsid w:val="00CD1F74"/>
    <w:rsid w:val="00CD20F0"/>
    <w:rsid w:val="00CD2137"/>
    <w:rsid w:val="00CD2263"/>
    <w:rsid w:val="00CD22C8"/>
    <w:rsid w:val="00CD22CA"/>
    <w:rsid w:val="00CD2345"/>
    <w:rsid w:val="00CD23F1"/>
    <w:rsid w:val="00CD250E"/>
    <w:rsid w:val="00CD265B"/>
    <w:rsid w:val="00CD2749"/>
    <w:rsid w:val="00CD27D1"/>
    <w:rsid w:val="00CD2AD5"/>
    <w:rsid w:val="00CD2B5B"/>
    <w:rsid w:val="00CD2CBC"/>
    <w:rsid w:val="00CD3837"/>
    <w:rsid w:val="00CD391E"/>
    <w:rsid w:val="00CD3A7F"/>
    <w:rsid w:val="00CD3FC9"/>
    <w:rsid w:val="00CD3FD1"/>
    <w:rsid w:val="00CD4127"/>
    <w:rsid w:val="00CD4245"/>
    <w:rsid w:val="00CD4524"/>
    <w:rsid w:val="00CD465B"/>
    <w:rsid w:val="00CD46D6"/>
    <w:rsid w:val="00CD4D16"/>
    <w:rsid w:val="00CD4D6F"/>
    <w:rsid w:val="00CD4D8A"/>
    <w:rsid w:val="00CD526A"/>
    <w:rsid w:val="00CD5321"/>
    <w:rsid w:val="00CD53BB"/>
    <w:rsid w:val="00CD54E7"/>
    <w:rsid w:val="00CD5549"/>
    <w:rsid w:val="00CD560A"/>
    <w:rsid w:val="00CD5664"/>
    <w:rsid w:val="00CD5687"/>
    <w:rsid w:val="00CD59E0"/>
    <w:rsid w:val="00CD619D"/>
    <w:rsid w:val="00CD62BA"/>
    <w:rsid w:val="00CD63D5"/>
    <w:rsid w:val="00CD64F0"/>
    <w:rsid w:val="00CD65BC"/>
    <w:rsid w:val="00CD65BD"/>
    <w:rsid w:val="00CD689B"/>
    <w:rsid w:val="00CD68FB"/>
    <w:rsid w:val="00CD6967"/>
    <w:rsid w:val="00CD6CBF"/>
    <w:rsid w:val="00CD6FA2"/>
    <w:rsid w:val="00CD7023"/>
    <w:rsid w:val="00CD7274"/>
    <w:rsid w:val="00CD72BC"/>
    <w:rsid w:val="00CD7402"/>
    <w:rsid w:val="00CD7701"/>
    <w:rsid w:val="00CD79B0"/>
    <w:rsid w:val="00CD7A29"/>
    <w:rsid w:val="00CD7E6A"/>
    <w:rsid w:val="00CE0479"/>
    <w:rsid w:val="00CE06A9"/>
    <w:rsid w:val="00CE079E"/>
    <w:rsid w:val="00CE08D0"/>
    <w:rsid w:val="00CE0B23"/>
    <w:rsid w:val="00CE0C46"/>
    <w:rsid w:val="00CE0E57"/>
    <w:rsid w:val="00CE1124"/>
    <w:rsid w:val="00CE18E1"/>
    <w:rsid w:val="00CE1918"/>
    <w:rsid w:val="00CE1ABF"/>
    <w:rsid w:val="00CE1DB2"/>
    <w:rsid w:val="00CE1EA9"/>
    <w:rsid w:val="00CE24A6"/>
    <w:rsid w:val="00CE24B5"/>
    <w:rsid w:val="00CE24F2"/>
    <w:rsid w:val="00CE2795"/>
    <w:rsid w:val="00CE28A3"/>
    <w:rsid w:val="00CE2A6F"/>
    <w:rsid w:val="00CE2C0B"/>
    <w:rsid w:val="00CE2C12"/>
    <w:rsid w:val="00CE2D5C"/>
    <w:rsid w:val="00CE2DC8"/>
    <w:rsid w:val="00CE3580"/>
    <w:rsid w:val="00CE366B"/>
    <w:rsid w:val="00CE39FF"/>
    <w:rsid w:val="00CE3C96"/>
    <w:rsid w:val="00CE3D65"/>
    <w:rsid w:val="00CE3EA2"/>
    <w:rsid w:val="00CE4225"/>
    <w:rsid w:val="00CE42BB"/>
    <w:rsid w:val="00CE451A"/>
    <w:rsid w:val="00CE45B7"/>
    <w:rsid w:val="00CE4738"/>
    <w:rsid w:val="00CE4975"/>
    <w:rsid w:val="00CE4AE0"/>
    <w:rsid w:val="00CE4B37"/>
    <w:rsid w:val="00CE5026"/>
    <w:rsid w:val="00CE50EA"/>
    <w:rsid w:val="00CE54CC"/>
    <w:rsid w:val="00CE5646"/>
    <w:rsid w:val="00CE5690"/>
    <w:rsid w:val="00CE5B03"/>
    <w:rsid w:val="00CE6178"/>
    <w:rsid w:val="00CE6195"/>
    <w:rsid w:val="00CE67BB"/>
    <w:rsid w:val="00CE67CF"/>
    <w:rsid w:val="00CE68FC"/>
    <w:rsid w:val="00CE6956"/>
    <w:rsid w:val="00CE6D9E"/>
    <w:rsid w:val="00CE6DBF"/>
    <w:rsid w:val="00CE6F50"/>
    <w:rsid w:val="00CE7120"/>
    <w:rsid w:val="00CE76D1"/>
    <w:rsid w:val="00CE7E23"/>
    <w:rsid w:val="00CE7E56"/>
    <w:rsid w:val="00CE7EF1"/>
    <w:rsid w:val="00CE7F4D"/>
    <w:rsid w:val="00CF0169"/>
    <w:rsid w:val="00CF0194"/>
    <w:rsid w:val="00CF0308"/>
    <w:rsid w:val="00CF03CE"/>
    <w:rsid w:val="00CF094E"/>
    <w:rsid w:val="00CF1230"/>
    <w:rsid w:val="00CF1928"/>
    <w:rsid w:val="00CF1A1D"/>
    <w:rsid w:val="00CF1B7B"/>
    <w:rsid w:val="00CF1D33"/>
    <w:rsid w:val="00CF1ECB"/>
    <w:rsid w:val="00CF2132"/>
    <w:rsid w:val="00CF23CF"/>
    <w:rsid w:val="00CF2427"/>
    <w:rsid w:val="00CF2821"/>
    <w:rsid w:val="00CF2C78"/>
    <w:rsid w:val="00CF2CC8"/>
    <w:rsid w:val="00CF2F89"/>
    <w:rsid w:val="00CF34BD"/>
    <w:rsid w:val="00CF3AC5"/>
    <w:rsid w:val="00CF3B04"/>
    <w:rsid w:val="00CF3B50"/>
    <w:rsid w:val="00CF44C8"/>
    <w:rsid w:val="00CF4983"/>
    <w:rsid w:val="00CF4A22"/>
    <w:rsid w:val="00CF4A50"/>
    <w:rsid w:val="00CF4EC9"/>
    <w:rsid w:val="00CF4F06"/>
    <w:rsid w:val="00CF52EE"/>
    <w:rsid w:val="00CF5367"/>
    <w:rsid w:val="00CF5369"/>
    <w:rsid w:val="00CF55C7"/>
    <w:rsid w:val="00CF575A"/>
    <w:rsid w:val="00CF57C1"/>
    <w:rsid w:val="00CF59D4"/>
    <w:rsid w:val="00CF5A3A"/>
    <w:rsid w:val="00CF5B8B"/>
    <w:rsid w:val="00CF5B90"/>
    <w:rsid w:val="00CF5C48"/>
    <w:rsid w:val="00CF5F94"/>
    <w:rsid w:val="00CF64B4"/>
    <w:rsid w:val="00CF64E9"/>
    <w:rsid w:val="00CF6647"/>
    <w:rsid w:val="00CF6BE8"/>
    <w:rsid w:val="00CF6D5E"/>
    <w:rsid w:val="00CF7087"/>
    <w:rsid w:val="00CF70B5"/>
    <w:rsid w:val="00CF71AA"/>
    <w:rsid w:val="00CF71ED"/>
    <w:rsid w:val="00CF7553"/>
    <w:rsid w:val="00CF76D0"/>
    <w:rsid w:val="00CF7789"/>
    <w:rsid w:val="00CF7833"/>
    <w:rsid w:val="00CF7856"/>
    <w:rsid w:val="00CF7898"/>
    <w:rsid w:val="00D00046"/>
    <w:rsid w:val="00D00125"/>
    <w:rsid w:val="00D001B8"/>
    <w:rsid w:val="00D00707"/>
    <w:rsid w:val="00D008CC"/>
    <w:rsid w:val="00D00A72"/>
    <w:rsid w:val="00D00BB7"/>
    <w:rsid w:val="00D00C17"/>
    <w:rsid w:val="00D00DBE"/>
    <w:rsid w:val="00D0130A"/>
    <w:rsid w:val="00D0161A"/>
    <w:rsid w:val="00D01631"/>
    <w:rsid w:val="00D01652"/>
    <w:rsid w:val="00D01656"/>
    <w:rsid w:val="00D01F93"/>
    <w:rsid w:val="00D020FD"/>
    <w:rsid w:val="00D02892"/>
    <w:rsid w:val="00D02965"/>
    <w:rsid w:val="00D02AA5"/>
    <w:rsid w:val="00D02D6C"/>
    <w:rsid w:val="00D03013"/>
    <w:rsid w:val="00D03024"/>
    <w:rsid w:val="00D030C9"/>
    <w:rsid w:val="00D03262"/>
    <w:rsid w:val="00D03273"/>
    <w:rsid w:val="00D03428"/>
    <w:rsid w:val="00D0365A"/>
    <w:rsid w:val="00D0399D"/>
    <w:rsid w:val="00D039A2"/>
    <w:rsid w:val="00D03A02"/>
    <w:rsid w:val="00D03C66"/>
    <w:rsid w:val="00D03D26"/>
    <w:rsid w:val="00D03D43"/>
    <w:rsid w:val="00D04099"/>
    <w:rsid w:val="00D041F8"/>
    <w:rsid w:val="00D04697"/>
    <w:rsid w:val="00D04750"/>
    <w:rsid w:val="00D0488A"/>
    <w:rsid w:val="00D04E05"/>
    <w:rsid w:val="00D05114"/>
    <w:rsid w:val="00D05214"/>
    <w:rsid w:val="00D0521A"/>
    <w:rsid w:val="00D05396"/>
    <w:rsid w:val="00D0585D"/>
    <w:rsid w:val="00D05B17"/>
    <w:rsid w:val="00D05C04"/>
    <w:rsid w:val="00D05D95"/>
    <w:rsid w:val="00D05DFB"/>
    <w:rsid w:val="00D05E2A"/>
    <w:rsid w:val="00D06193"/>
    <w:rsid w:val="00D062F5"/>
    <w:rsid w:val="00D066DA"/>
    <w:rsid w:val="00D066DD"/>
    <w:rsid w:val="00D0678A"/>
    <w:rsid w:val="00D06825"/>
    <w:rsid w:val="00D06A57"/>
    <w:rsid w:val="00D06BAB"/>
    <w:rsid w:val="00D06D45"/>
    <w:rsid w:val="00D06F71"/>
    <w:rsid w:val="00D0722C"/>
    <w:rsid w:val="00D072C1"/>
    <w:rsid w:val="00D0745A"/>
    <w:rsid w:val="00D077EA"/>
    <w:rsid w:val="00D0780D"/>
    <w:rsid w:val="00D0794F"/>
    <w:rsid w:val="00D10259"/>
    <w:rsid w:val="00D10301"/>
    <w:rsid w:val="00D105C2"/>
    <w:rsid w:val="00D10AAB"/>
    <w:rsid w:val="00D10C88"/>
    <w:rsid w:val="00D10D39"/>
    <w:rsid w:val="00D10DBD"/>
    <w:rsid w:val="00D10E5E"/>
    <w:rsid w:val="00D10EB5"/>
    <w:rsid w:val="00D11019"/>
    <w:rsid w:val="00D11045"/>
    <w:rsid w:val="00D11372"/>
    <w:rsid w:val="00D11437"/>
    <w:rsid w:val="00D11472"/>
    <w:rsid w:val="00D11702"/>
    <w:rsid w:val="00D11847"/>
    <w:rsid w:val="00D11AEC"/>
    <w:rsid w:val="00D11BE9"/>
    <w:rsid w:val="00D11CD9"/>
    <w:rsid w:val="00D11F56"/>
    <w:rsid w:val="00D11FD8"/>
    <w:rsid w:val="00D120CC"/>
    <w:rsid w:val="00D12241"/>
    <w:rsid w:val="00D122D9"/>
    <w:rsid w:val="00D12323"/>
    <w:rsid w:val="00D124AF"/>
    <w:rsid w:val="00D12716"/>
    <w:rsid w:val="00D127F0"/>
    <w:rsid w:val="00D12826"/>
    <w:rsid w:val="00D128C9"/>
    <w:rsid w:val="00D12A1B"/>
    <w:rsid w:val="00D12A3C"/>
    <w:rsid w:val="00D12E74"/>
    <w:rsid w:val="00D12EC7"/>
    <w:rsid w:val="00D12F79"/>
    <w:rsid w:val="00D131CD"/>
    <w:rsid w:val="00D1334B"/>
    <w:rsid w:val="00D13A4D"/>
    <w:rsid w:val="00D13B98"/>
    <w:rsid w:val="00D13CB2"/>
    <w:rsid w:val="00D13CC3"/>
    <w:rsid w:val="00D13E31"/>
    <w:rsid w:val="00D1416B"/>
    <w:rsid w:val="00D14321"/>
    <w:rsid w:val="00D14445"/>
    <w:rsid w:val="00D144AD"/>
    <w:rsid w:val="00D14601"/>
    <w:rsid w:val="00D146A7"/>
    <w:rsid w:val="00D146EF"/>
    <w:rsid w:val="00D1472F"/>
    <w:rsid w:val="00D148EF"/>
    <w:rsid w:val="00D1492F"/>
    <w:rsid w:val="00D14C17"/>
    <w:rsid w:val="00D14FD1"/>
    <w:rsid w:val="00D1515C"/>
    <w:rsid w:val="00D151B1"/>
    <w:rsid w:val="00D151BE"/>
    <w:rsid w:val="00D15294"/>
    <w:rsid w:val="00D1571C"/>
    <w:rsid w:val="00D15724"/>
    <w:rsid w:val="00D15930"/>
    <w:rsid w:val="00D15B54"/>
    <w:rsid w:val="00D15C6E"/>
    <w:rsid w:val="00D15E51"/>
    <w:rsid w:val="00D1612F"/>
    <w:rsid w:val="00D162CB"/>
    <w:rsid w:val="00D1643D"/>
    <w:rsid w:val="00D16670"/>
    <w:rsid w:val="00D16838"/>
    <w:rsid w:val="00D1691E"/>
    <w:rsid w:val="00D16EB5"/>
    <w:rsid w:val="00D16F77"/>
    <w:rsid w:val="00D171E4"/>
    <w:rsid w:val="00D1724B"/>
    <w:rsid w:val="00D17CA1"/>
    <w:rsid w:val="00D17CB6"/>
    <w:rsid w:val="00D20481"/>
    <w:rsid w:val="00D20524"/>
    <w:rsid w:val="00D207A9"/>
    <w:rsid w:val="00D20830"/>
    <w:rsid w:val="00D20B0C"/>
    <w:rsid w:val="00D20B42"/>
    <w:rsid w:val="00D20B57"/>
    <w:rsid w:val="00D20BC3"/>
    <w:rsid w:val="00D20CD4"/>
    <w:rsid w:val="00D20D25"/>
    <w:rsid w:val="00D20DEA"/>
    <w:rsid w:val="00D20FB2"/>
    <w:rsid w:val="00D20FD1"/>
    <w:rsid w:val="00D2137E"/>
    <w:rsid w:val="00D214F6"/>
    <w:rsid w:val="00D216DC"/>
    <w:rsid w:val="00D21702"/>
    <w:rsid w:val="00D2195B"/>
    <w:rsid w:val="00D21A74"/>
    <w:rsid w:val="00D21ED8"/>
    <w:rsid w:val="00D220CA"/>
    <w:rsid w:val="00D221D2"/>
    <w:rsid w:val="00D223D7"/>
    <w:rsid w:val="00D223DE"/>
    <w:rsid w:val="00D2264B"/>
    <w:rsid w:val="00D2290D"/>
    <w:rsid w:val="00D22984"/>
    <w:rsid w:val="00D229F4"/>
    <w:rsid w:val="00D22A68"/>
    <w:rsid w:val="00D22E03"/>
    <w:rsid w:val="00D232A9"/>
    <w:rsid w:val="00D234E5"/>
    <w:rsid w:val="00D23687"/>
    <w:rsid w:val="00D23A48"/>
    <w:rsid w:val="00D23B7E"/>
    <w:rsid w:val="00D23C38"/>
    <w:rsid w:val="00D23C88"/>
    <w:rsid w:val="00D23F84"/>
    <w:rsid w:val="00D23F95"/>
    <w:rsid w:val="00D2407C"/>
    <w:rsid w:val="00D2423C"/>
    <w:rsid w:val="00D24341"/>
    <w:rsid w:val="00D24457"/>
    <w:rsid w:val="00D244F6"/>
    <w:rsid w:val="00D2456C"/>
    <w:rsid w:val="00D2470C"/>
    <w:rsid w:val="00D24A2F"/>
    <w:rsid w:val="00D24AEC"/>
    <w:rsid w:val="00D24B83"/>
    <w:rsid w:val="00D24BA0"/>
    <w:rsid w:val="00D24E55"/>
    <w:rsid w:val="00D24E99"/>
    <w:rsid w:val="00D2503A"/>
    <w:rsid w:val="00D251F2"/>
    <w:rsid w:val="00D251FC"/>
    <w:rsid w:val="00D254A9"/>
    <w:rsid w:val="00D25566"/>
    <w:rsid w:val="00D2580E"/>
    <w:rsid w:val="00D258F7"/>
    <w:rsid w:val="00D25BD6"/>
    <w:rsid w:val="00D25C30"/>
    <w:rsid w:val="00D26063"/>
    <w:rsid w:val="00D26193"/>
    <w:rsid w:val="00D261CE"/>
    <w:rsid w:val="00D26426"/>
    <w:rsid w:val="00D2669B"/>
    <w:rsid w:val="00D26CF5"/>
    <w:rsid w:val="00D26D26"/>
    <w:rsid w:val="00D27063"/>
    <w:rsid w:val="00D271B2"/>
    <w:rsid w:val="00D272AB"/>
    <w:rsid w:val="00D274DD"/>
    <w:rsid w:val="00D277AE"/>
    <w:rsid w:val="00D279CC"/>
    <w:rsid w:val="00D27DBF"/>
    <w:rsid w:val="00D27DCE"/>
    <w:rsid w:val="00D2A408"/>
    <w:rsid w:val="00D30427"/>
    <w:rsid w:val="00D306B5"/>
    <w:rsid w:val="00D30865"/>
    <w:rsid w:val="00D3086D"/>
    <w:rsid w:val="00D309DB"/>
    <w:rsid w:val="00D30C17"/>
    <w:rsid w:val="00D30CFE"/>
    <w:rsid w:val="00D30F27"/>
    <w:rsid w:val="00D31028"/>
    <w:rsid w:val="00D31260"/>
    <w:rsid w:val="00D314FB"/>
    <w:rsid w:val="00D31524"/>
    <w:rsid w:val="00D318D5"/>
    <w:rsid w:val="00D319F6"/>
    <w:rsid w:val="00D31D6A"/>
    <w:rsid w:val="00D320EA"/>
    <w:rsid w:val="00D32901"/>
    <w:rsid w:val="00D32C77"/>
    <w:rsid w:val="00D32E35"/>
    <w:rsid w:val="00D33172"/>
    <w:rsid w:val="00D33259"/>
    <w:rsid w:val="00D33303"/>
    <w:rsid w:val="00D3343D"/>
    <w:rsid w:val="00D3366C"/>
    <w:rsid w:val="00D33AC3"/>
    <w:rsid w:val="00D33AFB"/>
    <w:rsid w:val="00D33C16"/>
    <w:rsid w:val="00D33CA9"/>
    <w:rsid w:val="00D33D86"/>
    <w:rsid w:val="00D33EB6"/>
    <w:rsid w:val="00D3410A"/>
    <w:rsid w:val="00D34118"/>
    <w:rsid w:val="00D34212"/>
    <w:rsid w:val="00D3454D"/>
    <w:rsid w:val="00D345B6"/>
    <w:rsid w:val="00D34A0D"/>
    <w:rsid w:val="00D34D4E"/>
    <w:rsid w:val="00D34D8B"/>
    <w:rsid w:val="00D350E5"/>
    <w:rsid w:val="00D352DC"/>
    <w:rsid w:val="00D352FC"/>
    <w:rsid w:val="00D35A1B"/>
    <w:rsid w:val="00D35C51"/>
    <w:rsid w:val="00D35EEC"/>
    <w:rsid w:val="00D36136"/>
    <w:rsid w:val="00D36193"/>
    <w:rsid w:val="00D36251"/>
    <w:rsid w:val="00D365D4"/>
    <w:rsid w:val="00D3684D"/>
    <w:rsid w:val="00D36BB5"/>
    <w:rsid w:val="00D36CA9"/>
    <w:rsid w:val="00D37082"/>
    <w:rsid w:val="00D3714D"/>
    <w:rsid w:val="00D3722C"/>
    <w:rsid w:val="00D373D0"/>
    <w:rsid w:val="00D3762E"/>
    <w:rsid w:val="00D379CD"/>
    <w:rsid w:val="00D3D8F0"/>
    <w:rsid w:val="00D3FC2F"/>
    <w:rsid w:val="00D40165"/>
    <w:rsid w:val="00D40361"/>
    <w:rsid w:val="00D40369"/>
    <w:rsid w:val="00D403EE"/>
    <w:rsid w:val="00D40496"/>
    <w:rsid w:val="00D4053F"/>
    <w:rsid w:val="00D406C2"/>
    <w:rsid w:val="00D409D2"/>
    <w:rsid w:val="00D40B57"/>
    <w:rsid w:val="00D40D3E"/>
    <w:rsid w:val="00D40E91"/>
    <w:rsid w:val="00D40F0D"/>
    <w:rsid w:val="00D40F41"/>
    <w:rsid w:val="00D40F72"/>
    <w:rsid w:val="00D410E3"/>
    <w:rsid w:val="00D412DF"/>
    <w:rsid w:val="00D41379"/>
    <w:rsid w:val="00D4146F"/>
    <w:rsid w:val="00D4169B"/>
    <w:rsid w:val="00D4169C"/>
    <w:rsid w:val="00D4182E"/>
    <w:rsid w:val="00D418FC"/>
    <w:rsid w:val="00D41978"/>
    <w:rsid w:val="00D419BB"/>
    <w:rsid w:val="00D419CE"/>
    <w:rsid w:val="00D41D77"/>
    <w:rsid w:val="00D41E80"/>
    <w:rsid w:val="00D42233"/>
    <w:rsid w:val="00D424FB"/>
    <w:rsid w:val="00D4283E"/>
    <w:rsid w:val="00D42853"/>
    <w:rsid w:val="00D428A6"/>
    <w:rsid w:val="00D42941"/>
    <w:rsid w:val="00D42A65"/>
    <w:rsid w:val="00D42BE9"/>
    <w:rsid w:val="00D42CC0"/>
    <w:rsid w:val="00D42E06"/>
    <w:rsid w:val="00D42E5C"/>
    <w:rsid w:val="00D43219"/>
    <w:rsid w:val="00D43423"/>
    <w:rsid w:val="00D43593"/>
    <w:rsid w:val="00D43B7D"/>
    <w:rsid w:val="00D43D00"/>
    <w:rsid w:val="00D43F3F"/>
    <w:rsid w:val="00D43F74"/>
    <w:rsid w:val="00D43FF9"/>
    <w:rsid w:val="00D44036"/>
    <w:rsid w:val="00D44081"/>
    <w:rsid w:val="00D4409B"/>
    <w:rsid w:val="00D44480"/>
    <w:rsid w:val="00D4449A"/>
    <w:rsid w:val="00D44525"/>
    <w:rsid w:val="00D446E4"/>
    <w:rsid w:val="00D44842"/>
    <w:rsid w:val="00D44D38"/>
    <w:rsid w:val="00D44DB2"/>
    <w:rsid w:val="00D44E25"/>
    <w:rsid w:val="00D4519E"/>
    <w:rsid w:val="00D45239"/>
    <w:rsid w:val="00D45292"/>
    <w:rsid w:val="00D4539E"/>
    <w:rsid w:val="00D45455"/>
    <w:rsid w:val="00D45744"/>
    <w:rsid w:val="00D457F0"/>
    <w:rsid w:val="00D4585C"/>
    <w:rsid w:val="00D459FF"/>
    <w:rsid w:val="00D45CAC"/>
    <w:rsid w:val="00D45E65"/>
    <w:rsid w:val="00D464F9"/>
    <w:rsid w:val="00D465FA"/>
    <w:rsid w:val="00D4660C"/>
    <w:rsid w:val="00D4666B"/>
    <w:rsid w:val="00D4674B"/>
    <w:rsid w:val="00D46AB7"/>
    <w:rsid w:val="00D46ADC"/>
    <w:rsid w:val="00D46E8E"/>
    <w:rsid w:val="00D46F31"/>
    <w:rsid w:val="00D47084"/>
    <w:rsid w:val="00D4714A"/>
    <w:rsid w:val="00D475C7"/>
    <w:rsid w:val="00D475FD"/>
    <w:rsid w:val="00D47644"/>
    <w:rsid w:val="00D4766C"/>
    <w:rsid w:val="00D477BE"/>
    <w:rsid w:val="00D478B9"/>
    <w:rsid w:val="00D478DC"/>
    <w:rsid w:val="00D47ACC"/>
    <w:rsid w:val="00D47B8C"/>
    <w:rsid w:val="00D47D1C"/>
    <w:rsid w:val="00D47D93"/>
    <w:rsid w:val="00D47FD5"/>
    <w:rsid w:val="00D50474"/>
    <w:rsid w:val="00D5054C"/>
    <w:rsid w:val="00D50951"/>
    <w:rsid w:val="00D50998"/>
    <w:rsid w:val="00D50AD1"/>
    <w:rsid w:val="00D50AF7"/>
    <w:rsid w:val="00D50C1A"/>
    <w:rsid w:val="00D50EA9"/>
    <w:rsid w:val="00D50F91"/>
    <w:rsid w:val="00D510B1"/>
    <w:rsid w:val="00D5132E"/>
    <w:rsid w:val="00D5134D"/>
    <w:rsid w:val="00D513BF"/>
    <w:rsid w:val="00D517E6"/>
    <w:rsid w:val="00D51997"/>
    <w:rsid w:val="00D51B3B"/>
    <w:rsid w:val="00D51DDA"/>
    <w:rsid w:val="00D51E89"/>
    <w:rsid w:val="00D52362"/>
    <w:rsid w:val="00D52400"/>
    <w:rsid w:val="00D527CD"/>
    <w:rsid w:val="00D52C4C"/>
    <w:rsid w:val="00D52CB1"/>
    <w:rsid w:val="00D52F0C"/>
    <w:rsid w:val="00D52F1B"/>
    <w:rsid w:val="00D52F87"/>
    <w:rsid w:val="00D52FA4"/>
    <w:rsid w:val="00D53078"/>
    <w:rsid w:val="00D530ED"/>
    <w:rsid w:val="00D53151"/>
    <w:rsid w:val="00D531A4"/>
    <w:rsid w:val="00D53212"/>
    <w:rsid w:val="00D5329C"/>
    <w:rsid w:val="00D53330"/>
    <w:rsid w:val="00D53371"/>
    <w:rsid w:val="00D5364F"/>
    <w:rsid w:val="00D53A1F"/>
    <w:rsid w:val="00D53CEB"/>
    <w:rsid w:val="00D53D0B"/>
    <w:rsid w:val="00D53E99"/>
    <w:rsid w:val="00D53FF8"/>
    <w:rsid w:val="00D5452E"/>
    <w:rsid w:val="00D54704"/>
    <w:rsid w:val="00D54847"/>
    <w:rsid w:val="00D54ACD"/>
    <w:rsid w:val="00D54EA6"/>
    <w:rsid w:val="00D54EE2"/>
    <w:rsid w:val="00D55058"/>
    <w:rsid w:val="00D55152"/>
    <w:rsid w:val="00D551E8"/>
    <w:rsid w:val="00D55319"/>
    <w:rsid w:val="00D554D2"/>
    <w:rsid w:val="00D55566"/>
    <w:rsid w:val="00D5562A"/>
    <w:rsid w:val="00D55A2D"/>
    <w:rsid w:val="00D55D4A"/>
    <w:rsid w:val="00D56092"/>
    <w:rsid w:val="00D56292"/>
    <w:rsid w:val="00D5638B"/>
    <w:rsid w:val="00D563F0"/>
    <w:rsid w:val="00D56435"/>
    <w:rsid w:val="00D56476"/>
    <w:rsid w:val="00D564EE"/>
    <w:rsid w:val="00D566A7"/>
    <w:rsid w:val="00D56819"/>
    <w:rsid w:val="00D56998"/>
    <w:rsid w:val="00D56B6E"/>
    <w:rsid w:val="00D56C90"/>
    <w:rsid w:val="00D56D51"/>
    <w:rsid w:val="00D56D74"/>
    <w:rsid w:val="00D56DF2"/>
    <w:rsid w:val="00D56E8B"/>
    <w:rsid w:val="00D57095"/>
    <w:rsid w:val="00D57144"/>
    <w:rsid w:val="00D57306"/>
    <w:rsid w:val="00D57320"/>
    <w:rsid w:val="00D574B5"/>
    <w:rsid w:val="00D5757D"/>
    <w:rsid w:val="00D5796C"/>
    <w:rsid w:val="00D579DE"/>
    <w:rsid w:val="00D57B2E"/>
    <w:rsid w:val="00D57CB1"/>
    <w:rsid w:val="00D57D0E"/>
    <w:rsid w:val="00D57DBA"/>
    <w:rsid w:val="00D57E17"/>
    <w:rsid w:val="00D57E7E"/>
    <w:rsid w:val="00D57F1D"/>
    <w:rsid w:val="00D57FDD"/>
    <w:rsid w:val="00D58F4A"/>
    <w:rsid w:val="00D5AE87"/>
    <w:rsid w:val="00D60097"/>
    <w:rsid w:val="00D60525"/>
    <w:rsid w:val="00D60833"/>
    <w:rsid w:val="00D6084D"/>
    <w:rsid w:val="00D60A85"/>
    <w:rsid w:val="00D60CE3"/>
    <w:rsid w:val="00D60F46"/>
    <w:rsid w:val="00D60F9F"/>
    <w:rsid w:val="00D61076"/>
    <w:rsid w:val="00D61131"/>
    <w:rsid w:val="00D613AB"/>
    <w:rsid w:val="00D61484"/>
    <w:rsid w:val="00D61587"/>
    <w:rsid w:val="00D61AB1"/>
    <w:rsid w:val="00D61B15"/>
    <w:rsid w:val="00D61DE9"/>
    <w:rsid w:val="00D622C4"/>
    <w:rsid w:val="00D622E0"/>
    <w:rsid w:val="00D6264D"/>
    <w:rsid w:val="00D626F2"/>
    <w:rsid w:val="00D62A99"/>
    <w:rsid w:val="00D62AD3"/>
    <w:rsid w:val="00D62AE3"/>
    <w:rsid w:val="00D62C60"/>
    <w:rsid w:val="00D62CB6"/>
    <w:rsid w:val="00D62EC3"/>
    <w:rsid w:val="00D63427"/>
    <w:rsid w:val="00D639AE"/>
    <w:rsid w:val="00D63DA3"/>
    <w:rsid w:val="00D63F4B"/>
    <w:rsid w:val="00D64225"/>
    <w:rsid w:val="00D642B3"/>
    <w:rsid w:val="00D64302"/>
    <w:rsid w:val="00D64363"/>
    <w:rsid w:val="00D64499"/>
    <w:rsid w:val="00D64906"/>
    <w:rsid w:val="00D64F70"/>
    <w:rsid w:val="00D650FC"/>
    <w:rsid w:val="00D654CE"/>
    <w:rsid w:val="00D655DC"/>
    <w:rsid w:val="00D65AA1"/>
    <w:rsid w:val="00D65BE5"/>
    <w:rsid w:val="00D65C0B"/>
    <w:rsid w:val="00D65EE3"/>
    <w:rsid w:val="00D663B6"/>
    <w:rsid w:val="00D66476"/>
    <w:rsid w:val="00D66738"/>
    <w:rsid w:val="00D6677D"/>
    <w:rsid w:val="00D66935"/>
    <w:rsid w:val="00D6694F"/>
    <w:rsid w:val="00D66BED"/>
    <w:rsid w:val="00D66D81"/>
    <w:rsid w:val="00D67082"/>
    <w:rsid w:val="00D67126"/>
    <w:rsid w:val="00D6715D"/>
    <w:rsid w:val="00D673EC"/>
    <w:rsid w:val="00D676C7"/>
    <w:rsid w:val="00D67A27"/>
    <w:rsid w:val="00D67B38"/>
    <w:rsid w:val="00D67B61"/>
    <w:rsid w:val="00D67C01"/>
    <w:rsid w:val="00D67C6B"/>
    <w:rsid w:val="00D67D26"/>
    <w:rsid w:val="00D67E61"/>
    <w:rsid w:val="00D701F0"/>
    <w:rsid w:val="00D7030E"/>
    <w:rsid w:val="00D70429"/>
    <w:rsid w:val="00D705BF"/>
    <w:rsid w:val="00D70761"/>
    <w:rsid w:val="00D7081B"/>
    <w:rsid w:val="00D70B51"/>
    <w:rsid w:val="00D70B87"/>
    <w:rsid w:val="00D70C93"/>
    <w:rsid w:val="00D70D23"/>
    <w:rsid w:val="00D70FB2"/>
    <w:rsid w:val="00D7115F"/>
    <w:rsid w:val="00D713AD"/>
    <w:rsid w:val="00D713BB"/>
    <w:rsid w:val="00D714DC"/>
    <w:rsid w:val="00D7165D"/>
    <w:rsid w:val="00D71C0A"/>
    <w:rsid w:val="00D71C73"/>
    <w:rsid w:val="00D71CDC"/>
    <w:rsid w:val="00D71E00"/>
    <w:rsid w:val="00D72BD8"/>
    <w:rsid w:val="00D73006"/>
    <w:rsid w:val="00D732A6"/>
    <w:rsid w:val="00D73713"/>
    <w:rsid w:val="00D7381C"/>
    <w:rsid w:val="00D73CE8"/>
    <w:rsid w:val="00D73F11"/>
    <w:rsid w:val="00D73FEA"/>
    <w:rsid w:val="00D7407E"/>
    <w:rsid w:val="00D74541"/>
    <w:rsid w:val="00D745C6"/>
    <w:rsid w:val="00D746F5"/>
    <w:rsid w:val="00D74F3A"/>
    <w:rsid w:val="00D75250"/>
    <w:rsid w:val="00D75694"/>
    <w:rsid w:val="00D75731"/>
    <w:rsid w:val="00D75942"/>
    <w:rsid w:val="00D759FA"/>
    <w:rsid w:val="00D75A42"/>
    <w:rsid w:val="00D75B64"/>
    <w:rsid w:val="00D75FBA"/>
    <w:rsid w:val="00D76249"/>
    <w:rsid w:val="00D764DF"/>
    <w:rsid w:val="00D766C6"/>
    <w:rsid w:val="00D76742"/>
    <w:rsid w:val="00D7675B"/>
    <w:rsid w:val="00D7687E"/>
    <w:rsid w:val="00D769B9"/>
    <w:rsid w:val="00D76B09"/>
    <w:rsid w:val="00D76B3C"/>
    <w:rsid w:val="00D7709A"/>
    <w:rsid w:val="00D771C8"/>
    <w:rsid w:val="00D77398"/>
    <w:rsid w:val="00D77722"/>
    <w:rsid w:val="00D77BB5"/>
    <w:rsid w:val="00D77DE7"/>
    <w:rsid w:val="00D77F51"/>
    <w:rsid w:val="00D77F90"/>
    <w:rsid w:val="00D7C6CD"/>
    <w:rsid w:val="00D8008B"/>
    <w:rsid w:val="00D800A4"/>
    <w:rsid w:val="00D801AD"/>
    <w:rsid w:val="00D80572"/>
    <w:rsid w:val="00D80634"/>
    <w:rsid w:val="00D8076C"/>
    <w:rsid w:val="00D80830"/>
    <w:rsid w:val="00D8093C"/>
    <w:rsid w:val="00D80948"/>
    <w:rsid w:val="00D809A8"/>
    <w:rsid w:val="00D80A70"/>
    <w:rsid w:val="00D80AE3"/>
    <w:rsid w:val="00D80B16"/>
    <w:rsid w:val="00D80C41"/>
    <w:rsid w:val="00D80CCF"/>
    <w:rsid w:val="00D80D99"/>
    <w:rsid w:val="00D81292"/>
    <w:rsid w:val="00D81583"/>
    <w:rsid w:val="00D81831"/>
    <w:rsid w:val="00D81B67"/>
    <w:rsid w:val="00D81D8F"/>
    <w:rsid w:val="00D81E01"/>
    <w:rsid w:val="00D81EB0"/>
    <w:rsid w:val="00D8209A"/>
    <w:rsid w:val="00D823B2"/>
    <w:rsid w:val="00D8241B"/>
    <w:rsid w:val="00D82475"/>
    <w:rsid w:val="00D829EE"/>
    <w:rsid w:val="00D82A6B"/>
    <w:rsid w:val="00D82AC1"/>
    <w:rsid w:val="00D82AE8"/>
    <w:rsid w:val="00D82B13"/>
    <w:rsid w:val="00D82C53"/>
    <w:rsid w:val="00D82C54"/>
    <w:rsid w:val="00D82E51"/>
    <w:rsid w:val="00D830E1"/>
    <w:rsid w:val="00D8323F"/>
    <w:rsid w:val="00D833B2"/>
    <w:rsid w:val="00D8349A"/>
    <w:rsid w:val="00D834A2"/>
    <w:rsid w:val="00D834BE"/>
    <w:rsid w:val="00D83AC9"/>
    <w:rsid w:val="00D83C96"/>
    <w:rsid w:val="00D83CF4"/>
    <w:rsid w:val="00D83D53"/>
    <w:rsid w:val="00D84102"/>
    <w:rsid w:val="00D84252"/>
    <w:rsid w:val="00D842A1"/>
    <w:rsid w:val="00D8437C"/>
    <w:rsid w:val="00D8438B"/>
    <w:rsid w:val="00D845E6"/>
    <w:rsid w:val="00D84634"/>
    <w:rsid w:val="00D849DC"/>
    <w:rsid w:val="00D84AA3"/>
    <w:rsid w:val="00D84B4B"/>
    <w:rsid w:val="00D84CAC"/>
    <w:rsid w:val="00D84DB5"/>
    <w:rsid w:val="00D852A6"/>
    <w:rsid w:val="00D85448"/>
    <w:rsid w:val="00D8544C"/>
    <w:rsid w:val="00D85560"/>
    <w:rsid w:val="00D85916"/>
    <w:rsid w:val="00D859CD"/>
    <w:rsid w:val="00D859DA"/>
    <w:rsid w:val="00D85C85"/>
    <w:rsid w:val="00D85F9D"/>
    <w:rsid w:val="00D8608D"/>
    <w:rsid w:val="00D86132"/>
    <w:rsid w:val="00D86199"/>
    <w:rsid w:val="00D865EA"/>
    <w:rsid w:val="00D86AA6"/>
    <w:rsid w:val="00D86AE9"/>
    <w:rsid w:val="00D86BB2"/>
    <w:rsid w:val="00D86F4D"/>
    <w:rsid w:val="00D86FAB"/>
    <w:rsid w:val="00D8739F"/>
    <w:rsid w:val="00D87604"/>
    <w:rsid w:val="00D8767D"/>
    <w:rsid w:val="00D8779E"/>
    <w:rsid w:val="00D877CF"/>
    <w:rsid w:val="00D87AB2"/>
    <w:rsid w:val="00D87BBA"/>
    <w:rsid w:val="00D87E9F"/>
    <w:rsid w:val="00D87F99"/>
    <w:rsid w:val="00D87FAD"/>
    <w:rsid w:val="00D9002A"/>
    <w:rsid w:val="00D90453"/>
    <w:rsid w:val="00D907B8"/>
    <w:rsid w:val="00D9086D"/>
    <w:rsid w:val="00D90A34"/>
    <w:rsid w:val="00D90AE3"/>
    <w:rsid w:val="00D90C60"/>
    <w:rsid w:val="00D90D9E"/>
    <w:rsid w:val="00D90FAB"/>
    <w:rsid w:val="00D91013"/>
    <w:rsid w:val="00D91464"/>
    <w:rsid w:val="00D91657"/>
    <w:rsid w:val="00D91661"/>
    <w:rsid w:val="00D916DD"/>
    <w:rsid w:val="00D9182B"/>
    <w:rsid w:val="00D9192F"/>
    <w:rsid w:val="00D919DC"/>
    <w:rsid w:val="00D91B1D"/>
    <w:rsid w:val="00D91BD8"/>
    <w:rsid w:val="00D91E1C"/>
    <w:rsid w:val="00D92186"/>
    <w:rsid w:val="00D922E0"/>
    <w:rsid w:val="00D92369"/>
    <w:rsid w:val="00D925CE"/>
    <w:rsid w:val="00D925E5"/>
    <w:rsid w:val="00D92723"/>
    <w:rsid w:val="00D9283A"/>
    <w:rsid w:val="00D92A10"/>
    <w:rsid w:val="00D92AA1"/>
    <w:rsid w:val="00D92C65"/>
    <w:rsid w:val="00D92D3F"/>
    <w:rsid w:val="00D92EF4"/>
    <w:rsid w:val="00D930C3"/>
    <w:rsid w:val="00D931FF"/>
    <w:rsid w:val="00D9379E"/>
    <w:rsid w:val="00D93EA4"/>
    <w:rsid w:val="00D93FB7"/>
    <w:rsid w:val="00D942BF"/>
    <w:rsid w:val="00D94347"/>
    <w:rsid w:val="00D94386"/>
    <w:rsid w:val="00D94582"/>
    <w:rsid w:val="00D94611"/>
    <w:rsid w:val="00D946CC"/>
    <w:rsid w:val="00D94BCD"/>
    <w:rsid w:val="00D94D64"/>
    <w:rsid w:val="00D94F0A"/>
    <w:rsid w:val="00D95454"/>
    <w:rsid w:val="00D95665"/>
    <w:rsid w:val="00D95687"/>
    <w:rsid w:val="00D957DF"/>
    <w:rsid w:val="00D95874"/>
    <w:rsid w:val="00D95A7C"/>
    <w:rsid w:val="00D95D64"/>
    <w:rsid w:val="00D95E69"/>
    <w:rsid w:val="00D95F71"/>
    <w:rsid w:val="00D9645D"/>
    <w:rsid w:val="00D9658E"/>
    <w:rsid w:val="00D96647"/>
    <w:rsid w:val="00D967DB"/>
    <w:rsid w:val="00D969DB"/>
    <w:rsid w:val="00D96AFA"/>
    <w:rsid w:val="00D96C34"/>
    <w:rsid w:val="00D96ED0"/>
    <w:rsid w:val="00D96F1F"/>
    <w:rsid w:val="00D9709F"/>
    <w:rsid w:val="00D97476"/>
    <w:rsid w:val="00D97958"/>
    <w:rsid w:val="00D9A257"/>
    <w:rsid w:val="00DA092B"/>
    <w:rsid w:val="00DA0A83"/>
    <w:rsid w:val="00DA0AE9"/>
    <w:rsid w:val="00DA0CC1"/>
    <w:rsid w:val="00DA0DEC"/>
    <w:rsid w:val="00DA1274"/>
    <w:rsid w:val="00DA18F2"/>
    <w:rsid w:val="00DA1A0B"/>
    <w:rsid w:val="00DA1B42"/>
    <w:rsid w:val="00DA1B87"/>
    <w:rsid w:val="00DA1C79"/>
    <w:rsid w:val="00DA1D5F"/>
    <w:rsid w:val="00DA1DC2"/>
    <w:rsid w:val="00DA1E50"/>
    <w:rsid w:val="00DA1F50"/>
    <w:rsid w:val="00DA2131"/>
    <w:rsid w:val="00DA249F"/>
    <w:rsid w:val="00DA2514"/>
    <w:rsid w:val="00DA260E"/>
    <w:rsid w:val="00DA26C6"/>
    <w:rsid w:val="00DA28DA"/>
    <w:rsid w:val="00DA2B39"/>
    <w:rsid w:val="00DA3025"/>
    <w:rsid w:val="00DA3233"/>
    <w:rsid w:val="00DA3449"/>
    <w:rsid w:val="00DA351B"/>
    <w:rsid w:val="00DA36ED"/>
    <w:rsid w:val="00DA3942"/>
    <w:rsid w:val="00DA39A8"/>
    <w:rsid w:val="00DA3B41"/>
    <w:rsid w:val="00DA3B9C"/>
    <w:rsid w:val="00DA3C74"/>
    <w:rsid w:val="00DA47BC"/>
    <w:rsid w:val="00DA49F1"/>
    <w:rsid w:val="00DA4DEC"/>
    <w:rsid w:val="00DA4F7A"/>
    <w:rsid w:val="00DA5074"/>
    <w:rsid w:val="00DA51FB"/>
    <w:rsid w:val="00DA526C"/>
    <w:rsid w:val="00DA52D4"/>
    <w:rsid w:val="00DA55F1"/>
    <w:rsid w:val="00DA5623"/>
    <w:rsid w:val="00DA56CF"/>
    <w:rsid w:val="00DA581B"/>
    <w:rsid w:val="00DA59A8"/>
    <w:rsid w:val="00DA5D0F"/>
    <w:rsid w:val="00DA5D44"/>
    <w:rsid w:val="00DA5FA5"/>
    <w:rsid w:val="00DA6047"/>
    <w:rsid w:val="00DA639C"/>
    <w:rsid w:val="00DA67C6"/>
    <w:rsid w:val="00DA6A2E"/>
    <w:rsid w:val="00DA6BD6"/>
    <w:rsid w:val="00DA6CA1"/>
    <w:rsid w:val="00DA6CD3"/>
    <w:rsid w:val="00DA6E78"/>
    <w:rsid w:val="00DA6F16"/>
    <w:rsid w:val="00DA70E4"/>
    <w:rsid w:val="00DA72C0"/>
    <w:rsid w:val="00DA732E"/>
    <w:rsid w:val="00DA7690"/>
    <w:rsid w:val="00DA77ED"/>
    <w:rsid w:val="00DA7831"/>
    <w:rsid w:val="00DA7854"/>
    <w:rsid w:val="00DA7895"/>
    <w:rsid w:val="00DA79D9"/>
    <w:rsid w:val="00DA7AB2"/>
    <w:rsid w:val="00DA7D77"/>
    <w:rsid w:val="00DA7ED5"/>
    <w:rsid w:val="00DA7F97"/>
    <w:rsid w:val="00DA7FBE"/>
    <w:rsid w:val="00DB0070"/>
    <w:rsid w:val="00DB00CA"/>
    <w:rsid w:val="00DB0156"/>
    <w:rsid w:val="00DB01A1"/>
    <w:rsid w:val="00DB0229"/>
    <w:rsid w:val="00DB0338"/>
    <w:rsid w:val="00DB0360"/>
    <w:rsid w:val="00DB03F3"/>
    <w:rsid w:val="00DB0443"/>
    <w:rsid w:val="00DB046C"/>
    <w:rsid w:val="00DB05FC"/>
    <w:rsid w:val="00DB073F"/>
    <w:rsid w:val="00DB0763"/>
    <w:rsid w:val="00DB08A8"/>
    <w:rsid w:val="00DB09C6"/>
    <w:rsid w:val="00DB0DEC"/>
    <w:rsid w:val="00DB10EF"/>
    <w:rsid w:val="00DB11BD"/>
    <w:rsid w:val="00DB1328"/>
    <w:rsid w:val="00DB135B"/>
    <w:rsid w:val="00DB19A3"/>
    <w:rsid w:val="00DB1AD2"/>
    <w:rsid w:val="00DB1BDA"/>
    <w:rsid w:val="00DB1C0D"/>
    <w:rsid w:val="00DB1C9F"/>
    <w:rsid w:val="00DB1D5A"/>
    <w:rsid w:val="00DB1F96"/>
    <w:rsid w:val="00DB21BD"/>
    <w:rsid w:val="00DB21CF"/>
    <w:rsid w:val="00DB23A5"/>
    <w:rsid w:val="00DB2498"/>
    <w:rsid w:val="00DB2573"/>
    <w:rsid w:val="00DB2678"/>
    <w:rsid w:val="00DB270B"/>
    <w:rsid w:val="00DB2A62"/>
    <w:rsid w:val="00DB2B74"/>
    <w:rsid w:val="00DB2DBB"/>
    <w:rsid w:val="00DB2F40"/>
    <w:rsid w:val="00DB3020"/>
    <w:rsid w:val="00DB3126"/>
    <w:rsid w:val="00DB3487"/>
    <w:rsid w:val="00DB3561"/>
    <w:rsid w:val="00DB360D"/>
    <w:rsid w:val="00DB374E"/>
    <w:rsid w:val="00DB39FA"/>
    <w:rsid w:val="00DB3F7D"/>
    <w:rsid w:val="00DB4071"/>
    <w:rsid w:val="00DB40C9"/>
    <w:rsid w:val="00DB419C"/>
    <w:rsid w:val="00DB41EC"/>
    <w:rsid w:val="00DB439E"/>
    <w:rsid w:val="00DB4938"/>
    <w:rsid w:val="00DB4C92"/>
    <w:rsid w:val="00DB4F19"/>
    <w:rsid w:val="00DB4F21"/>
    <w:rsid w:val="00DB52A1"/>
    <w:rsid w:val="00DB52BB"/>
    <w:rsid w:val="00DB532F"/>
    <w:rsid w:val="00DB533B"/>
    <w:rsid w:val="00DB538B"/>
    <w:rsid w:val="00DB55E9"/>
    <w:rsid w:val="00DB57A8"/>
    <w:rsid w:val="00DB57DE"/>
    <w:rsid w:val="00DB57E8"/>
    <w:rsid w:val="00DB590A"/>
    <w:rsid w:val="00DB5ABF"/>
    <w:rsid w:val="00DB5CD0"/>
    <w:rsid w:val="00DB5F41"/>
    <w:rsid w:val="00DB5F82"/>
    <w:rsid w:val="00DB61F7"/>
    <w:rsid w:val="00DB6531"/>
    <w:rsid w:val="00DB656D"/>
    <w:rsid w:val="00DB670E"/>
    <w:rsid w:val="00DB6798"/>
    <w:rsid w:val="00DB67A9"/>
    <w:rsid w:val="00DB6858"/>
    <w:rsid w:val="00DB6BE9"/>
    <w:rsid w:val="00DB6BF4"/>
    <w:rsid w:val="00DB6D51"/>
    <w:rsid w:val="00DB6DE9"/>
    <w:rsid w:val="00DB6E99"/>
    <w:rsid w:val="00DB7274"/>
    <w:rsid w:val="00DB7665"/>
    <w:rsid w:val="00DB775F"/>
    <w:rsid w:val="00DB7AD9"/>
    <w:rsid w:val="00DB7D59"/>
    <w:rsid w:val="00DC01E2"/>
    <w:rsid w:val="00DC01FD"/>
    <w:rsid w:val="00DC02E2"/>
    <w:rsid w:val="00DC07E9"/>
    <w:rsid w:val="00DC0EF0"/>
    <w:rsid w:val="00DC1551"/>
    <w:rsid w:val="00DC169A"/>
    <w:rsid w:val="00DC1839"/>
    <w:rsid w:val="00DC1955"/>
    <w:rsid w:val="00DC1AD7"/>
    <w:rsid w:val="00DC1E17"/>
    <w:rsid w:val="00DC1EF9"/>
    <w:rsid w:val="00DC205C"/>
    <w:rsid w:val="00DC21C1"/>
    <w:rsid w:val="00DC229B"/>
    <w:rsid w:val="00DC2430"/>
    <w:rsid w:val="00DC256A"/>
    <w:rsid w:val="00DC290B"/>
    <w:rsid w:val="00DC2963"/>
    <w:rsid w:val="00DC2A9B"/>
    <w:rsid w:val="00DC2D09"/>
    <w:rsid w:val="00DC2DC3"/>
    <w:rsid w:val="00DC2EB3"/>
    <w:rsid w:val="00DC3074"/>
    <w:rsid w:val="00DC30C3"/>
    <w:rsid w:val="00DC3110"/>
    <w:rsid w:val="00DC334B"/>
    <w:rsid w:val="00DC3393"/>
    <w:rsid w:val="00DC33FC"/>
    <w:rsid w:val="00DC343E"/>
    <w:rsid w:val="00DC3724"/>
    <w:rsid w:val="00DC3859"/>
    <w:rsid w:val="00DC3A71"/>
    <w:rsid w:val="00DC3CDE"/>
    <w:rsid w:val="00DC3D2B"/>
    <w:rsid w:val="00DC3D6F"/>
    <w:rsid w:val="00DC3F5B"/>
    <w:rsid w:val="00DC4355"/>
    <w:rsid w:val="00DC43E7"/>
    <w:rsid w:val="00DC4423"/>
    <w:rsid w:val="00DC4548"/>
    <w:rsid w:val="00DC461E"/>
    <w:rsid w:val="00DC47D6"/>
    <w:rsid w:val="00DC49BB"/>
    <w:rsid w:val="00DC4D01"/>
    <w:rsid w:val="00DC4EB1"/>
    <w:rsid w:val="00DC5242"/>
    <w:rsid w:val="00DC552F"/>
    <w:rsid w:val="00DC5581"/>
    <w:rsid w:val="00DC563C"/>
    <w:rsid w:val="00DC58FA"/>
    <w:rsid w:val="00DC5C79"/>
    <w:rsid w:val="00DC5F1E"/>
    <w:rsid w:val="00DC62B8"/>
    <w:rsid w:val="00DC686B"/>
    <w:rsid w:val="00DC6910"/>
    <w:rsid w:val="00DC69B3"/>
    <w:rsid w:val="00DC6D00"/>
    <w:rsid w:val="00DC6E83"/>
    <w:rsid w:val="00DC7034"/>
    <w:rsid w:val="00DC711C"/>
    <w:rsid w:val="00DC716F"/>
    <w:rsid w:val="00DC7304"/>
    <w:rsid w:val="00DC738E"/>
    <w:rsid w:val="00DC73F7"/>
    <w:rsid w:val="00DC76E6"/>
    <w:rsid w:val="00DC7756"/>
    <w:rsid w:val="00DC7B6D"/>
    <w:rsid w:val="00DC7BE0"/>
    <w:rsid w:val="00DC7C36"/>
    <w:rsid w:val="00DC7E5B"/>
    <w:rsid w:val="00DC860A"/>
    <w:rsid w:val="00DD0017"/>
    <w:rsid w:val="00DD003E"/>
    <w:rsid w:val="00DD0057"/>
    <w:rsid w:val="00DD0255"/>
    <w:rsid w:val="00DD0316"/>
    <w:rsid w:val="00DD0408"/>
    <w:rsid w:val="00DD04ED"/>
    <w:rsid w:val="00DD068B"/>
    <w:rsid w:val="00DD07D3"/>
    <w:rsid w:val="00DD0A25"/>
    <w:rsid w:val="00DD0B2B"/>
    <w:rsid w:val="00DD0C70"/>
    <w:rsid w:val="00DD0DC2"/>
    <w:rsid w:val="00DD0EFD"/>
    <w:rsid w:val="00DD1004"/>
    <w:rsid w:val="00DD141D"/>
    <w:rsid w:val="00DD1440"/>
    <w:rsid w:val="00DD152C"/>
    <w:rsid w:val="00DD187D"/>
    <w:rsid w:val="00DD18D7"/>
    <w:rsid w:val="00DD19A7"/>
    <w:rsid w:val="00DD1CE9"/>
    <w:rsid w:val="00DD1D7F"/>
    <w:rsid w:val="00DD1E64"/>
    <w:rsid w:val="00DD1F96"/>
    <w:rsid w:val="00DD2229"/>
    <w:rsid w:val="00DD26C9"/>
    <w:rsid w:val="00DD2E6D"/>
    <w:rsid w:val="00DD2FDC"/>
    <w:rsid w:val="00DD30C8"/>
    <w:rsid w:val="00DD3135"/>
    <w:rsid w:val="00DD3343"/>
    <w:rsid w:val="00DD337E"/>
    <w:rsid w:val="00DD3732"/>
    <w:rsid w:val="00DD3974"/>
    <w:rsid w:val="00DD3BFA"/>
    <w:rsid w:val="00DD3F45"/>
    <w:rsid w:val="00DD40AE"/>
    <w:rsid w:val="00DD40DE"/>
    <w:rsid w:val="00DD40E4"/>
    <w:rsid w:val="00DD417B"/>
    <w:rsid w:val="00DD41B4"/>
    <w:rsid w:val="00DD4209"/>
    <w:rsid w:val="00DD44AC"/>
    <w:rsid w:val="00DD4653"/>
    <w:rsid w:val="00DD47C5"/>
    <w:rsid w:val="00DD4AF6"/>
    <w:rsid w:val="00DD4B1C"/>
    <w:rsid w:val="00DD4D6F"/>
    <w:rsid w:val="00DD4E45"/>
    <w:rsid w:val="00DD50FE"/>
    <w:rsid w:val="00DD529A"/>
    <w:rsid w:val="00DD5364"/>
    <w:rsid w:val="00DD53C6"/>
    <w:rsid w:val="00DD56BC"/>
    <w:rsid w:val="00DD57EE"/>
    <w:rsid w:val="00DD5A2C"/>
    <w:rsid w:val="00DD5A53"/>
    <w:rsid w:val="00DD5A62"/>
    <w:rsid w:val="00DD5E6F"/>
    <w:rsid w:val="00DD615D"/>
    <w:rsid w:val="00DD6171"/>
    <w:rsid w:val="00DD61CD"/>
    <w:rsid w:val="00DD668A"/>
    <w:rsid w:val="00DD676A"/>
    <w:rsid w:val="00DD68FE"/>
    <w:rsid w:val="00DD6936"/>
    <w:rsid w:val="00DD69F8"/>
    <w:rsid w:val="00DD6A5C"/>
    <w:rsid w:val="00DD6ADC"/>
    <w:rsid w:val="00DD7241"/>
    <w:rsid w:val="00DD7274"/>
    <w:rsid w:val="00DD72BB"/>
    <w:rsid w:val="00DD7341"/>
    <w:rsid w:val="00DD74C1"/>
    <w:rsid w:val="00DD755E"/>
    <w:rsid w:val="00DD7698"/>
    <w:rsid w:val="00DD77A3"/>
    <w:rsid w:val="00DD7850"/>
    <w:rsid w:val="00DD7A73"/>
    <w:rsid w:val="00DD7BF5"/>
    <w:rsid w:val="00DD7DA5"/>
    <w:rsid w:val="00DD7DD4"/>
    <w:rsid w:val="00DE053E"/>
    <w:rsid w:val="00DE07DA"/>
    <w:rsid w:val="00DE07DC"/>
    <w:rsid w:val="00DE0CDE"/>
    <w:rsid w:val="00DE0FFE"/>
    <w:rsid w:val="00DE13CF"/>
    <w:rsid w:val="00DE14CA"/>
    <w:rsid w:val="00DE152F"/>
    <w:rsid w:val="00DE16DF"/>
    <w:rsid w:val="00DE1888"/>
    <w:rsid w:val="00DE1A09"/>
    <w:rsid w:val="00DE1B1B"/>
    <w:rsid w:val="00DE1B9A"/>
    <w:rsid w:val="00DE1CC6"/>
    <w:rsid w:val="00DE1CF6"/>
    <w:rsid w:val="00DE1F64"/>
    <w:rsid w:val="00DE20BA"/>
    <w:rsid w:val="00DE2200"/>
    <w:rsid w:val="00DE25DC"/>
    <w:rsid w:val="00DE276F"/>
    <w:rsid w:val="00DE2845"/>
    <w:rsid w:val="00DE2876"/>
    <w:rsid w:val="00DE28C3"/>
    <w:rsid w:val="00DE2B51"/>
    <w:rsid w:val="00DE2B7D"/>
    <w:rsid w:val="00DE2BEC"/>
    <w:rsid w:val="00DE2D88"/>
    <w:rsid w:val="00DE2E51"/>
    <w:rsid w:val="00DE2F37"/>
    <w:rsid w:val="00DE3119"/>
    <w:rsid w:val="00DE321B"/>
    <w:rsid w:val="00DE3721"/>
    <w:rsid w:val="00DE3860"/>
    <w:rsid w:val="00DE39FD"/>
    <w:rsid w:val="00DE3C92"/>
    <w:rsid w:val="00DE3CEF"/>
    <w:rsid w:val="00DE3DD3"/>
    <w:rsid w:val="00DE3E43"/>
    <w:rsid w:val="00DE4020"/>
    <w:rsid w:val="00DE4299"/>
    <w:rsid w:val="00DE430D"/>
    <w:rsid w:val="00DE4601"/>
    <w:rsid w:val="00DE4770"/>
    <w:rsid w:val="00DE4951"/>
    <w:rsid w:val="00DE499B"/>
    <w:rsid w:val="00DE4B10"/>
    <w:rsid w:val="00DE4D9E"/>
    <w:rsid w:val="00DE5262"/>
    <w:rsid w:val="00DE5425"/>
    <w:rsid w:val="00DE5450"/>
    <w:rsid w:val="00DE577E"/>
    <w:rsid w:val="00DE5D33"/>
    <w:rsid w:val="00DE5FEE"/>
    <w:rsid w:val="00DE6217"/>
    <w:rsid w:val="00DE63EF"/>
    <w:rsid w:val="00DE63F5"/>
    <w:rsid w:val="00DE65A0"/>
    <w:rsid w:val="00DE6704"/>
    <w:rsid w:val="00DE6709"/>
    <w:rsid w:val="00DE67C2"/>
    <w:rsid w:val="00DE689F"/>
    <w:rsid w:val="00DE6C92"/>
    <w:rsid w:val="00DE6D47"/>
    <w:rsid w:val="00DE6E08"/>
    <w:rsid w:val="00DE6E36"/>
    <w:rsid w:val="00DE6FBD"/>
    <w:rsid w:val="00DE71B9"/>
    <w:rsid w:val="00DE7281"/>
    <w:rsid w:val="00DE729F"/>
    <w:rsid w:val="00DE72D8"/>
    <w:rsid w:val="00DE736B"/>
    <w:rsid w:val="00DE73ED"/>
    <w:rsid w:val="00DE7606"/>
    <w:rsid w:val="00DE77B1"/>
    <w:rsid w:val="00DE78E5"/>
    <w:rsid w:val="00DE7BC8"/>
    <w:rsid w:val="00DE7CAC"/>
    <w:rsid w:val="00DEB875"/>
    <w:rsid w:val="00DF0158"/>
    <w:rsid w:val="00DF018F"/>
    <w:rsid w:val="00DF02FE"/>
    <w:rsid w:val="00DF037E"/>
    <w:rsid w:val="00DF064F"/>
    <w:rsid w:val="00DF0898"/>
    <w:rsid w:val="00DF09BB"/>
    <w:rsid w:val="00DF0ACC"/>
    <w:rsid w:val="00DF0E46"/>
    <w:rsid w:val="00DF1091"/>
    <w:rsid w:val="00DF1275"/>
    <w:rsid w:val="00DF18C6"/>
    <w:rsid w:val="00DF1980"/>
    <w:rsid w:val="00DF1A83"/>
    <w:rsid w:val="00DF1AE6"/>
    <w:rsid w:val="00DF1C55"/>
    <w:rsid w:val="00DF1D46"/>
    <w:rsid w:val="00DF2225"/>
    <w:rsid w:val="00DF24F9"/>
    <w:rsid w:val="00DF2563"/>
    <w:rsid w:val="00DF270F"/>
    <w:rsid w:val="00DF2A65"/>
    <w:rsid w:val="00DF2C0B"/>
    <w:rsid w:val="00DF2F45"/>
    <w:rsid w:val="00DF30A9"/>
    <w:rsid w:val="00DF314E"/>
    <w:rsid w:val="00DF3321"/>
    <w:rsid w:val="00DF34F4"/>
    <w:rsid w:val="00DF38A0"/>
    <w:rsid w:val="00DF3E56"/>
    <w:rsid w:val="00DF4174"/>
    <w:rsid w:val="00DF42E5"/>
    <w:rsid w:val="00DF468C"/>
    <w:rsid w:val="00DF46D1"/>
    <w:rsid w:val="00DF4872"/>
    <w:rsid w:val="00DF4873"/>
    <w:rsid w:val="00DF4B84"/>
    <w:rsid w:val="00DF4CF7"/>
    <w:rsid w:val="00DF4EDA"/>
    <w:rsid w:val="00DF4EEB"/>
    <w:rsid w:val="00DF4F05"/>
    <w:rsid w:val="00DF5320"/>
    <w:rsid w:val="00DF5374"/>
    <w:rsid w:val="00DF5417"/>
    <w:rsid w:val="00DF5506"/>
    <w:rsid w:val="00DF559D"/>
    <w:rsid w:val="00DF560B"/>
    <w:rsid w:val="00DF56A7"/>
    <w:rsid w:val="00DF5B66"/>
    <w:rsid w:val="00DF5CA6"/>
    <w:rsid w:val="00DF5DA7"/>
    <w:rsid w:val="00DF5ECE"/>
    <w:rsid w:val="00DF6272"/>
    <w:rsid w:val="00DF6595"/>
    <w:rsid w:val="00DF65AA"/>
    <w:rsid w:val="00DF6892"/>
    <w:rsid w:val="00DF6893"/>
    <w:rsid w:val="00DF6909"/>
    <w:rsid w:val="00DF6951"/>
    <w:rsid w:val="00DF6EF3"/>
    <w:rsid w:val="00DF7118"/>
    <w:rsid w:val="00DF715E"/>
    <w:rsid w:val="00DF71D7"/>
    <w:rsid w:val="00DF74B0"/>
    <w:rsid w:val="00DF76A9"/>
    <w:rsid w:val="00DF76C6"/>
    <w:rsid w:val="00DF778B"/>
    <w:rsid w:val="00DF7B27"/>
    <w:rsid w:val="00DFFBC4"/>
    <w:rsid w:val="00E00247"/>
    <w:rsid w:val="00E00560"/>
    <w:rsid w:val="00E009D5"/>
    <w:rsid w:val="00E00CBF"/>
    <w:rsid w:val="00E00D90"/>
    <w:rsid w:val="00E01277"/>
    <w:rsid w:val="00E012D5"/>
    <w:rsid w:val="00E013E0"/>
    <w:rsid w:val="00E0168D"/>
    <w:rsid w:val="00E0179F"/>
    <w:rsid w:val="00E0187F"/>
    <w:rsid w:val="00E01F34"/>
    <w:rsid w:val="00E02133"/>
    <w:rsid w:val="00E0239B"/>
    <w:rsid w:val="00E027A4"/>
    <w:rsid w:val="00E02840"/>
    <w:rsid w:val="00E0296F"/>
    <w:rsid w:val="00E029CF"/>
    <w:rsid w:val="00E02B90"/>
    <w:rsid w:val="00E02C38"/>
    <w:rsid w:val="00E02EA3"/>
    <w:rsid w:val="00E0309C"/>
    <w:rsid w:val="00E03148"/>
    <w:rsid w:val="00E03B43"/>
    <w:rsid w:val="00E03E6C"/>
    <w:rsid w:val="00E0401E"/>
    <w:rsid w:val="00E0425B"/>
    <w:rsid w:val="00E044D2"/>
    <w:rsid w:val="00E04828"/>
    <w:rsid w:val="00E049BB"/>
    <w:rsid w:val="00E049FD"/>
    <w:rsid w:val="00E04C58"/>
    <w:rsid w:val="00E050B9"/>
    <w:rsid w:val="00E05106"/>
    <w:rsid w:val="00E054B7"/>
    <w:rsid w:val="00E05706"/>
    <w:rsid w:val="00E05B2E"/>
    <w:rsid w:val="00E05CCB"/>
    <w:rsid w:val="00E05EFD"/>
    <w:rsid w:val="00E0604E"/>
    <w:rsid w:val="00E064B0"/>
    <w:rsid w:val="00E064DF"/>
    <w:rsid w:val="00E0678F"/>
    <w:rsid w:val="00E06806"/>
    <w:rsid w:val="00E068A3"/>
    <w:rsid w:val="00E069E6"/>
    <w:rsid w:val="00E06A02"/>
    <w:rsid w:val="00E06D0B"/>
    <w:rsid w:val="00E06EBA"/>
    <w:rsid w:val="00E06F15"/>
    <w:rsid w:val="00E06FAE"/>
    <w:rsid w:val="00E07B08"/>
    <w:rsid w:val="00E07B2D"/>
    <w:rsid w:val="00E07B5C"/>
    <w:rsid w:val="00E07B97"/>
    <w:rsid w:val="00E100B3"/>
    <w:rsid w:val="00E1092E"/>
    <w:rsid w:val="00E109AC"/>
    <w:rsid w:val="00E10B76"/>
    <w:rsid w:val="00E10B77"/>
    <w:rsid w:val="00E10D87"/>
    <w:rsid w:val="00E10E3A"/>
    <w:rsid w:val="00E110A0"/>
    <w:rsid w:val="00E11129"/>
    <w:rsid w:val="00E1114B"/>
    <w:rsid w:val="00E111BF"/>
    <w:rsid w:val="00E112A4"/>
    <w:rsid w:val="00E1143B"/>
    <w:rsid w:val="00E114B5"/>
    <w:rsid w:val="00E115AE"/>
    <w:rsid w:val="00E115C7"/>
    <w:rsid w:val="00E11969"/>
    <w:rsid w:val="00E11A3A"/>
    <w:rsid w:val="00E11C3D"/>
    <w:rsid w:val="00E11D35"/>
    <w:rsid w:val="00E11DF0"/>
    <w:rsid w:val="00E12084"/>
    <w:rsid w:val="00E12261"/>
    <w:rsid w:val="00E124DE"/>
    <w:rsid w:val="00E12556"/>
    <w:rsid w:val="00E125CA"/>
    <w:rsid w:val="00E12634"/>
    <w:rsid w:val="00E1273D"/>
    <w:rsid w:val="00E128BB"/>
    <w:rsid w:val="00E128DD"/>
    <w:rsid w:val="00E128E3"/>
    <w:rsid w:val="00E12FBF"/>
    <w:rsid w:val="00E13281"/>
    <w:rsid w:val="00E132AB"/>
    <w:rsid w:val="00E1330D"/>
    <w:rsid w:val="00E13332"/>
    <w:rsid w:val="00E1340E"/>
    <w:rsid w:val="00E13482"/>
    <w:rsid w:val="00E1350F"/>
    <w:rsid w:val="00E1371A"/>
    <w:rsid w:val="00E13A55"/>
    <w:rsid w:val="00E13BF0"/>
    <w:rsid w:val="00E13D3E"/>
    <w:rsid w:val="00E13D4B"/>
    <w:rsid w:val="00E13D73"/>
    <w:rsid w:val="00E14037"/>
    <w:rsid w:val="00E14351"/>
    <w:rsid w:val="00E144D9"/>
    <w:rsid w:val="00E14615"/>
    <w:rsid w:val="00E14656"/>
    <w:rsid w:val="00E14AD7"/>
    <w:rsid w:val="00E14BF0"/>
    <w:rsid w:val="00E14D26"/>
    <w:rsid w:val="00E1528A"/>
    <w:rsid w:val="00E15672"/>
    <w:rsid w:val="00E15805"/>
    <w:rsid w:val="00E1589C"/>
    <w:rsid w:val="00E15BE9"/>
    <w:rsid w:val="00E16029"/>
    <w:rsid w:val="00E16106"/>
    <w:rsid w:val="00E16311"/>
    <w:rsid w:val="00E1645F"/>
    <w:rsid w:val="00E167A4"/>
    <w:rsid w:val="00E168E3"/>
    <w:rsid w:val="00E16B4B"/>
    <w:rsid w:val="00E16F71"/>
    <w:rsid w:val="00E17158"/>
    <w:rsid w:val="00E17431"/>
    <w:rsid w:val="00E17993"/>
    <w:rsid w:val="00E17A2E"/>
    <w:rsid w:val="00E17F26"/>
    <w:rsid w:val="00E1F2C0"/>
    <w:rsid w:val="00E1F5AE"/>
    <w:rsid w:val="00E205B2"/>
    <w:rsid w:val="00E205D7"/>
    <w:rsid w:val="00E205F9"/>
    <w:rsid w:val="00E20A08"/>
    <w:rsid w:val="00E20BBE"/>
    <w:rsid w:val="00E20C82"/>
    <w:rsid w:val="00E211B1"/>
    <w:rsid w:val="00E2126D"/>
    <w:rsid w:val="00E21A6F"/>
    <w:rsid w:val="00E21D86"/>
    <w:rsid w:val="00E21D91"/>
    <w:rsid w:val="00E21E10"/>
    <w:rsid w:val="00E21F11"/>
    <w:rsid w:val="00E21FE0"/>
    <w:rsid w:val="00E220EA"/>
    <w:rsid w:val="00E221C1"/>
    <w:rsid w:val="00E223C0"/>
    <w:rsid w:val="00E2267F"/>
    <w:rsid w:val="00E22727"/>
    <w:rsid w:val="00E22750"/>
    <w:rsid w:val="00E22A08"/>
    <w:rsid w:val="00E22A5F"/>
    <w:rsid w:val="00E22B6B"/>
    <w:rsid w:val="00E22B89"/>
    <w:rsid w:val="00E22D25"/>
    <w:rsid w:val="00E22DB9"/>
    <w:rsid w:val="00E230EF"/>
    <w:rsid w:val="00E232D8"/>
    <w:rsid w:val="00E23307"/>
    <w:rsid w:val="00E23326"/>
    <w:rsid w:val="00E23561"/>
    <w:rsid w:val="00E238CC"/>
    <w:rsid w:val="00E23AE7"/>
    <w:rsid w:val="00E23E8C"/>
    <w:rsid w:val="00E23EAF"/>
    <w:rsid w:val="00E24488"/>
    <w:rsid w:val="00E24521"/>
    <w:rsid w:val="00E2457D"/>
    <w:rsid w:val="00E24654"/>
    <w:rsid w:val="00E24A1A"/>
    <w:rsid w:val="00E24BB3"/>
    <w:rsid w:val="00E24CAD"/>
    <w:rsid w:val="00E24EA6"/>
    <w:rsid w:val="00E25128"/>
    <w:rsid w:val="00E2560B"/>
    <w:rsid w:val="00E256C5"/>
    <w:rsid w:val="00E257B6"/>
    <w:rsid w:val="00E25A92"/>
    <w:rsid w:val="00E25AA9"/>
    <w:rsid w:val="00E25AE8"/>
    <w:rsid w:val="00E25DA6"/>
    <w:rsid w:val="00E261F5"/>
    <w:rsid w:val="00E26719"/>
    <w:rsid w:val="00E2676A"/>
    <w:rsid w:val="00E26A04"/>
    <w:rsid w:val="00E26A92"/>
    <w:rsid w:val="00E26AB5"/>
    <w:rsid w:val="00E26B26"/>
    <w:rsid w:val="00E26B82"/>
    <w:rsid w:val="00E26CFC"/>
    <w:rsid w:val="00E27139"/>
    <w:rsid w:val="00E27389"/>
    <w:rsid w:val="00E2747B"/>
    <w:rsid w:val="00E274F2"/>
    <w:rsid w:val="00E27665"/>
    <w:rsid w:val="00E278B6"/>
    <w:rsid w:val="00E279F0"/>
    <w:rsid w:val="00E27CF8"/>
    <w:rsid w:val="00E27D78"/>
    <w:rsid w:val="00E27DC6"/>
    <w:rsid w:val="00E2F654"/>
    <w:rsid w:val="00E30085"/>
    <w:rsid w:val="00E3014B"/>
    <w:rsid w:val="00E3020C"/>
    <w:rsid w:val="00E3061F"/>
    <w:rsid w:val="00E30802"/>
    <w:rsid w:val="00E30C0C"/>
    <w:rsid w:val="00E30EB7"/>
    <w:rsid w:val="00E30EB8"/>
    <w:rsid w:val="00E3113F"/>
    <w:rsid w:val="00E3133E"/>
    <w:rsid w:val="00E31923"/>
    <w:rsid w:val="00E31B2E"/>
    <w:rsid w:val="00E31BA6"/>
    <w:rsid w:val="00E31CC7"/>
    <w:rsid w:val="00E32131"/>
    <w:rsid w:val="00E321FE"/>
    <w:rsid w:val="00E32416"/>
    <w:rsid w:val="00E324F5"/>
    <w:rsid w:val="00E327BE"/>
    <w:rsid w:val="00E32853"/>
    <w:rsid w:val="00E328F8"/>
    <w:rsid w:val="00E32C44"/>
    <w:rsid w:val="00E32D28"/>
    <w:rsid w:val="00E32DE9"/>
    <w:rsid w:val="00E32E86"/>
    <w:rsid w:val="00E33404"/>
    <w:rsid w:val="00E33471"/>
    <w:rsid w:val="00E3368A"/>
    <w:rsid w:val="00E3375A"/>
    <w:rsid w:val="00E337F9"/>
    <w:rsid w:val="00E33AAF"/>
    <w:rsid w:val="00E33C24"/>
    <w:rsid w:val="00E33E68"/>
    <w:rsid w:val="00E33F66"/>
    <w:rsid w:val="00E3410F"/>
    <w:rsid w:val="00E343BB"/>
    <w:rsid w:val="00E343EB"/>
    <w:rsid w:val="00E344AD"/>
    <w:rsid w:val="00E344BF"/>
    <w:rsid w:val="00E344DE"/>
    <w:rsid w:val="00E34622"/>
    <w:rsid w:val="00E34BF9"/>
    <w:rsid w:val="00E34E78"/>
    <w:rsid w:val="00E34F83"/>
    <w:rsid w:val="00E34FAC"/>
    <w:rsid w:val="00E3525E"/>
    <w:rsid w:val="00E353A8"/>
    <w:rsid w:val="00E356B3"/>
    <w:rsid w:val="00E35A7C"/>
    <w:rsid w:val="00E35B29"/>
    <w:rsid w:val="00E35C22"/>
    <w:rsid w:val="00E35EA9"/>
    <w:rsid w:val="00E35FFC"/>
    <w:rsid w:val="00E36019"/>
    <w:rsid w:val="00E361D9"/>
    <w:rsid w:val="00E3625C"/>
    <w:rsid w:val="00E3653B"/>
    <w:rsid w:val="00E3667F"/>
    <w:rsid w:val="00E3671D"/>
    <w:rsid w:val="00E3674D"/>
    <w:rsid w:val="00E36CBF"/>
    <w:rsid w:val="00E36D83"/>
    <w:rsid w:val="00E36DCC"/>
    <w:rsid w:val="00E36ED4"/>
    <w:rsid w:val="00E37048"/>
    <w:rsid w:val="00E3717E"/>
    <w:rsid w:val="00E37452"/>
    <w:rsid w:val="00E37807"/>
    <w:rsid w:val="00E37962"/>
    <w:rsid w:val="00E37CC6"/>
    <w:rsid w:val="00E37ED4"/>
    <w:rsid w:val="00E37FF1"/>
    <w:rsid w:val="00E40025"/>
    <w:rsid w:val="00E402F5"/>
    <w:rsid w:val="00E40626"/>
    <w:rsid w:val="00E406C9"/>
    <w:rsid w:val="00E406FA"/>
    <w:rsid w:val="00E40710"/>
    <w:rsid w:val="00E407D3"/>
    <w:rsid w:val="00E408B1"/>
    <w:rsid w:val="00E40B01"/>
    <w:rsid w:val="00E40C6F"/>
    <w:rsid w:val="00E4107F"/>
    <w:rsid w:val="00E410C4"/>
    <w:rsid w:val="00E41297"/>
    <w:rsid w:val="00E412BF"/>
    <w:rsid w:val="00E415E2"/>
    <w:rsid w:val="00E41724"/>
    <w:rsid w:val="00E41A7F"/>
    <w:rsid w:val="00E41E6B"/>
    <w:rsid w:val="00E41E72"/>
    <w:rsid w:val="00E424DE"/>
    <w:rsid w:val="00E42675"/>
    <w:rsid w:val="00E4274C"/>
    <w:rsid w:val="00E42951"/>
    <w:rsid w:val="00E42CA6"/>
    <w:rsid w:val="00E42CFA"/>
    <w:rsid w:val="00E42D8A"/>
    <w:rsid w:val="00E42E83"/>
    <w:rsid w:val="00E43319"/>
    <w:rsid w:val="00E434F4"/>
    <w:rsid w:val="00E43D5B"/>
    <w:rsid w:val="00E4413C"/>
    <w:rsid w:val="00E44ACF"/>
    <w:rsid w:val="00E44E95"/>
    <w:rsid w:val="00E44FC1"/>
    <w:rsid w:val="00E45034"/>
    <w:rsid w:val="00E454C6"/>
    <w:rsid w:val="00E455FB"/>
    <w:rsid w:val="00E45715"/>
    <w:rsid w:val="00E457A1"/>
    <w:rsid w:val="00E458BF"/>
    <w:rsid w:val="00E45A11"/>
    <w:rsid w:val="00E45D41"/>
    <w:rsid w:val="00E45DA6"/>
    <w:rsid w:val="00E45DC2"/>
    <w:rsid w:val="00E45DC9"/>
    <w:rsid w:val="00E45EDE"/>
    <w:rsid w:val="00E45FD6"/>
    <w:rsid w:val="00E46030"/>
    <w:rsid w:val="00E4610E"/>
    <w:rsid w:val="00E46209"/>
    <w:rsid w:val="00E462C1"/>
    <w:rsid w:val="00E462EB"/>
    <w:rsid w:val="00E46304"/>
    <w:rsid w:val="00E4645E"/>
    <w:rsid w:val="00E4656B"/>
    <w:rsid w:val="00E4658F"/>
    <w:rsid w:val="00E4661F"/>
    <w:rsid w:val="00E4667A"/>
    <w:rsid w:val="00E46700"/>
    <w:rsid w:val="00E46775"/>
    <w:rsid w:val="00E468B0"/>
    <w:rsid w:val="00E46D87"/>
    <w:rsid w:val="00E46F83"/>
    <w:rsid w:val="00E46F8B"/>
    <w:rsid w:val="00E4737C"/>
    <w:rsid w:val="00E475C2"/>
    <w:rsid w:val="00E47748"/>
    <w:rsid w:val="00E4796C"/>
    <w:rsid w:val="00E47B1E"/>
    <w:rsid w:val="00E47BB5"/>
    <w:rsid w:val="00E47C8F"/>
    <w:rsid w:val="00E47CF1"/>
    <w:rsid w:val="00E47D59"/>
    <w:rsid w:val="00E47E73"/>
    <w:rsid w:val="00E47F0F"/>
    <w:rsid w:val="00E50106"/>
    <w:rsid w:val="00E50131"/>
    <w:rsid w:val="00E50314"/>
    <w:rsid w:val="00E503AB"/>
    <w:rsid w:val="00E505EC"/>
    <w:rsid w:val="00E50881"/>
    <w:rsid w:val="00E50B6B"/>
    <w:rsid w:val="00E511FE"/>
    <w:rsid w:val="00E51400"/>
    <w:rsid w:val="00E51511"/>
    <w:rsid w:val="00E51764"/>
    <w:rsid w:val="00E519FB"/>
    <w:rsid w:val="00E51CEE"/>
    <w:rsid w:val="00E51D02"/>
    <w:rsid w:val="00E51DBF"/>
    <w:rsid w:val="00E51DFE"/>
    <w:rsid w:val="00E51EFE"/>
    <w:rsid w:val="00E51FEA"/>
    <w:rsid w:val="00E520B8"/>
    <w:rsid w:val="00E52234"/>
    <w:rsid w:val="00E525A0"/>
    <w:rsid w:val="00E52D6F"/>
    <w:rsid w:val="00E52DF4"/>
    <w:rsid w:val="00E52F35"/>
    <w:rsid w:val="00E5309B"/>
    <w:rsid w:val="00E53134"/>
    <w:rsid w:val="00E531D0"/>
    <w:rsid w:val="00E5362F"/>
    <w:rsid w:val="00E53829"/>
    <w:rsid w:val="00E53B85"/>
    <w:rsid w:val="00E53BC1"/>
    <w:rsid w:val="00E53D98"/>
    <w:rsid w:val="00E53E85"/>
    <w:rsid w:val="00E53FFE"/>
    <w:rsid w:val="00E540AF"/>
    <w:rsid w:val="00E54177"/>
    <w:rsid w:val="00E54255"/>
    <w:rsid w:val="00E54342"/>
    <w:rsid w:val="00E5437E"/>
    <w:rsid w:val="00E543A1"/>
    <w:rsid w:val="00E54586"/>
    <w:rsid w:val="00E548AF"/>
    <w:rsid w:val="00E549EE"/>
    <w:rsid w:val="00E54D0E"/>
    <w:rsid w:val="00E54DAF"/>
    <w:rsid w:val="00E54E40"/>
    <w:rsid w:val="00E54EA5"/>
    <w:rsid w:val="00E54FEA"/>
    <w:rsid w:val="00E55464"/>
    <w:rsid w:val="00E55643"/>
    <w:rsid w:val="00E55A0B"/>
    <w:rsid w:val="00E55C33"/>
    <w:rsid w:val="00E55EB5"/>
    <w:rsid w:val="00E55EB9"/>
    <w:rsid w:val="00E560A6"/>
    <w:rsid w:val="00E561A4"/>
    <w:rsid w:val="00E56754"/>
    <w:rsid w:val="00E56773"/>
    <w:rsid w:val="00E56863"/>
    <w:rsid w:val="00E569B6"/>
    <w:rsid w:val="00E56A33"/>
    <w:rsid w:val="00E56A85"/>
    <w:rsid w:val="00E56D98"/>
    <w:rsid w:val="00E56E74"/>
    <w:rsid w:val="00E5736D"/>
    <w:rsid w:val="00E573BB"/>
    <w:rsid w:val="00E57600"/>
    <w:rsid w:val="00E5761E"/>
    <w:rsid w:val="00E577CD"/>
    <w:rsid w:val="00E57805"/>
    <w:rsid w:val="00E57E45"/>
    <w:rsid w:val="00E60102"/>
    <w:rsid w:val="00E60370"/>
    <w:rsid w:val="00E60546"/>
    <w:rsid w:val="00E6068C"/>
    <w:rsid w:val="00E608CB"/>
    <w:rsid w:val="00E60B83"/>
    <w:rsid w:val="00E60CAB"/>
    <w:rsid w:val="00E60F89"/>
    <w:rsid w:val="00E615FE"/>
    <w:rsid w:val="00E61A68"/>
    <w:rsid w:val="00E61A8C"/>
    <w:rsid w:val="00E61AB8"/>
    <w:rsid w:val="00E61B61"/>
    <w:rsid w:val="00E62159"/>
    <w:rsid w:val="00E6219A"/>
    <w:rsid w:val="00E62394"/>
    <w:rsid w:val="00E627D8"/>
    <w:rsid w:val="00E629B7"/>
    <w:rsid w:val="00E62CE3"/>
    <w:rsid w:val="00E62EC6"/>
    <w:rsid w:val="00E62F6B"/>
    <w:rsid w:val="00E63077"/>
    <w:rsid w:val="00E6313F"/>
    <w:rsid w:val="00E631A1"/>
    <w:rsid w:val="00E63299"/>
    <w:rsid w:val="00E633AC"/>
    <w:rsid w:val="00E634AD"/>
    <w:rsid w:val="00E6352F"/>
    <w:rsid w:val="00E6367D"/>
    <w:rsid w:val="00E637C7"/>
    <w:rsid w:val="00E639DF"/>
    <w:rsid w:val="00E63BC9"/>
    <w:rsid w:val="00E63C65"/>
    <w:rsid w:val="00E63CE9"/>
    <w:rsid w:val="00E63DFD"/>
    <w:rsid w:val="00E63E9D"/>
    <w:rsid w:val="00E63F0B"/>
    <w:rsid w:val="00E63F0E"/>
    <w:rsid w:val="00E64141"/>
    <w:rsid w:val="00E641CF"/>
    <w:rsid w:val="00E641ED"/>
    <w:rsid w:val="00E64203"/>
    <w:rsid w:val="00E643AF"/>
    <w:rsid w:val="00E6453F"/>
    <w:rsid w:val="00E64612"/>
    <w:rsid w:val="00E6464A"/>
    <w:rsid w:val="00E646DD"/>
    <w:rsid w:val="00E64856"/>
    <w:rsid w:val="00E64D0C"/>
    <w:rsid w:val="00E64D85"/>
    <w:rsid w:val="00E64DF7"/>
    <w:rsid w:val="00E64E8B"/>
    <w:rsid w:val="00E653EF"/>
    <w:rsid w:val="00E654D4"/>
    <w:rsid w:val="00E65568"/>
    <w:rsid w:val="00E65884"/>
    <w:rsid w:val="00E659E1"/>
    <w:rsid w:val="00E65A2B"/>
    <w:rsid w:val="00E65B58"/>
    <w:rsid w:val="00E65B73"/>
    <w:rsid w:val="00E65FFD"/>
    <w:rsid w:val="00E6614E"/>
    <w:rsid w:val="00E662EF"/>
    <w:rsid w:val="00E6635D"/>
    <w:rsid w:val="00E66643"/>
    <w:rsid w:val="00E6686D"/>
    <w:rsid w:val="00E66AA6"/>
    <w:rsid w:val="00E66ADC"/>
    <w:rsid w:val="00E6765B"/>
    <w:rsid w:val="00E67763"/>
    <w:rsid w:val="00E6779C"/>
    <w:rsid w:val="00E677FE"/>
    <w:rsid w:val="00E679E1"/>
    <w:rsid w:val="00E67B26"/>
    <w:rsid w:val="00E70178"/>
    <w:rsid w:val="00E70364"/>
    <w:rsid w:val="00E704BB"/>
    <w:rsid w:val="00E70C5F"/>
    <w:rsid w:val="00E713C1"/>
    <w:rsid w:val="00E71761"/>
    <w:rsid w:val="00E718EF"/>
    <w:rsid w:val="00E71AE8"/>
    <w:rsid w:val="00E720EE"/>
    <w:rsid w:val="00E7239C"/>
    <w:rsid w:val="00E729BA"/>
    <w:rsid w:val="00E72A56"/>
    <w:rsid w:val="00E73083"/>
    <w:rsid w:val="00E73151"/>
    <w:rsid w:val="00E73266"/>
    <w:rsid w:val="00E7342F"/>
    <w:rsid w:val="00E738C8"/>
    <w:rsid w:val="00E73988"/>
    <w:rsid w:val="00E73A26"/>
    <w:rsid w:val="00E73AC5"/>
    <w:rsid w:val="00E73B2E"/>
    <w:rsid w:val="00E73DBA"/>
    <w:rsid w:val="00E73E4E"/>
    <w:rsid w:val="00E7413E"/>
    <w:rsid w:val="00E74436"/>
    <w:rsid w:val="00E74439"/>
    <w:rsid w:val="00E744E7"/>
    <w:rsid w:val="00E74847"/>
    <w:rsid w:val="00E7496E"/>
    <w:rsid w:val="00E749D3"/>
    <w:rsid w:val="00E74A1E"/>
    <w:rsid w:val="00E74A85"/>
    <w:rsid w:val="00E74BBB"/>
    <w:rsid w:val="00E74C6F"/>
    <w:rsid w:val="00E7509C"/>
    <w:rsid w:val="00E75206"/>
    <w:rsid w:val="00E753B7"/>
    <w:rsid w:val="00E75A06"/>
    <w:rsid w:val="00E75AC6"/>
    <w:rsid w:val="00E75F4A"/>
    <w:rsid w:val="00E7600C"/>
    <w:rsid w:val="00E760ED"/>
    <w:rsid w:val="00E76402"/>
    <w:rsid w:val="00E76684"/>
    <w:rsid w:val="00E767DB"/>
    <w:rsid w:val="00E76944"/>
    <w:rsid w:val="00E76B32"/>
    <w:rsid w:val="00E76E14"/>
    <w:rsid w:val="00E76F0F"/>
    <w:rsid w:val="00E77841"/>
    <w:rsid w:val="00E778B6"/>
    <w:rsid w:val="00E779CF"/>
    <w:rsid w:val="00E77A88"/>
    <w:rsid w:val="00E77D7D"/>
    <w:rsid w:val="00E77F4B"/>
    <w:rsid w:val="00E803F4"/>
    <w:rsid w:val="00E8054F"/>
    <w:rsid w:val="00E8062B"/>
    <w:rsid w:val="00E80B29"/>
    <w:rsid w:val="00E80CCB"/>
    <w:rsid w:val="00E80D15"/>
    <w:rsid w:val="00E80DC4"/>
    <w:rsid w:val="00E80E0C"/>
    <w:rsid w:val="00E80F68"/>
    <w:rsid w:val="00E8101F"/>
    <w:rsid w:val="00E810F1"/>
    <w:rsid w:val="00E8123F"/>
    <w:rsid w:val="00E815BB"/>
    <w:rsid w:val="00E817AF"/>
    <w:rsid w:val="00E81807"/>
    <w:rsid w:val="00E81821"/>
    <w:rsid w:val="00E8185B"/>
    <w:rsid w:val="00E818CA"/>
    <w:rsid w:val="00E81906"/>
    <w:rsid w:val="00E81CC2"/>
    <w:rsid w:val="00E81D17"/>
    <w:rsid w:val="00E82389"/>
    <w:rsid w:val="00E82455"/>
    <w:rsid w:val="00E825F6"/>
    <w:rsid w:val="00E82801"/>
    <w:rsid w:val="00E82A85"/>
    <w:rsid w:val="00E82AAE"/>
    <w:rsid w:val="00E82AEE"/>
    <w:rsid w:val="00E82B31"/>
    <w:rsid w:val="00E82B64"/>
    <w:rsid w:val="00E82C93"/>
    <w:rsid w:val="00E82CC7"/>
    <w:rsid w:val="00E8310D"/>
    <w:rsid w:val="00E8313D"/>
    <w:rsid w:val="00E8321D"/>
    <w:rsid w:val="00E8322C"/>
    <w:rsid w:val="00E8344B"/>
    <w:rsid w:val="00E83621"/>
    <w:rsid w:val="00E83639"/>
    <w:rsid w:val="00E83A14"/>
    <w:rsid w:val="00E83B96"/>
    <w:rsid w:val="00E83C08"/>
    <w:rsid w:val="00E83C25"/>
    <w:rsid w:val="00E83C60"/>
    <w:rsid w:val="00E83D72"/>
    <w:rsid w:val="00E83F03"/>
    <w:rsid w:val="00E841BD"/>
    <w:rsid w:val="00E844E4"/>
    <w:rsid w:val="00E84AB9"/>
    <w:rsid w:val="00E84C05"/>
    <w:rsid w:val="00E84CA0"/>
    <w:rsid w:val="00E84CAD"/>
    <w:rsid w:val="00E84E3D"/>
    <w:rsid w:val="00E84F8B"/>
    <w:rsid w:val="00E85776"/>
    <w:rsid w:val="00E8592B"/>
    <w:rsid w:val="00E8595D"/>
    <w:rsid w:val="00E859BE"/>
    <w:rsid w:val="00E85A7E"/>
    <w:rsid w:val="00E85B45"/>
    <w:rsid w:val="00E85C2D"/>
    <w:rsid w:val="00E85CA2"/>
    <w:rsid w:val="00E85D43"/>
    <w:rsid w:val="00E85E96"/>
    <w:rsid w:val="00E86235"/>
    <w:rsid w:val="00E86402"/>
    <w:rsid w:val="00E86449"/>
    <w:rsid w:val="00E86695"/>
    <w:rsid w:val="00E86860"/>
    <w:rsid w:val="00E86AAF"/>
    <w:rsid w:val="00E86CAE"/>
    <w:rsid w:val="00E87441"/>
    <w:rsid w:val="00E87503"/>
    <w:rsid w:val="00E87627"/>
    <w:rsid w:val="00E87852"/>
    <w:rsid w:val="00E8793A"/>
    <w:rsid w:val="00E87E96"/>
    <w:rsid w:val="00E9041F"/>
    <w:rsid w:val="00E9043B"/>
    <w:rsid w:val="00E90A0B"/>
    <w:rsid w:val="00E90C8A"/>
    <w:rsid w:val="00E90CB2"/>
    <w:rsid w:val="00E90D5B"/>
    <w:rsid w:val="00E90F36"/>
    <w:rsid w:val="00E91383"/>
    <w:rsid w:val="00E915B0"/>
    <w:rsid w:val="00E9186B"/>
    <w:rsid w:val="00E91989"/>
    <w:rsid w:val="00E91A4E"/>
    <w:rsid w:val="00E91B23"/>
    <w:rsid w:val="00E91DF9"/>
    <w:rsid w:val="00E91F07"/>
    <w:rsid w:val="00E91F5A"/>
    <w:rsid w:val="00E91FEB"/>
    <w:rsid w:val="00E9202B"/>
    <w:rsid w:val="00E922E8"/>
    <w:rsid w:val="00E927A1"/>
    <w:rsid w:val="00E928BF"/>
    <w:rsid w:val="00E92990"/>
    <w:rsid w:val="00E92AA6"/>
    <w:rsid w:val="00E92AFE"/>
    <w:rsid w:val="00E92BEE"/>
    <w:rsid w:val="00E92E29"/>
    <w:rsid w:val="00E92F30"/>
    <w:rsid w:val="00E931DB"/>
    <w:rsid w:val="00E932A8"/>
    <w:rsid w:val="00E934E9"/>
    <w:rsid w:val="00E93714"/>
    <w:rsid w:val="00E938B7"/>
    <w:rsid w:val="00E9394B"/>
    <w:rsid w:val="00E93A4F"/>
    <w:rsid w:val="00E93AB7"/>
    <w:rsid w:val="00E93AF9"/>
    <w:rsid w:val="00E93D2C"/>
    <w:rsid w:val="00E93DD1"/>
    <w:rsid w:val="00E93EE9"/>
    <w:rsid w:val="00E9413D"/>
    <w:rsid w:val="00E9432E"/>
    <w:rsid w:val="00E943A3"/>
    <w:rsid w:val="00E94620"/>
    <w:rsid w:val="00E9468B"/>
    <w:rsid w:val="00E9469A"/>
    <w:rsid w:val="00E947DA"/>
    <w:rsid w:val="00E949F1"/>
    <w:rsid w:val="00E949F2"/>
    <w:rsid w:val="00E94B17"/>
    <w:rsid w:val="00E94E5B"/>
    <w:rsid w:val="00E94F94"/>
    <w:rsid w:val="00E950A4"/>
    <w:rsid w:val="00E958B3"/>
    <w:rsid w:val="00E95901"/>
    <w:rsid w:val="00E95B3E"/>
    <w:rsid w:val="00E96086"/>
    <w:rsid w:val="00E96154"/>
    <w:rsid w:val="00E96665"/>
    <w:rsid w:val="00E966FD"/>
    <w:rsid w:val="00E96933"/>
    <w:rsid w:val="00E969CD"/>
    <w:rsid w:val="00E96BEF"/>
    <w:rsid w:val="00E96C03"/>
    <w:rsid w:val="00E96C84"/>
    <w:rsid w:val="00E96CB9"/>
    <w:rsid w:val="00E96D1D"/>
    <w:rsid w:val="00E96F30"/>
    <w:rsid w:val="00E973CC"/>
    <w:rsid w:val="00E974C5"/>
    <w:rsid w:val="00E97658"/>
    <w:rsid w:val="00E9771D"/>
    <w:rsid w:val="00E9778D"/>
    <w:rsid w:val="00E97998"/>
    <w:rsid w:val="00E97B9F"/>
    <w:rsid w:val="00E97D37"/>
    <w:rsid w:val="00EA00A3"/>
    <w:rsid w:val="00EA00A5"/>
    <w:rsid w:val="00EA0267"/>
    <w:rsid w:val="00EA029C"/>
    <w:rsid w:val="00EA02F2"/>
    <w:rsid w:val="00EA03C7"/>
    <w:rsid w:val="00EA04F7"/>
    <w:rsid w:val="00EA05B3"/>
    <w:rsid w:val="00EA062A"/>
    <w:rsid w:val="00EA0AF3"/>
    <w:rsid w:val="00EA0BA4"/>
    <w:rsid w:val="00EA0BBB"/>
    <w:rsid w:val="00EA0D45"/>
    <w:rsid w:val="00EA0F0B"/>
    <w:rsid w:val="00EA116F"/>
    <w:rsid w:val="00EA1394"/>
    <w:rsid w:val="00EA1817"/>
    <w:rsid w:val="00EA1A52"/>
    <w:rsid w:val="00EA1D91"/>
    <w:rsid w:val="00EA1E8B"/>
    <w:rsid w:val="00EA21BF"/>
    <w:rsid w:val="00EA23AF"/>
    <w:rsid w:val="00EA24C7"/>
    <w:rsid w:val="00EA27D9"/>
    <w:rsid w:val="00EA2861"/>
    <w:rsid w:val="00EA28E7"/>
    <w:rsid w:val="00EA30B3"/>
    <w:rsid w:val="00EA3485"/>
    <w:rsid w:val="00EA3631"/>
    <w:rsid w:val="00EA39BB"/>
    <w:rsid w:val="00EA3BA7"/>
    <w:rsid w:val="00EA3D3A"/>
    <w:rsid w:val="00EA3E06"/>
    <w:rsid w:val="00EA3F9A"/>
    <w:rsid w:val="00EA4714"/>
    <w:rsid w:val="00EA497C"/>
    <w:rsid w:val="00EA49A5"/>
    <w:rsid w:val="00EA4CC4"/>
    <w:rsid w:val="00EA4F4F"/>
    <w:rsid w:val="00EA4F6F"/>
    <w:rsid w:val="00EA5025"/>
    <w:rsid w:val="00EA5172"/>
    <w:rsid w:val="00EA52D5"/>
    <w:rsid w:val="00EA54BB"/>
    <w:rsid w:val="00EA55FA"/>
    <w:rsid w:val="00EA5664"/>
    <w:rsid w:val="00EA588C"/>
    <w:rsid w:val="00EA58F9"/>
    <w:rsid w:val="00EA5D64"/>
    <w:rsid w:val="00EA5DFA"/>
    <w:rsid w:val="00EA5EF4"/>
    <w:rsid w:val="00EA60B2"/>
    <w:rsid w:val="00EA60F8"/>
    <w:rsid w:val="00EA62D1"/>
    <w:rsid w:val="00EA6550"/>
    <w:rsid w:val="00EA671D"/>
    <w:rsid w:val="00EA694D"/>
    <w:rsid w:val="00EA698E"/>
    <w:rsid w:val="00EA69A4"/>
    <w:rsid w:val="00EA6A78"/>
    <w:rsid w:val="00EA6C22"/>
    <w:rsid w:val="00EA7203"/>
    <w:rsid w:val="00EA724B"/>
    <w:rsid w:val="00EA72E7"/>
    <w:rsid w:val="00EA759F"/>
    <w:rsid w:val="00EA768C"/>
    <w:rsid w:val="00EA7DCC"/>
    <w:rsid w:val="00EA7EC2"/>
    <w:rsid w:val="00EA7F3B"/>
    <w:rsid w:val="00EAB391"/>
    <w:rsid w:val="00EB0299"/>
    <w:rsid w:val="00EB0361"/>
    <w:rsid w:val="00EB0406"/>
    <w:rsid w:val="00EB0412"/>
    <w:rsid w:val="00EB048D"/>
    <w:rsid w:val="00EB05E3"/>
    <w:rsid w:val="00EB0625"/>
    <w:rsid w:val="00EB065A"/>
    <w:rsid w:val="00EB07C7"/>
    <w:rsid w:val="00EB089F"/>
    <w:rsid w:val="00EB08FC"/>
    <w:rsid w:val="00EB0C54"/>
    <w:rsid w:val="00EB115C"/>
    <w:rsid w:val="00EB1770"/>
    <w:rsid w:val="00EB18F7"/>
    <w:rsid w:val="00EB1BE5"/>
    <w:rsid w:val="00EB1D08"/>
    <w:rsid w:val="00EB1F17"/>
    <w:rsid w:val="00EB1FFF"/>
    <w:rsid w:val="00EB270F"/>
    <w:rsid w:val="00EB280E"/>
    <w:rsid w:val="00EB28FF"/>
    <w:rsid w:val="00EB2D91"/>
    <w:rsid w:val="00EB2F06"/>
    <w:rsid w:val="00EB30F5"/>
    <w:rsid w:val="00EB3558"/>
    <w:rsid w:val="00EB3747"/>
    <w:rsid w:val="00EB3785"/>
    <w:rsid w:val="00EB37C9"/>
    <w:rsid w:val="00EB3952"/>
    <w:rsid w:val="00EB3B0A"/>
    <w:rsid w:val="00EB3DA5"/>
    <w:rsid w:val="00EB3EC0"/>
    <w:rsid w:val="00EB42C7"/>
    <w:rsid w:val="00EB42F6"/>
    <w:rsid w:val="00EB4528"/>
    <w:rsid w:val="00EB46E2"/>
    <w:rsid w:val="00EB48FD"/>
    <w:rsid w:val="00EB4C8F"/>
    <w:rsid w:val="00EB4F4D"/>
    <w:rsid w:val="00EB512E"/>
    <w:rsid w:val="00EB51C0"/>
    <w:rsid w:val="00EB51ED"/>
    <w:rsid w:val="00EB526B"/>
    <w:rsid w:val="00EB57AA"/>
    <w:rsid w:val="00EB6004"/>
    <w:rsid w:val="00EB619F"/>
    <w:rsid w:val="00EB61D2"/>
    <w:rsid w:val="00EB62B2"/>
    <w:rsid w:val="00EB70AE"/>
    <w:rsid w:val="00EB70D6"/>
    <w:rsid w:val="00EB749E"/>
    <w:rsid w:val="00EB7655"/>
    <w:rsid w:val="00EB775B"/>
    <w:rsid w:val="00EB7C0D"/>
    <w:rsid w:val="00EB7C3B"/>
    <w:rsid w:val="00EB7D1A"/>
    <w:rsid w:val="00EB7DB3"/>
    <w:rsid w:val="00EB7FAB"/>
    <w:rsid w:val="00EB7FB3"/>
    <w:rsid w:val="00EC005F"/>
    <w:rsid w:val="00EC0266"/>
    <w:rsid w:val="00EC0286"/>
    <w:rsid w:val="00EC02DD"/>
    <w:rsid w:val="00EC059D"/>
    <w:rsid w:val="00EC067F"/>
    <w:rsid w:val="00EC08AD"/>
    <w:rsid w:val="00EC0909"/>
    <w:rsid w:val="00EC0BC0"/>
    <w:rsid w:val="00EC0DBF"/>
    <w:rsid w:val="00EC127B"/>
    <w:rsid w:val="00EC1406"/>
    <w:rsid w:val="00EC14CA"/>
    <w:rsid w:val="00EC171C"/>
    <w:rsid w:val="00EC17DD"/>
    <w:rsid w:val="00EC184B"/>
    <w:rsid w:val="00EC1BFC"/>
    <w:rsid w:val="00EC1C93"/>
    <w:rsid w:val="00EC1CDE"/>
    <w:rsid w:val="00EC1D15"/>
    <w:rsid w:val="00EC1DEE"/>
    <w:rsid w:val="00EC1EB7"/>
    <w:rsid w:val="00EC2109"/>
    <w:rsid w:val="00EC221A"/>
    <w:rsid w:val="00EC22B8"/>
    <w:rsid w:val="00EC2566"/>
    <w:rsid w:val="00EC2F3C"/>
    <w:rsid w:val="00EC2F74"/>
    <w:rsid w:val="00EC3177"/>
    <w:rsid w:val="00EC3849"/>
    <w:rsid w:val="00EC3866"/>
    <w:rsid w:val="00EC3D07"/>
    <w:rsid w:val="00EC3FF9"/>
    <w:rsid w:val="00EC419C"/>
    <w:rsid w:val="00EC4518"/>
    <w:rsid w:val="00EC46A5"/>
    <w:rsid w:val="00EC4B41"/>
    <w:rsid w:val="00EC4C53"/>
    <w:rsid w:val="00EC4DA5"/>
    <w:rsid w:val="00EC4E4B"/>
    <w:rsid w:val="00EC4EA0"/>
    <w:rsid w:val="00EC4FB5"/>
    <w:rsid w:val="00EC5010"/>
    <w:rsid w:val="00EC518E"/>
    <w:rsid w:val="00EC562B"/>
    <w:rsid w:val="00EC568D"/>
    <w:rsid w:val="00EC58D2"/>
    <w:rsid w:val="00EC5B6A"/>
    <w:rsid w:val="00EC5C83"/>
    <w:rsid w:val="00EC5CF8"/>
    <w:rsid w:val="00EC5DC4"/>
    <w:rsid w:val="00EC6361"/>
    <w:rsid w:val="00EC64D3"/>
    <w:rsid w:val="00EC6521"/>
    <w:rsid w:val="00EC65E5"/>
    <w:rsid w:val="00EC6A1D"/>
    <w:rsid w:val="00EC6BF8"/>
    <w:rsid w:val="00EC6FC9"/>
    <w:rsid w:val="00EC7135"/>
    <w:rsid w:val="00EC7471"/>
    <w:rsid w:val="00EC74C3"/>
    <w:rsid w:val="00EC7534"/>
    <w:rsid w:val="00EC75C0"/>
    <w:rsid w:val="00EC7A1B"/>
    <w:rsid w:val="00EC7B28"/>
    <w:rsid w:val="00EC7B6E"/>
    <w:rsid w:val="00EC7C6A"/>
    <w:rsid w:val="00EC7EE5"/>
    <w:rsid w:val="00ED00DB"/>
    <w:rsid w:val="00ED03D1"/>
    <w:rsid w:val="00ED0504"/>
    <w:rsid w:val="00ED0557"/>
    <w:rsid w:val="00ED0663"/>
    <w:rsid w:val="00ED0922"/>
    <w:rsid w:val="00ED099F"/>
    <w:rsid w:val="00ED0AAA"/>
    <w:rsid w:val="00ED0B4F"/>
    <w:rsid w:val="00ED0B94"/>
    <w:rsid w:val="00ED0BEC"/>
    <w:rsid w:val="00ED0C11"/>
    <w:rsid w:val="00ED0EE5"/>
    <w:rsid w:val="00ED0F1B"/>
    <w:rsid w:val="00ED0F1F"/>
    <w:rsid w:val="00ED0FCD"/>
    <w:rsid w:val="00ED1122"/>
    <w:rsid w:val="00ED196B"/>
    <w:rsid w:val="00ED1A32"/>
    <w:rsid w:val="00ED1AC1"/>
    <w:rsid w:val="00ED1B34"/>
    <w:rsid w:val="00ED1BFB"/>
    <w:rsid w:val="00ED1CA6"/>
    <w:rsid w:val="00ED1F64"/>
    <w:rsid w:val="00ED201C"/>
    <w:rsid w:val="00ED2083"/>
    <w:rsid w:val="00ED21D3"/>
    <w:rsid w:val="00ED221C"/>
    <w:rsid w:val="00ED248C"/>
    <w:rsid w:val="00ED2BB3"/>
    <w:rsid w:val="00ED2C9F"/>
    <w:rsid w:val="00ED2E15"/>
    <w:rsid w:val="00ED2E98"/>
    <w:rsid w:val="00ED301D"/>
    <w:rsid w:val="00ED346E"/>
    <w:rsid w:val="00ED368E"/>
    <w:rsid w:val="00ED3696"/>
    <w:rsid w:val="00ED3734"/>
    <w:rsid w:val="00ED378A"/>
    <w:rsid w:val="00ED3911"/>
    <w:rsid w:val="00ED3ACA"/>
    <w:rsid w:val="00ED3B63"/>
    <w:rsid w:val="00ED3CB9"/>
    <w:rsid w:val="00ED4351"/>
    <w:rsid w:val="00ED4524"/>
    <w:rsid w:val="00ED48B7"/>
    <w:rsid w:val="00ED49E6"/>
    <w:rsid w:val="00ED4DF2"/>
    <w:rsid w:val="00ED4E6C"/>
    <w:rsid w:val="00ED4E9A"/>
    <w:rsid w:val="00ED50A1"/>
    <w:rsid w:val="00ED5179"/>
    <w:rsid w:val="00ED51EB"/>
    <w:rsid w:val="00ED5222"/>
    <w:rsid w:val="00ED528D"/>
    <w:rsid w:val="00ED5489"/>
    <w:rsid w:val="00ED557A"/>
    <w:rsid w:val="00ED5680"/>
    <w:rsid w:val="00ED57F4"/>
    <w:rsid w:val="00ED5872"/>
    <w:rsid w:val="00ED5AFE"/>
    <w:rsid w:val="00ED5C0E"/>
    <w:rsid w:val="00ED5DFF"/>
    <w:rsid w:val="00ED5FC4"/>
    <w:rsid w:val="00ED60B8"/>
    <w:rsid w:val="00ED61FC"/>
    <w:rsid w:val="00ED6416"/>
    <w:rsid w:val="00ED6A34"/>
    <w:rsid w:val="00ED6D42"/>
    <w:rsid w:val="00ED6E8A"/>
    <w:rsid w:val="00ED6E92"/>
    <w:rsid w:val="00ED7391"/>
    <w:rsid w:val="00ED74DA"/>
    <w:rsid w:val="00ED7889"/>
    <w:rsid w:val="00ED79CC"/>
    <w:rsid w:val="00ED7C92"/>
    <w:rsid w:val="00EE008C"/>
    <w:rsid w:val="00EE053A"/>
    <w:rsid w:val="00EE08BB"/>
    <w:rsid w:val="00EE09F8"/>
    <w:rsid w:val="00EE0AA4"/>
    <w:rsid w:val="00EE0E7D"/>
    <w:rsid w:val="00EE14EF"/>
    <w:rsid w:val="00EE174A"/>
    <w:rsid w:val="00EE17F1"/>
    <w:rsid w:val="00EE1C44"/>
    <w:rsid w:val="00EE1C65"/>
    <w:rsid w:val="00EE1F26"/>
    <w:rsid w:val="00EE1F86"/>
    <w:rsid w:val="00EE218D"/>
    <w:rsid w:val="00EE231D"/>
    <w:rsid w:val="00EE23E0"/>
    <w:rsid w:val="00EE2E5F"/>
    <w:rsid w:val="00EE2E6C"/>
    <w:rsid w:val="00EE2ED7"/>
    <w:rsid w:val="00EE2F44"/>
    <w:rsid w:val="00EE2F9A"/>
    <w:rsid w:val="00EE320F"/>
    <w:rsid w:val="00EE32AE"/>
    <w:rsid w:val="00EE32E2"/>
    <w:rsid w:val="00EE36A1"/>
    <w:rsid w:val="00EE37B4"/>
    <w:rsid w:val="00EE3989"/>
    <w:rsid w:val="00EE3AD5"/>
    <w:rsid w:val="00EE3BD9"/>
    <w:rsid w:val="00EE3C5B"/>
    <w:rsid w:val="00EE3E30"/>
    <w:rsid w:val="00EE3EEA"/>
    <w:rsid w:val="00EE4229"/>
    <w:rsid w:val="00EE43D8"/>
    <w:rsid w:val="00EE4506"/>
    <w:rsid w:val="00EE4566"/>
    <w:rsid w:val="00EE47FF"/>
    <w:rsid w:val="00EE494D"/>
    <w:rsid w:val="00EE4A40"/>
    <w:rsid w:val="00EE4B1A"/>
    <w:rsid w:val="00EE4D0F"/>
    <w:rsid w:val="00EE5186"/>
    <w:rsid w:val="00EE5571"/>
    <w:rsid w:val="00EE5686"/>
    <w:rsid w:val="00EE5719"/>
    <w:rsid w:val="00EE57DB"/>
    <w:rsid w:val="00EE58A3"/>
    <w:rsid w:val="00EE5918"/>
    <w:rsid w:val="00EE5E41"/>
    <w:rsid w:val="00EE65CF"/>
    <w:rsid w:val="00EE66C7"/>
    <w:rsid w:val="00EE6743"/>
    <w:rsid w:val="00EE67B8"/>
    <w:rsid w:val="00EE6855"/>
    <w:rsid w:val="00EE68E3"/>
    <w:rsid w:val="00EE699F"/>
    <w:rsid w:val="00EE69EC"/>
    <w:rsid w:val="00EE6B12"/>
    <w:rsid w:val="00EE6D4F"/>
    <w:rsid w:val="00EE7051"/>
    <w:rsid w:val="00EE7331"/>
    <w:rsid w:val="00EE76E2"/>
    <w:rsid w:val="00EE779E"/>
    <w:rsid w:val="00EE78A7"/>
    <w:rsid w:val="00EE79F6"/>
    <w:rsid w:val="00EE7D00"/>
    <w:rsid w:val="00EE7ED5"/>
    <w:rsid w:val="00EE7F9D"/>
    <w:rsid w:val="00EF01BA"/>
    <w:rsid w:val="00EF01FE"/>
    <w:rsid w:val="00EF02C0"/>
    <w:rsid w:val="00EF03D8"/>
    <w:rsid w:val="00EF0458"/>
    <w:rsid w:val="00EF063C"/>
    <w:rsid w:val="00EF09CB"/>
    <w:rsid w:val="00EF0A14"/>
    <w:rsid w:val="00EF0A23"/>
    <w:rsid w:val="00EF0D06"/>
    <w:rsid w:val="00EF0E49"/>
    <w:rsid w:val="00EF0FCA"/>
    <w:rsid w:val="00EF10A3"/>
    <w:rsid w:val="00EF1129"/>
    <w:rsid w:val="00EF1136"/>
    <w:rsid w:val="00EF11FC"/>
    <w:rsid w:val="00EF121C"/>
    <w:rsid w:val="00EF1244"/>
    <w:rsid w:val="00EF12B2"/>
    <w:rsid w:val="00EF157D"/>
    <w:rsid w:val="00EF1586"/>
    <w:rsid w:val="00EF15EA"/>
    <w:rsid w:val="00EF16FD"/>
    <w:rsid w:val="00EF19D1"/>
    <w:rsid w:val="00EF1CDB"/>
    <w:rsid w:val="00EF1D1D"/>
    <w:rsid w:val="00EF2047"/>
    <w:rsid w:val="00EF20E4"/>
    <w:rsid w:val="00EF22B6"/>
    <w:rsid w:val="00EF22E3"/>
    <w:rsid w:val="00EF24F7"/>
    <w:rsid w:val="00EF25FF"/>
    <w:rsid w:val="00EF2729"/>
    <w:rsid w:val="00EF27A7"/>
    <w:rsid w:val="00EF296C"/>
    <w:rsid w:val="00EF2981"/>
    <w:rsid w:val="00EF2B57"/>
    <w:rsid w:val="00EF2CB0"/>
    <w:rsid w:val="00EF30FF"/>
    <w:rsid w:val="00EF3170"/>
    <w:rsid w:val="00EF35B4"/>
    <w:rsid w:val="00EF35C5"/>
    <w:rsid w:val="00EF371C"/>
    <w:rsid w:val="00EF3AB3"/>
    <w:rsid w:val="00EF3E44"/>
    <w:rsid w:val="00EF3EA4"/>
    <w:rsid w:val="00EF409A"/>
    <w:rsid w:val="00EF40F9"/>
    <w:rsid w:val="00EF41D4"/>
    <w:rsid w:val="00EF41FB"/>
    <w:rsid w:val="00EF4717"/>
    <w:rsid w:val="00EF481B"/>
    <w:rsid w:val="00EF484C"/>
    <w:rsid w:val="00EF4B34"/>
    <w:rsid w:val="00EF4BD3"/>
    <w:rsid w:val="00EF4C64"/>
    <w:rsid w:val="00EF4D39"/>
    <w:rsid w:val="00EF5481"/>
    <w:rsid w:val="00EF5B4E"/>
    <w:rsid w:val="00EF5DA4"/>
    <w:rsid w:val="00EF5E95"/>
    <w:rsid w:val="00EF60A5"/>
    <w:rsid w:val="00EF66CD"/>
    <w:rsid w:val="00EF682D"/>
    <w:rsid w:val="00EF692F"/>
    <w:rsid w:val="00EF6F97"/>
    <w:rsid w:val="00EF6FE9"/>
    <w:rsid w:val="00EF70E5"/>
    <w:rsid w:val="00EF71B4"/>
    <w:rsid w:val="00EF72BA"/>
    <w:rsid w:val="00EF7322"/>
    <w:rsid w:val="00EF75F1"/>
    <w:rsid w:val="00EF7A8D"/>
    <w:rsid w:val="00EF7B57"/>
    <w:rsid w:val="00F0000D"/>
    <w:rsid w:val="00F000B1"/>
    <w:rsid w:val="00F00132"/>
    <w:rsid w:val="00F0034B"/>
    <w:rsid w:val="00F00374"/>
    <w:rsid w:val="00F005E9"/>
    <w:rsid w:val="00F005F8"/>
    <w:rsid w:val="00F009EF"/>
    <w:rsid w:val="00F00CAE"/>
    <w:rsid w:val="00F01181"/>
    <w:rsid w:val="00F01384"/>
    <w:rsid w:val="00F013E6"/>
    <w:rsid w:val="00F01451"/>
    <w:rsid w:val="00F01580"/>
    <w:rsid w:val="00F01584"/>
    <w:rsid w:val="00F019FF"/>
    <w:rsid w:val="00F01B59"/>
    <w:rsid w:val="00F01D02"/>
    <w:rsid w:val="00F02062"/>
    <w:rsid w:val="00F0215B"/>
    <w:rsid w:val="00F02197"/>
    <w:rsid w:val="00F021CD"/>
    <w:rsid w:val="00F022F5"/>
    <w:rsid w:val="00F02598"/>
    <w:rsid w:val="00F0276D"/>
    <w:rsid w:val="00F0294E"/>
    <w:rsid w:val="00F02A81"/>
    <w:rsid w:val="00F02ADC"/>
    <w:rsid w:val="00F02E13"/>
    <w:rsid w:val="00F02EC9"/>
    <w:rsid w:val="00F02FE7"/>
    <w:rsid w:val="00F030F1"/>
    <w:rsid w:val="00F03230"/>
    <w:rsid w:val="00F03334"/>
    <w:rsid w:val="00F0351D"/>
    <w:rsid w:val="00F037CB"/>
    <w:rsid w:val="00F038F7"/>
    <w:rsid w:val="00F03963"/>
    <w:rsid w:val="00F03ABB"/>
    <w:rsid w:val="00F03CD6"/>
    <w:rsid w:val="00F03FB4"/>
    <w:rsid w:val="00F04391"/>
    <w:rsid w:val="00F04475"/>
    <w:rsid w:val="00F0475E"/>
    <w:rsid w:val="00F049EA"/>
    <w:rsid w:val="00F04C3A"/>
    <w:rsid w:val="00F04CED"/>
    <w:rsid w:val="00F04DA4"/>
    <w:rsid w:val="00F051D2"/>
    <w:rsid w:val="00F055BA"/>
    <w:rsid w:val="00F0563F"/>
    <w:rsid w:val="00F05B9F"/>
    <w:rsid w:val="00F06164"/>
    <w:rsid w:val="00F0624C"/>
    <w:rsid w:val="00F06430"/>
    <w:rsid w:val="00F06440"/>
    <w:rsid w:val="00F06487"/>
    <w:rsid w:val="00F06550"/>
    <w:rsid w:val="00F066B2"/>
    <w:rsid w:val="00F06A09"/>
    <w:rsid w:val="00F06A23"/>
    <w:rsid w:val="00F06B28"/>
    <w:rsid w:val="00F06C1C"/>
    <w:rsid w:val="00F06C49"/>
    <w:rsid w:val="00F071AE"/>
    <w:rsid w:val="00F072BA"/>
    <w:rsid w:val="00F072CB"/>
    <w:rsid w:val="00F072CC"/>
    <w:rsid w:val="00F0739E"/>
    <w:rsid w:val="00F0740A"/>
    <w:rsid w:val="00F07994"/>
    <w:rsid w:val="00F07E0E"/>
    <w:rsid w:val="00F07EF3"/>
    <w:rsid w:val="00F101C4"/>
    <w:rsid w:val="00F106B7"/>
    <w:rsid w:val="00F106FE"/>
    <w:rsid w:val="00F10BF3"/>
    <w:rsid w:val="00F10E9B"/>
    <w:rsid w:val="00F11328"/>
    <w:rsid w:val="00F11416"/>
    <w:rsid w:val="00F1145C"/>
    <w:rsid w:val="00F11661"/>
    <w:rsid w:val="00F118C0"/>
    <w:rsid w:val="00F118DD"/>
    <w:rsid w:val="00F1195E"/>
    <w:rsid w:val="00F11C7D"/>
    <w:rsid w:val="00F11EB6"/>
    <w:rsid w:val="00F12041"/>
    <w:rsid w:val="00F12155"/>
    <w:rsid w:val="00F121A2"/>
    <w:rsid w:val="00F124D2"/>
    <w:rsid w:val="00F12625"/>
    <w:rsid w:val="00F12984"/>
    <w:rsid w:val="00F12C5A"/>
    <w:rsid w:val="00F12CB7"/>
    <w:rsid w:val="00F12CC8"/>
    <w:rsid w:val="00F13134"/>
    <w:rsid w:val="00F131A3"/>
    <w:rsid w:val="00F1325D"/>
    <w:rsid w:val="00F13482"/>
    <w:rsid w:val="00F134FA"/>
    <w:rsid w:val="00F138F4"/>
    <w:rsid w:val="00F13D10"/>
    <w:rsid w:val="00F13D36"/>
    <w:rsid w:val="00F14187"/>
    <w:rsid w:val="00F1446D"/>
    <w:rsid w:val="00F14501"/>
    <w:rsid w:val="00F14817"/>
    <w:rsid w:val="00F14978"/>
    <w:rsid w:val="00F149D6"/>
    <w:rsid w:val="00F14AE9"/>
    <w:rsid w:val="00F14CA1"/>
    <w:rsid w:val="00F151F3"/>
    <w:rsid w:val="00F152A3"/>
    <w:rsid w:val="00F1540A"/>
    <w:rsid w:val="00F154B7"/>
    <w:rsid w:val="00F154E0"/>
    <w:rsid w:val="00F1644E"/>
    <w:rsid w:val="00F16582"/>
    <w:rsid w:val="00F1671D"/>
    <w:rsid w:val="00F16782"/>
    <w:rsid w:val="00F167DB"/>
    <w:rsid w:val="00F168CA"/>
    <w:rsid w:val="00F169AA"/>
    <w:rsid w:val="00F169CA"/>
    <w:rsid w:val="00F170FE"/>
    <w:rsid w:val="00F17439"/>
    <w:rsid w:val="00F17C29"/>
    <w:rsid w:val="00F17C9E"/>
    <w:rsid w:val="00F17DCC"/>
    <w:rsid w:val="00F17ECD"/>
    <w:rsid w:val="00F201D0"/>
    <w:rsid w:val="00F20254"/>
    <w:rsid w:val="00F2028D"/>
    <w:rsid w:val="00F20328"/>
    <w:rsid w:val="00F2065D"/>
    <w:rsid w:val="00F20996"/>
    <w:rsid w:val="00F20D35"/>
    <w:rsid w:val="00F20E3E"/>
    <w:rsid w:val="00F20F05"/>
    <w:rsid w:val="00F20FB3"/>
    <w:rsid w:val="00F21264"/>
    <w:rsid w:val="00F21529"/>
    <w:rsid w:val="00F216FC"/>
    <w:rsid w:val="00F217C3"/>
    <w:rsid w:val="00F21F6E"/>
    <w:rsid w:val="00F2211C"/>
    <w:rsid w:val="00F222C7"/>
    <w:rsid w:val="00F22616"/>
    <w:rsid w:val="00F227E5"/>
    <w:rsid w:val="00F22957"/>
    <w:rsid w:val="00F22966"/>
    <w:rsid w:val="00F22AE9"/>
    <w:rsid w:val="00F230A4"/>
    <w:rsid w:val="00F233BA"/>
    <w:rsid w:val="00F23703"/>
    <w:rsid w:val="00F2389E"/>
    <w:rsid w:val="00F23D47"/>
    <w:rsid w:val="00F23D70"/>
    <w:rsid w:val="00F23D86"/>
    <w:rsid w:val="00F23F76"/>
    <w:rsid w:val="00F240AC"/>
    <w:rsid w:val="00F24133"/>
    <w:rsid w:val="00F243D9"/>
    <w:rsid w:val="00F246D1"/>
    <w:rsid w:val="00F24748"/>
    <w:rsid w:val="00F248E4"/>
    <w:rsid w:val="00F24D0F"/>
    <w:rsid w:val="00F25127"/>
    <w:rsid w:val="00F252CF"/>
    <w:rsid w:val="00F25497"/>
    <w:rsid w:val="00F25705"/>
    <w:rsid w:val="00F25794"/>
    <w:rsid w:val="00F25BBF"/>
    <w:rsid w:val="00F26101"/>
    <w:rsid w:val="00F2613C"/>
    <w:rsid w:val="00F262D1"/>
    <w:rsid w:val="00F263E1"/>
    <w:rsid w:val="00F264E3"/>
    <w:rsid w:val="00F265EA"/>
    <w:rsid w:val="00F265F9"/>
    <w:rsid w:val="00F26638"/>
    <w:rsid w:val="00F267B5"/>
    <w:rsid w:val="00F268AB"/>
    <w:rsid w:val="00F268B5"/>
    <w:rsid w:val="00F26CCF"/>
    <w:rsid w:val="00F26F46"/>
    <w:rsid w:val="00F271B3"/>
    <w:rsid w:val="00F271CE"/>
    <w:rsid w:val="00F27408"/>
    <w:rsid w:val="00F27573"/>
    <w:rsid w:val="00F2765A"/>
    <w:rsid w:val="00F27724"/>
    <w:rsid w:val="00F27A82"/>
    <w:rsid w:val="00F27BA0"/>
    <w:rsid w:val="00F27E29"/>
    <w:rsid w:val="00F27F27"/>
    <w:rsid w:val="00F30024"/>
    <w:rsid w:val="00F30324"/>
    <w:rsid w:val="00F30A69"/>
    <w:rsid w:val="00F30AEE"/>
    <w:rsid w:val="00F30F42"/>
    <w:rsid w:val="00F30FC5"/>
    <w:rsid w:val="00F3112B"/>
    <w:rsid w:val="00F31573"/>
    <w:rsid w:val="00F315AA"/>
    <w:rsid w:val="00F318EF"/>
    <w:rsid w:val="00F31B34"/>
    <w:rsid w:val="00F31B4B"/>
    <w:rsid w:val="00F31C95"/>
    <w:rsid w:val="00F31D41"/>
    <w:rsid w:val="00F31EB3"/>
    <w:rsid w:val="00F324B5"/>
    <w:rsid w:val="00F325A1"/>
    <w:rsid w:val="00F325D7"/>
    <w:rsid w:val="00F32863"/>
    <w:rsid w:val="00F32A67"/>
    <w:rsid w:val="00F3314E"/>
    <w:rsid w:val="00F33481"/>
    <w:rsid w:val="00F33733"/>
    <w:rsid w:val="00F3374E"/>
    <w:rsid w:val="00F337D1"/>
    <w:rsid w:val="00F3390B"/>
    <w:rsid w:val="00F3399E"/>
    <w:rsid w:val="00F33E59"/>
    <w:rsid w:val="00F33E5C"/>
    <w:rsid w:val="00F33E84"/>
    <w:rsid w:val="00F342BA"/>
    <w:rsid w:val="00F343B8"/>
    <w:rsid w:val="00F343D0"/>
    <w:rsid w:val="00F34961"/>
    <w:rsid w:val="00F34B5E"/>
    <w:rsid w:val="00F34F16"/>
    <w:rsid w:val="00F35261"/>
    <w:rsid w:val="00F35802"/>
    <w:rsid w:val="00F35845"/>
    <w:rsid w:val="00F35A3E"/>
    <w:rsid w:val="00F35DC0"/>
    <w:rsid w:val="00F35DD3"/>
    <w:rsid w:val="00F35E71"/>
    <w:rsid w:val="00F35EAB"/>
    <w:rsid w:val="00F3607D"/>
    <w:rsid w:val="00F36174"/>
    <w:rsid w:val="00F362F8"/>
    <w:rsid w:val="00F365B8"/>
    <w:rsid w:val="00F36902"/>
    <w:rsid w:val="00F36FC2"/>
    <w:rsid w:val="00F374B7"/>
    <w:rsid w:val="00F3761A"/>
    <w:rsid w:val="00F3770B"/>
    <w:rsid w:val="00F37757"/>
    <w:rsid w:val="00F378BD"/>
    <w:rsid w:val="00F379EA"/>
    <w:rsid w:val="00F37EB9"/>
    <w:rsid w:val="00F400B4"/>
    <w:rsid w:val="00F4032F"/>
    <w:rsid w:val="00F4055E"/>
    <w:rsid w:val="00F40C9D"/>
    <w:rsid w:val="00F40FFA"/>
    <w:rsid w:val="00F412AA"/>
    <w:rsid w:val="00F417B9"/>
    <w:rsid w:val="00F417BE"/>
    <w:rsid w:val="00F4185B"/>
    <w:rsid w:val="00F41A7D"/>
    <w:rsid w:val="00F41B87"/>
    <w:rsid w:val="00F41C96"/>
    <w:rsid w:val="00F41D25"/>
    <w:rsid w:val="00F42133"/>
    <w:rsid w:val="00F4255A"/>
    <w:rsid w:val="00F42739"/>
    <w:rsid w:val="00F42D60"/>
    <w:rsid w:val="00F43035"/>
    <w:rsid w:val="00F4308F"/>
    <w:rsid w:val="00F4318B"/>
    <w:rsid w:val="00F43355"/>
    <w:rsid w:val="00F435B1"/>
    <w:rsid w:val="00F43736"/>
    <w:rsid w:val="00F437BC"/>
    <w:rsid w:val="00F43822"/>
    <w:rsid w:val="00F4396D"/>
    <w:rsid w:val="00F43AFC"/>
    <w:rsid w:val="00F43B30"/>
    <w:rsid w:val="00F44057"/>
    <w:rsid w:val="00F44325"/>
    <w:rsid w:val="00F448BE"/>
    <w:rsid w:val="00F44911"/>
    <w:rsid w:val="00F44D75"/>
    <w:rsid w:val="00F44D94"/>
    <w:rsid w:val="00F44F8A"/>
    <w:rsid w:val="00F45156"/>
    <w:rsid w:val="00F45559"/>
    <w:rsid w:val="00F45586"/>
    <w:rsid w:val="00F4563E"/>
    <w:rsid w:val="00F45DAE"/>
    <w:rsid w:val="00F45E92"/>
    <w:rsid w:val="00F45F11"/>
    <w:rsid w:val="00F45F5C"/>
    <w:rsid w:val="00F461DF"/>
    <w:rsid w:val="00F4631A"/>
    <w:rsid w:val="00F46439"/>
    <w:rsid w:val="00F468D2"/>
    <w:rsid w:val="00F46A89"/>
    <w:rsid w:val="00F46CE8"/>
    <w:rsid w:val="00F46D2F"/>
    <w:rsid w:val="00F46E41"/>
    <w:rsid w:val="00F46E6D"/>
    <w:rsid w:val="00F470C0"/>
    <w:rsid w:val="00F47464"/>
    <w:rsid w:val="00F475BB"/>
    <w:rsid w:val="00F477B0"/>
    <w:rsid w:val="00F4782D"/>
    <w:rsid w:val="00F4784D"/>
    <w:rsid w:val="00F47868"/>
    <w:rsid w:val="00F4790D"/>
    <w:rsid w:val="00F479F5"/>
    <w:rsid w:val="00F47AF3"/>
    <w:rsid w:val="00F47F8F"/>
    <w:rsid w:val="00F50199"/>
    <w:rsid w:val="00F501A9"/>
    <w:rsid w:val="00F50447"/>
    <w:rsid w:val="00F504E6"/>
    <w:rsid w:val="00F50E89"/>
    <w:rsid w:val="00F5101E"/>
    <w:rsid w:val="00F51046"/>
    <w:rsid w:val="00F5118A"/>
    <w:rsid w:val="00F512F6"/>
    <w:rsid w:val="00F512F8"/>
    <w:rsid w:val="00F5133A"/>
    <w:rsid w:val="00F516A7"/>
    <w:rsid w:val="00F51BA2"/>
    <w:rsid w:val="00F51C45"/>
    <w:rsid w:val="00F51CC1"/>
    <w:rsid w:val="00F52302"/>
    <w:rsid w:val="00F5241C"/>
    <w:rsid w:val="00F5284D"/>
    <w:rsid w:val="00F52961"/>
    <w:rsid w:val="00F52AF9"/>
    <w:rsid w:val="00F52ED9"/>
    <w:rsid w:val="00F530DF"/>
    <w:rsid w:val="00F531BD"/>
    <w:rsid w:val="00F534C8"/>
    <w:rsid w:val="00F534E2"/>
    <w:rsid w:val="00F535D2"/>
    <w:rsid w:val="00F53734"/>
    <w:rsid w:val="00F5379D"/>
    <w:rsid w:val="00F53915"/>
    <w:rsid w:val="00F53AC2"/>
    <w:rsid w:val="00F53CE3"/>
    <w:rsid w:val="00F53DF0"/>
    <w:rsid w:val="00F53E36"/>
    <w:rsid w:val="00F54067"/>
    <w:rsid w:val="00F540A6"/>
    <w:rsid w:val="00F54251"/>
    <w:rsid w:val="00F54388"/>
    <w:rsid w:val="00F5463F"/>
    <w:rsid w:val="00F54798"/>
    <w:rsid w:val="00F548AA"/>
    <w:rsid w:val="00F54C74"/>
    <w:rsid w:val="00F54D5E"/>
    <w:rsid w:val="00F54E7E"/>
    <w:rsid w:val="00F554EC"/>
    <w:rsid w:val="00F5560A"/>
    <w:rsid w:val="00F556D6"/>
    <w:rsid w:val="00F5586E"/>
    <w:rsid w:val="00F55A77"/>
    <w:rsid w:val="00F55C42"/>
    <w:rsid w:val="00F55E93"/>
    <w:rsid w:val="00F55F80"/>
    <w:rsid w:val="00F562A4"/>
    <w:rsid w:val="00F563FF"/>
    <w:rsid w:val="00F5645E"/>
    <w:rsid w:val="00F56A63"/>
    <w:rsid w:val="00F56C23"/>
    <w:rsid w:val="00F56E92"/>
    <w:rsid w:val="00F56FFD"/>
    <w:rsid w:val="00F57048"/>
    <w:rsid w:val="00F571FC"/>
    <w:rsid w:val="00F57465"/>
    <w:rsid w:val="00F5747A"/>
    <w:rsid w:val="00F57622"/>
    <w:rsid w:val="00F57712"/>
    <w:rsid w:val="00F5771F"/>
    <w:rsid w:val="00F57925"/>
    <w:rsid w:val="00F57BF3"/>
    <w:rsid w:val="00F57CC4"/>
    <w:rsid w:val="00F57CF8"/>
    <w:rsid w:val="00F57E31"/>
    <w:rsid w:val="00F57FB6"/>
    <w:rsid w:val="00F57FBD"/>
    <w:rsid w:val="00F60079"/>
    <w:rsid w:val="00F60437"/>
    <w:rsid w:val="00F60457"/>
    <w:rsid w:val="00F60490"/>
    <w:rsid w:val="00F606E2"/>
    <w:rsid w:val="00F6099B"/>
    <w:rsid w:val="00F60A0C"/>
    <w:rsid w:val="00F60A60"/>
    <w:rsid w:val="00F60C84"/>
    <w:rsid w:val="00F60EBF"/>
    <w:rsid w:val="00F60F36"/>
    <w:rsid w:val="00F60F54"/>
    <w:rsid w:val="00F60FD3"/>
    <w:rsid w:val="00F61061"/>
    <w:rsid w:val="00F61176"/>
    <w:rsid w:val="00F611DA"/>
    <w:rsid w:val="00F61310"/>
    <w:rsid w:val="00F61504"/>
    <w:rsid w:val="00F61556"/>
    <w:rsid w:val="00F6167E"/>
    <w:rsid w:val="00F61860"/>
    <w:rsid w:val="00F61B72"/>
    <w:rsid w:val="00F61EEA"/>
    <w:rsid w:val="00F61FE8"/>
    <w:rsid w:val="00F62279"/>
    <w:rsid w:val="00F622F1"/>
    <w:rsid w:val="00F623C8"/>
    <w:rsid w:val="00F62512"/>
    <w:rsid w:val="00F62576"/>
    <w:rsid w:val="00F627CE"/>
    <w:rsid w:val="00F62969"/>
    <w:rsid w:val="00F62C77"/>
    <w:rsid w:val="00F62DC0"/>
    <w:rsid w:val="00F63089"/>
    <w:rsid w:val="00F63347"/>
    <w:rsid w:val="00F6378A"/>
    <w:rsid w:val="00F63A00"/>
    <w:rsid w:val="00F63B7F"/>
    <w:rsid w:val="00F63CC1"/>
    <w:rsid w:val="00F64020"/>
    <w:rsid w:val="00F64105"/>
    <w:rsid w:val="00F64120"/>
    <w:rsid w:val="00F64457"/>
    <w:rsid w:val="00F6448E"/>
    <w:rsid w:val="00F644B5"/>
    <w:rsid w:val="00F644CD"/>
    <w:rsid w:val="00F645A8"/>
    <w:rsid w:val="00F64630"/>
    <w:rsid w:val="00F64662"/>
    <w:rsid w:val="00F646EE"/>
    <w:rsid w:val="00F647C4"/>
    <w:rsid w:val="00F64F41"/>
    <w:rsid w:val="00F64FF6"/>
    <w:rsid w:val="00F64FFB"/>
    <w:rsid w:val="00F6548E"/>
    <w:rsid w:val="00F6561A"/>
    <w:rsid w:val="00F65A40"/>
    <w:rsid w:val="00F65DF3"/>
    <w:rsid w:val="00F65EC9"/>
    <w:rsid w:val="00F65F3C"/>
    <w:rsid w:val="00F66172"/>
    <w:rsid w:val="00F66252"/>
    <w:rsid w:val="00F66369"/>
    <w:rsid w:val="00F66455"/>
    <w:rsid w:val="00F672D0"/>
    <w:rsid w:val="00F67396"/>
    <w:rsid w:val="00F67482"/>
    <w:rsid w:val="00F67552"/>
    <w:rsid w:val="00F6779C"/>
    <w:rsid w:val="00F6783A"/>
    <w:rsid w:val="00F67856"/>
    <w:rsid w:val="00F67AB2"/>
    <w:rsid w:val="00F67E75"/>
    <w:rsid w:val="00F6AB21"/>
    <w:rsid w:val="00F70065"/>
    <w:rsid w:val="00F70261"/>
    <w:rsid w:val="00F70662"/>
    <w:rsid w:val="00F706CD"/>
    <w:rsid w:val="00F708A8"/>
    <w:rsid w:val="00F708B7"/>
    <w:rsid w:val="00F708EA"/>
    <w:rsid w:val="00F70B89"/>
    <w:rsid w:val="00F70BF4"/>
    <w:rsid w:val="00F70C72"/>
    <w:rsid w:val="00F70FA9"/>
    <w:rsid w:val="00F71291"/>
    <w:rsid w:val="00F71299"/>
    <w:rsid w:val="00F71421"/>
    <w:rsid w:val="00F71435"/>
    <w:rsid w:val="00F71464"/>
    <w:rsid w:val="00F71681"/>
    <w:rsid w:val="00F7197C"/>
    <w:rsid w:val="00F71B1A"/>
    <w:rsid w:val="00F71EBF"/>
    <w:rsid w:val="00F720E4"/>
    <w:rsid w:val="00F72235"/>
    <w:rsid w:val="00F722BF"/>
    <w:rsid w:val="00F724F2"/>
    <w:rsid w:val="00F725C1"/>
    <w:rsid w:val="00F72618"/>
    <w:rsid w:val="00F7271D"/>
    <w:rsid w:val="00F72872"/>
    <w:rsid w:val="00F729A6"/>
    <w:rsid w:val="00F72B9F"/>
    <w:rsid w:val="00F72E37"/>
    <w:rsid w:val="00F72F8D"/>
    <w:rsid w:val="00F72FAD"/>
    <w:rsid w:val="00F731E0"/>
    <w:rsid w:val="00F73508"/>
    <w:rsid w:val="00F73710"/>
    <w:rsid w:val="00F73AD0"/>
    <w:rsid w:val="00F73B05"/>
    <w:rsid w:val="00F73BD5"/>
    <w:rsid w:val="00F73F7A"/>
    <w:rsid w:val="00F74084"/>
    <w:rsid w:val="00F74172"/>
    <w:rsid w:val="00F7439F"/>
    <w:rsid w:val="00F74832"/>
    <w:rsid w:val="00F749A9"/>
    <w:rsid w:val="00F74A64"/>
    <w:rsid w:val="00F752A1"/>
    <w:rsid w:val="00F754E4"/>
    <w:rsid w:val="00F75660"/>
    <w:rsid w:val="00F7571E"/>
    <w:rsid w:val="00F75835"/>
    <w:rsid w:val="00F75849"/>
    <w:rsid w:val="00F75CE9"/>
    <w:rsid w:val="00F75DDF"/>
    <w:rsid w:val="00F762B0"/>
    <w:rsid w:val="00F764C9"/>
    <w:rsid w:val="00F766C7"/>
    <w:rsid w:val="00F766E4"/>
    <w:rsid w:val="00F768A6"/>
    <w:rsid w:val="00F768D4"/>
    <w:rsid w:val="00F76DCC"/>
    <w:rsid w:val="00F770FA"/>
    <w:rsid w:val="00F7715C"/>
    <w:rsid w:val="00F77262"/>
    <w:rsid w:val="00F77297"/>
    <w:rsid w:val="00F776C0"/>
    <w:rsid w:val="00F77742"/>
    <w:rsid w:val="00F77774"/>
    <w:rsid w:val="00F778F9"/>
    <w:rsid w:val="00F779EB"/>
    <w:rsid w:val="00F77F3B"/>
    <w:rsid w:val="00F803F8"/>
    <w:rsid w:val="00F80911"/>
    <w:rsid w:val="00F80ED6"/>
    <w:rsid w:val="00F80F2E"/>
    <w:rsid w:val="00F81826"/>
    <w:rsid w:val="00F818E5"/>
    <w:rsid w:val="00F819D4"/>
    <w:rsid w:val="00F81C32"/>
    <w:rsid w:val="00F81C33"/>
    <w:rsid w:val="00F81CD8"/>
    <w:rsid w:val="00F821B8"/>
    <w:rsid w:val="00F821FD"/>
    <w:rsid w:val="00F82229"/>
    <w:rsid w:val="00F827B8"/>
    <w:rsid w:val="00F82B76"/>
    <w:rsid w:val="00F82C40"/>
    <w:rsid w:val="00F82DE1"/>
    <w:rsid w:val="00F8319F"/>
    <w:rsid w:val="00F83506"/>
    <w:rsid w:val="00F8385B"/>
    <w:rsid w:val="00F83BD0"/>
    <w:rsid w:val="00F83CF7"/>
    <w:rsid w:val="00F83D1D"/>
    <w:rsid w:val="00F840B5"/>
    <w:rsid w:val="00F842E3"/>
    <w:rsid w:val="00F842FB"/>
    <w:rsid w:val="00F84583"/>
    <w:rsid w:val="00F845F1"/>
    <w:rsid w:val="00F8460F"/>
    <w:rsid w:val="00F847FF"/>
    <w:rsid w:val="00F849F6"/>
    <w:rsid w:val="00F84B39"/>
    <w:rsid w:val="00F84B5D"/>
    <w:rsid w:val="00F84D9D"/>
    <w:rsid w:val="00F84DAA"/>
    <w:rsid w:val="00F84EEF"/>
    <w:rsid w:val="00F8512D"/>
    <w:rsid w:val="00F8513E"/>
    <w:rsid w:val="00F851B5"/>
    <w:rsid w:val="00F852C2"/>
    <w:rsid w:val="00F852C7"/>
    <w:rsid w:val="00F8540D"/>
    <w:rsid w:val="00F85B2E"/>
    <w:rsid w:val="00F85B40"/>
    <w:rsid w:val="00F85E08"/>
    <w:rsid w:val="00F85E82"/>
    <w:rsid w:val="00F861F9"/>
    <w:rsid w:val="00F86299"/>
    <w:rsid w:val="00F862C8"/>
    <w:rsid w:val="00F86804"/>
    <w:rsid w:val="00F86ABE"/>
    <w:rsid w:val="00F86C7A"/>
    <w:rsid w:val="00F86DC6"/>
    <w:rsid w:val="00F86FBA"/>
    <w:rsid w:val="00F870C8"/>
    <w:rsid w:val="00F872A6"/>
    <w:rsid w:val="00F87396"/>
    <w:rsid w:val="00F874A9"/>
    <w:rsid w:val="00F87533"/>
    <w:rsid w:val="00F87752"/>
    <w:rsid w:val="00F87936"/>
    <w:rsid w:val="00F87A5B"/>
    <w:rsid w:val="00F87E84"/>
    <w:rsid w:val="00F87F6D"/>
    <w:rsid w:val="00F901E7"/>
    <w:rsid w:val="00F905A9"/>
    <w:rsid w:val="00F90604"/>
    <w:rsid w:val="00F9094C"/>
    <w:rsid w:val="00F90A27"/>
    <w:rsid w:val="00F90AC4"/>
    <w:rsid w:val="00F90BAB"/>
    <w:rsid w:val="00F90F68"/>
    <w:rsid w:val="00F911A5"/>
    <w:rsid w:val="00F91265"/>
    <w:rsid w:val="00F9144B"/>
    <w:rsid w:val="00F916FF"/>
    <w:rsid w:val="00F91886"/>
    <w:rsid w:val="00F91A72"/>
    <w:rsid w:val="00F91AB0"/>
    <w:rsid w:val="00F91BE1"/>
    <w:rsid w:val="00F91DF6"/>
    <w:rsid w:val="00F91F7C"/>
    <w:rsid w:val="00F91FDC"/>
    <w:rsid w:val="00F9218F"/>
    <w:rsid w:val="00F9229C"/>
    <w:rsid w:val="00F922C7"/>
    <w:rsid w:val="00F9234B"/>
    <w:rsid w:val="00F92396"/>
    <w:rsid w:val="00F92543"/>
    <w:rsid w:val="00F9266B"/>
    <w:rsid w:val="00F929D0"/>
    <w:rsid w:val="00F92A08"/>
    <w:rsid w:val="00F92AF3"/>
    <w:rsid w:val="00F92C11"/>
    <w:rsid w:val="00F92EAE"/>
    <w:rsid w:val="00F92FA9"/>
    <w:rsid w:val="00F932BB"/>
    <w:rsid w:val="00F9335E"/>
    <w:rsid w:val="00F935A0"/>
    <w:rsid w:val="00F9368E"/>
    <w:rsid w:val="00F936A0"/>
    <w:rsid w:val="00F93870"/>
    <w:rsid w:val="00F938CA"/>
    <w:rsid w:val="00F93A5C"/>
    <w:rsid w:val="00F93ACB"/>
    <w:rsid w:val="00F93BA0"/>
    <w:rsid w:val="00F93E3D"/>
    <w:rsid w:val="00F940AC"/>
    <w:rsid w:val="00F9429D"/>
    <w:rsid w:val="00F942B9"/>
    <w:rsid w:val="00F94456"/>
    <w:rsid w:val="00F949AE"/>
    <w:rsid w:val="00F94BB2"/>
    <w:rsid w:val="00F94C29"/>
    <w:rsid w:val="00F94DC0"/>
    <w:rsid w:val="00F9514E"/>
    <w:rsid w:val="00F951EC"/>
    <w:rsid w:val="00F953C2"/>
    <w:rsid w:val="00F9560C"/>
    <w:rsid w:val="00F95666"/>
    <w:rsid w:val="00F957F2"/>
    <w:rsid w:val="00F95988"/>
    <w:rsid w:val="00F959A0"/>
    <w:rsid w:val="00F95B23"/>
    <w:rsid w:val="00F96184"/>
    <w:rsid w:val="00F962C6"/>
    <w:rsid w:val="00F96316"/>
    <w:rsid w:val="00F9676F"/>
    <w:rsid w:val="00F969BF"/>
    <w:rsid w:val="00F969DA"/>
    <w:rsid w:val="00F969F0"/>
    <w:rsid w:val="00F96A2D"/>
    <w:rsid w:val="00F96A3A"/>
    <w:rsid w:val="00F96F13"/>
    <w:rsid w:val="00F97019"/>
    <w:rsid w:val="00F97052"/>
    <w:rsid w:val="00F970C1"/>
    <w:rsid w:val="00F97587"/>
    <w:rsid w:val="00F975B9"/>
    <w:rsid w:val="00F97A49"/>
    <w:rsid w:val="00F97A51"/>
    <w:rsid w:val="00F97AAC"/>
    <w:rsid w:val="00F97CF8"/>
    <w:rsid w:val="00F97DDF"/>
    <w:rsid w:val="00F97DEE"/>
    <w:rsid w:val="00F97FC5"/>
    <w:rsid w:val="00FA021D"/>
    <w:rsid w:val="00FA0433"/>
    <w:rsid w:val="00FA048B"/>
    <w:rsid w:val="00FA0528"/>
    <w:rsid w:val="00FA05C9"/>
    <w:rsid w:val="00FA0798"/>
    <w:rsid w:val="00FA08DC"/>
    <w:rsid w:val="00FA0A59"/>
    <w:rsid w:val="00FA0E53"/>
    <w:rsid w:val="00FA0E76"/>
    <w:rsid w:val="00FA0F01"/>
    <w:rsid w:val="00FA0F6E"/>
    <w:rsid w:val="00FA1030"/>
    <w:rsid w:val="00FA1054"/>
    <w:rsid w:val="00FA117E"/>
    <w:rsid w:val="00FA1356"/>
    <w:rsid w:val="00FA143F"/>
    <w:rsid w:val="00FA1691"/>
    <w:rsid w:val="00FA175A"/>
    <w:rsid w:val="00FA1836"/>
    <w:rsid w:val="00FA1C8A"/>
    <w:rsid w:val="00FA22C2"/>
    <w:rsid w:val="00FA2315"/>
    <w:rsid w:val="00FA259B"/>
    <w:rsid w:val="00FA26AE"/>
    <w:rsid w:val="00FA2760"/>
    <w:rsid w:val="00FA290F"/>
    <w:rsid w:val="00FA2D42"/>
    <w:rsid w:val="00FA2F38"/>
    <w:rsid w:val="00FA391C"/>
    <w:rsid w:val="00FA399D"/>
    <w:rsid w:val="00FA3A5B"/>
    <w:rsid w:val="00FA3A94"/>
    <w:rsid w:val="00FA3F3C"/>
    <w:rsid w:val="00FA3FF9"/>
    <w:rsid w:val="00FA4292"/>
    <w:rsid w:val="00FA439E"/>
    <w:rsid w:val="00FA445C"/>
    <w:rsid w:val="00FA44B0"/>
    <w:rsid w:val="00FA4563"/>
    <w:rsid w:val="00FA491B"/>
    <w:rsid w:val="00FA4A5B"/>
    <w:rsid w:val="00FA4E71"/>
    <w:rsid w:val="00FA4F7B"/>
    <w:rsid w:val="00FA503E"/>
    <w:rsid w:val="00FA5665"/>
    <w:rsid w:val="00FA5A3F"/>
    <w:rsid w:val="00FA5AE5"/>
    <w:rsid w:val="00FA5C08"/>
    <w:rsid w:val="00FA5D16"/>
    <w:rsid w:val="00FA5FE7"/>
    <w:rsid w:val="00FA60BC"/>
    <w:rsid w:val="00FA6281"/>
    <w:rsid w:val="00FA64BA"/>
    <w:rsid w:val="00FA6752"/>
    <w:rsid w:val="00FA685C"/>
    <w:rsid w:val="00FA6C8E"/>
    <w:rsid w:val="00FA6CB5"/>
    <w:rsid w:val="00FA6EE4"/>
    <w:rsid w:val="00FA6EF4"/>
    <w:rsid w:val="00FA7090"/>
    <w:rsid w:val="00FA71CC"/>
    <w:rsid w:val="00FA73B2"/>
    <w:rsid w:val="00FA74BC"/>
    <w:rsid w:val="00FA76E9"/>
    <w:rsid w:val="00FA7717"/>
    <w:rsid w:val="00FA783C"/>
    <w:rsid w:val="00FA7D4C"/>
    <w:rsid w:val="00FA7D8A"/>
    <w:rsid w:val="00FA7F7C"/>
    <w:rsid w:val="00FB0420"/>
    <w:rsid w:val="00FB0557"/>
    <w:rsid w:val="00FB0A23"/>
    <w:rsid w:val="00FB0A80"/>
    <w:rsid w:val="00FB0B1D"/>
    <w:rsid w:val="00FB0C08"/>
    <w:rsid w:val="00FB0D73"/>
    <w:rsid w:val="00FB0E82"/>
    <w:rsid w:val="00FB1289"/>
    <w:rsid w:val="00FB1508"/>
    <w:rsid w:val="00FB15AE"/>
    <w:rsid w:val="00FB16E6"/>
    <w:rsid w:val="00FB1714"/>
    <w:rsid w:val="00FB1ECD"/>
    <w:rsid w:val="00FB2330"/>
    <w:rsid w:val="00FB23F5"/>
    <w:rsid w:val="00FB2861"/>
    <w:rsid w:val="00FB29A2"/>
    <w:rsid w:val="00FB2A9F"/>
    <w:rsid w:val="00FB2AFF"/>
    <w:rsid w:val="00FB2BA5"/>
    <w:rsid w:val="00FB2C86"/>
    <w:rsid w:val="00FB2F0E"/>
    <w:rsid w:val="00FB305D"/>
    <w:rsid w:val="00FB3148"/>
    <w:rsid w:val="00FB3317"/>
    <w:rsid w:val="00FB34DD"/>
    <w:rsid w:val="00FB3562"/>
    <w:rsid w:val="00FB3645"/>
    <w:rsid w:val="00FB3822"/>
    <w:rsid w:val="00FB3F65"/>
    <w:rsid w:val="00FB4113"/>
    <w:rsid w:val="00FB42A5"/>
    <w:rsid w:val="00FB4447"/>
    <w:rsid w:val="00FB48DE"/>
    <w:rsid w:val="00FB494D"/>
    <w:rsid w:val="00FB4B7E"/>
    <w:rsid w:val="00FB4D35"/>
    <w:rsid w:val="00FB4D7B"/>
    <w:rsid w:val="00FB4EFE"/>
    <w:rsid w:val="00FB545C"/>
    <w:rsid w:val="00FB57FE"/>
    <w:rsid w:val="00FB5853"/>
    <w:rsid w:val="00FB5C93"/>
    <w:rsid w:val="00FB5EC6"/>
    <w:rsid w:val="00FB5F06"/>
    <w:rsid w:val="00FB5F60"/>
    <w:rsid w:val="00FB5FCF"/>
    <w:rsid w:val="00FB62E3"/>
    <w:rsid w:val="00FB648B"/>
    <w:rsid w:val="00FB6779"/>
    <w:rsid w:val="00FB6949"/>
    <w:rsid w:val="00FB6FE1"/>
    <w:rsid w:val="00FB735A"/>
    <w:rsid w:val="00FB7694"/>
    <w:rsid w:val="00FB79C3"/>
    <w:rsid w:val="00FB7AB2"/>
    <w:rsid w:val="00FB7ADE"/>
    <w:rsid w:val="00FB7F05"/>
    <w:rsid w:val="00FB7F48"/>
    <w:rsid w:val="00FB7FA8"/>
    <w:rsid w:val="00FC0385"/>
    <w:rsid w:val="00FC03B9"/>
    <w:rsid w:val="00FC0A63"/>
    <w:rsid w:val="00FC0B9D"/>
    <w:rsid w:val="00FC0EDA"/>
    <w:rsid w:val="00FC0EDC"/>
    <w:rsid w:val="00FC136C"/>
    <w:rsid w:val="00FC1639"/>
    <w:rsid w:val="00FC164D"/>
    <w:rsid w:val="00FC1758"/>
    <w:rsid w:val="00FC1976"/>
    <w:rsid w:val="00FC199A"/>
    <w:rsid w:val="00FC1C6D"/>
    <w:rsid w:val="00FC1D49"/>
    <w:rsid w:val="00FC1DE2"/>
    <w:rsid w:val="00FC1EAE"/>
    <w:rsid w:val="00FC1F4A"/>
    <w:rsid w:val="00FC2259"/>
    <w:rsid w:val="00FC226F"/>
    <w:rsid w:val="00FC251D"/>
    <w:rsid w:val="00FC29AE"/>
    <w:rsid w:val="00FC2D71"/>
    <w:rsid w:val="00FC34BB"/>
    <w:rsid w:val="00FC3D69"/>
    <w:rsid w:val="00FC3E23"/>
    <w:rsid w:val="00FC46AB"/>
    <w:rsid w:val="00FC4878"/>
    <w:rsid w:val="00FC4963"/>
    <w:rsid w:val="00FC4C39"/>
    <w:rsid w:val="00FC4C65"/>
    <w:rsid w:val="00FC51B0"/>
    <w:rsid w:val="00FC5430"/>
    <w:rsid w:val="00FC59A6"/>
    <w:rsid w:val="00FC5CC3"/>
    <w:rsid w:val="00FC5D7B"/>
    <w:rsid w:val="00FC5D7D"/>
    <w:rsid w:val="00FC60C8"/>
    <w:rsid w:val="00FC62F2"/>
    <w:rsid w:val="00FC6363"/>
    <w:rsid w:val="00FC63B5"/>
    <w:rsid w:val="00FC6547"/>
    <w:rsid w:val="00FC6782"/>
    <w:rsid w:val="00FC687F"/>
    <w:rsid w:val="00FC68ED"/>
    <w:rsid w:val="00FC6D56"/>
    <w:rsid w:val="00FC6DA8"/>
    <w:rsid w:val="00FC6F15"/>
    <w:rsid w:val="00FC6FAD"/>
    <w:rsid w:val="00FC6FF3"/>
    <w:rsid w:val="00FC719D"/>
    <w:rsid w:val="00FC73C8"/>
    <w:rsid w:val="00FC73E4"/>
    <w:rsid w:val="00FC77AE"/>
    <w:rsid w:val="00FC783C"/>
    <w:rsid w:val="00FC7B39"/>
    <w:rsid w:val="00FC7C4B"/>
    <w:rsid w:val="00FC82B3"/>
    <w:rsid w:val="00FD016B"/>
    <w:rsid w:val="00FD0210"/>
    <w:rsid w:val="00FD064F"/>
    <w:rsid w:val="00FD0879"/>
    <w:rsid w:val="00FD0894"/>
    <w:rsid w:val="00FD10AF"/>
    <w:rsid w:val="00FD14D1"/>
    <w:rsid w:val="00FD15AC"/>
    <w:rsid w:val="00FD18ED"/>
    <w:rsid w:val="00FD1DCF"/>
    <w:rsid w:val="00FD20D7"/>
    <w:rsid w:val="00FD23A2"/>
    <w:rsid w:val="00FD23DC"/>
    <w:rsid w:val="00FD2435"/>
    <w:rsid w:val="00FD2492"/>
    <w:rsid w:val="00FD25AE"/>
    <w:rsid w:val="00FD25FD"/>
    <w:rsid w:val="00FD26BF"/>
    <w:rsid w:val="00FD2740"/>
    <w:rsid w:val="00FD29B5"/>
    <w:rsid w:val="00FD2E2C"/>
    <w:rsid w:val="00FD2F26"/>
    <w:rsid w:val="00FD3021"/>
    <w:rsid w:val="00FD3605"/>
    <w:rsid w:val="00FD371A"/>
    <w:rsid w:val="00FD3844"/>
    <w:rsid w:val="00FD398A"/>
    <w:rsid w:val="00FD3A2B"/>
    <w:rsid w:val="00FD3CCF"/>
    <w:rsid w:val="00FD3CD4"/>
    <w:rsid w:val="00FD4008"/>
    <w:rsid w:val="00FD4076"/>
    <w:rsid w:val="00FD4204"/>
    <w:rsid w:val="00FD435C"/>
    <w:rsid w:val="00FD46E6"/>
    <w:rsid w:val="00FD48A8"/>
    <w:rsid w:val="00FD4A55"/>
    <w:rsid w:val="00FD4CC1"/>
    <w:rsid w:val="00FD52C0"/>
    <w:rsid w:val="00FD5519"/>
    <w:rsid w:val="00FD5758"/>
    <w:rsid w:val="00FD5B54"/>
    <w:rsid w:val="00FD5F1D"/>
    <w:rsid w:val="00FD5FFC"/>
    <w:rsid w:val="00FD6243"/>
    <w:rsid w:val="00FD64D2"/>
    <w:rsid w:val="00FD663E"/>
    <w:rsid w:val="00FD6672"/>
    <w:rsid w:val="00FD68E4"/>
    <w:rsid w:val="00FD69AE"/>
    <w:rsid w:val="00FD6B56"/>
    <w:rsid w:val="00FD6C83"/>
    <w:rsid w:val="00FD72EC"/>
    <w:rsid w:val="00FD742A"/>
    <w:rsid w:val="00FD7629"/>
    <w:rsid w:val="00FD7C21"/>
    <w:rsid w:val="00FD7C67"/>
    <w:rsid w:val="00FD97BA"/>
    <w:rsid w:val="00FE0182"/>
    <w:rsid w:val="00FE0320"/>
    <w:rsid w:val="00FE05E7"/>
    <w:rsid w:val="00FE0643"/>
    <w:rsid w:val="00FE070F"/>
    <w:rsid w:val="00FE0795"/>
    <w:rsid w:val="00FE097B"/>
    <w:rsid w:val="00FE0AD7"/>
    <w:rsid w:val="00FE0DE7"/>
    <w:rsid w:val="00FE10CE"/>
    <w:rsid w:val="00FE12E0"/>
    <w:rsid w:val="00FE14C8"/>
    <w:rsid w:val="00FE16F4"/>
    <w:rsid w:val="00FE19B4"/>
    <w:rsid w:val="00FE1B3D"/>
    <w:rsid w:val="00FE1B8E"/>
    <w:rsid w:val="00FE1EA9"/>
    <w:rsid w:val="00FE1F5B"/>
    <w:rsid w:val="00FE22F9"/>
    <w:rsid w:val="00FE23A0"/>
    <w:rsid w:val="00FE23DB"/>
    <w:rsid w:val="00FE2474"/>
    <w:rsid w:val="00FE2519"/>
    <w:rsid w:val="00FE264E"/>
    <w:rsid w:val="00FE26D8"/>
    <w:rsid w:val="00FE275B"/>
    <w:rsid w:val="00FE27AB"/>
    <w:rsid w:val="00FE291E"/>
    <w:rsid w:val="00FE29FE"/>
    <w:rsid w:val="00FE2CD8"/>
    <w:rsid w:val="00FE2DD3"/>
    <w:rsid w:val="00FE2EF7"/>
    <w:rsid w:val="00FE2F7B"/>
    <w:rsid w:val="00FE3008"/>
    <w:rsid w:val="00FE3204"/>
    <w:rsid w:val="00FE337E"/>
    <w:rsid w:val="00FE3841"/>
    <w:rsid w:val="00FE39DD"/>
    <w:rsid w:val="00FE3ADB"/>
    <w:rsid w:val="00FE3DE9"/>
    <w:rsid w:val="00FE4025"/>
    <w:rsid w:val="00FE43F5"/>
    <w:rsid w:val="00FE4B1A"/>
    <w:rsid w:val="00FE4D99"/>
    <w:rsid w:val="00FE4DC7"/>
    <w:rsid w:val="00FE4DDA"/>
    <w:rsid w:val="00FE4F57"/>
    <w:rsid w:val="00FE514F"/>
    <w:rsid w:val="00FE5353"/>
    <w:rsid w:val="00FE54A2"/>
    <w:rsid w:val="00FE55A9"/>
    <w:rsid w:val="00FE5740"/>
    <w:rsid w:val="00FE5961"/>
    <w:rsid w:val="00FE5A56"/>
    <w:rsid w:val="00FE5B07"/>
    <w:rsid w:val="00FE5CC0"/>
    <w:rsid w:val="00FE6367"/>
    <w:rsid w:val="00FE65CB"/>
    <w:rsid w:val="00FE6648"/>
    <w:rsid w:val="00FE6952"/>
    <w:rsid w:val="00FE6A72"/>
    <w:rsid w:val="00FE6ABC"/>
    <w:rsid w:val="00FE6C8B"/>
    <w:rsid w:val="00FE6EFE"/>
    <w:rsid w:val="00FE7225"/>
    <w:rsid w:val="00FE7888"/>
    <w:rsid w:val="00FE7BE2"/>
    <w:rsid w:val="00FE7D13"/>
    <w:rsid w:val="00FE7DE3"/>
    <w:rsid w:val="00FF052B"/>
    <w:rsid w:val="00FF062D"/>
    <w:rsid w:val="00FF08CF"/>
    <w:rsid w:val="00FF0C30"/>
    <w:rsid w:val="00FF0C4C"/>
    <w:rsid w:val="00FF0EE2"/>
    <w:rsid w:val="00FF0FEC"/>
    <w:rsid w:val="00FF10DF"/>
    <w:rsid w:val="00FF144E"/>
    <w:rsid w:val="00FF1524"/>
    <w:rsid w:val="00FF158A"/>
    <w:rsid w:val="00FF1654"/>
    <w:rsid w:val="00FF166A"/>
    <w:rsid w:val="00FF197B"/>
    <w:rsid w:val="00FF1B89"/>
    <w:rsid w:val="00FF1D39"/>
    <w:rsid w:val="00FF1E27"/>
    <w:rsid w:val="00FF1EAB"/>
    <w:rsid w:val="00FF1F4B"/>
    <w:rsid w:val="00FF21F3"/>
    <w:rsid w:val="00FF24C6"/>
    <w:rsid w:val="00FF2689"/>
    <w:rsid w:val="00FF27EF"/>
    <w:rsid w:val="00FF2A0B"/>
    <w:rsid w:val="00FF2B50"/>
    <w:rsid w:val="00FF2E4E"/>
    <w:rsid w:val="00FF2E8F"/>
    <w:rsid w:val="00FF2E91"/>
    <w:rsid w:val="00FF2FD4"/>
    <w:rsid w:val="00FF2FE4"/>
    <w:rsid w:val="00FF30DF"/>
    <w:rsid w:val="00FF32BC"/>
    <w:rsid w:val="00FF35A9"/>
    <w:rsid w:val="00FF371D"/>
    <w:rsid w:val="00FF3D56"/>
    <w:rsid w:val="00FF3F16"/>
    <w:rsid w:val="00FF4079"/>
    <w:rsid w:val="00FF41A2"/>
    <w:rsid w:val="00FF41CD"/>
    <w:rsid w:val="00FF45F0"/>
    <w:rsid w:val="00FF4809"/>
    <w:rsid w:val="00FF49B7"/>
    <w:rsid w:val="00FF4D44"/>
    <w:rsid w:val="00FF4E51"/>
    <w:rsid w:val="00FF4EFA"/>
    <w:rsid w:val="00FF4F23"/>
    <w:rsid w:val="00FF4F29"/>
    <w:rsid w:val="00FF5268"/>
    <w:rsid w:val="00FF54DA"/>
    <w:rsid w:val="00FF56BE"/>
    <w:rsid w:val="00FF5864"/>
    <w:rsid w:val="00FF5978"/>
    <w:rsid w:val="00FF5B05"/>
    <w:rsid w:val="00FF5C29"/>
    <w:rsid w:val="00FF5D15"/>
    <w:rsid w:val="00FF5E0D"/>
    <w:rsid w:val="00FF6031"/>
    <w:rsid w:val="00FF608B"/>
    <w:rsid w:val="00FF6603"/>
    <w:rsid w:val="00FF66AC"/>
    <w:rsid w:val="00FF687F"/>
    <w:rsid w:val="00FF6C11"/>
    <w:rsid w:val="00FF713C"/>
    <w:rsid w:val="00FF7285"/>
    <w:rsid w:val="00FF76A7"/>
    <w:rsid w:val="00FF7742"/>
    <w:rsid w:val="00FF7904"/>
    <w:rsid w:val="00FF7F3E"/>
    <w:rsid w:val="0101868B"/>
    <w:rsid w:val="0101C762"/>
    <w:rsid w:val="0102515B"/>
    <w:rsid w:val="0104A242"/>
    <w:rsid w:val="01059B85"/>
    <w:rsid w:val="0108BAED"/>
    <w:rsid w:val="010BC4BC"/>
    <w:rsid w:val="010D74AF"/>
    <w:rsid w:val="010E97C1"/>
    <w:rsid w:val="0110E38B"/>
    <w:rsid w:val="01112529"/>
    <w:rsid w:val="0111413A"/>
    <w:rsid w:val="01145B8C"/>
    <w:rsid w:val="01182D89"/>
    <w:rsid w:val="0118D611"/>
    <w:rsid w:val="0119AE1F"/>
    <w:rsid w:val="011AA5F1"/>
    <w:rsid w:val="011B5743"/>
    <w:rsid w:val="011C168B"/>
    <w:rsid w:val="011CE532"/>
    <w:rsid w:val="011D144B"/>
    <w:rsid w:val="012091D8"/>
    <w:rsid w:val="01232F34"/>
    <w:rsid w:val="0123A0A0"/>
    <w:rsid w:val="012455F9"/>
    <w:rsid w:val="01246A6A"/>
    <w:rsid w:val="0126A990"/>
    <w:rsid w:val="01272C1B"/>
    <w:rsid w:val="0127B7B3"/>
    <w:rsid w:val="012A6277"/>
    <w:rsid w:val="012D38EB"/>
    <w:rsid w:val="012E3957"/>
    <w:rsid w:val="012F42CD"/>
    <w:rsid w:val="01330C60"/>
    <w:rsid w:val="0133F34C"/>
    <w:rsid w:val="01348620"/>
    <w:rsid w:val="01370E5A"/>
    <w:rsid w:val="013826A8"/>
    <w:rsid w:val="013B348E"/>
    <w:rsid w:val="013C57D1"/>
    <w:rsid w:val="013E6D70"/>
    <w:rsid w:val="014086B1"/>
    <w:rsid w:val="014178FB"/>
    <w:rsid w:val="014300F7"/>
    <w:rsid w:val="0143CEE5"/>
    <w:rsid w:val="0143E68F"/>
    <w:rsid w:val="0144ED21"/>
    <w:rsid w:val="014678A7"/>
    <w:rsid w:val="0147DAA2"/>
    <w:rsid w:val="0147FA54"/>
    <w:rsid w:val="01488A38"/>
    <w:rsid w:val="0148C8EB"/>
    <w:rsid w:val="01496F1B"/>
    <w:rsid w:val="014AD4E0"/>
    <w:rsid w:val="014BA721"/>
    <w:rsid w:val="014D729F"/>
    <w:rsid w:val="014EF7CD"/>
    <w:rsid w:val="014FB16F"/>
    <w:rsid w:val="01501AEE"/>
    <w:rsid w:val="0150790F"/>
    <w:rsid w:val="015392B5"/>
    <w:rsid w:val="0155938C"/>
    <w:rsid w:val="0159D861"/>
    <w:rsid w:val="015C6851"/>
    <w:rsid w:val="015CB988"/>
    <w:rsid w:val="015F4963"/>
    <w:rsid w:val="0164C401"/>
    <w:rsid w:val="0165A257"/>
    <w:rsid w:val="0165B5E2"/>
    <w:rsid w:val="0165E899"/>
    <w:rsid w:val="01670AE8"/>
    <w:rsid w:val="0168BAA2"/>
    <w:rsid w:val="016AC919"/>
    <w:rsid w:val="016D8F3E"/>
    <w:rsid w:val="016F6821"/>
    <w:rsid w:val="01702CA1"/>
    <w:rsid w:val="0172315C"/>
    <w:rsid w:val="01748276"/>
    <w:rsid w:val="01762D9B"/>
    <w:rsid w:val="0177F17C"/>
    <w:rsid w:val="01787420"/>
    <w:rsid w:val="017B85C5"/>
    <w:rsid w:val="017D5796"/>
    <w:rsid w:val="017E454A"/>
    <w:rsid w:val="017EBA26"/>
    <w:rsid w:val="017EED36"/>
    <w:rsid w:val="017F8B7E"/>
    <w:rsid w:val="0181B60C"/>
    <w:rsid w:val="0182CDAD"/>
    <w:rsid w:val="0182D739"/>
    <w:rsid w:val="0182F8E6"/>
    <w:rsid w:val="0185E571"/>
    <w:rsid w:val="01873D79"/>
    <w:rsid w:val="01879833"/>
    <w:rsid w:val="0188EC6F"/>
    <w:rsid w:val="01892A7E"/>
    <w:rsid w:val="018A4E71"/>
    <w:rsid w:val="018ABEF6"/>
    <w:rsid w:val="018AF9AC"/>
    <w:rsid w:val="018B7069"/>
    <w:rsid w:val="018CF3AF"/>
    <w:rsid w:val="018DBA42"/>
    <w:rsid w:val="018F31C5"/>
    <w:rsid w:val="018F94E8"/>
    <w:rsid w:val="0191FB82"/>
    <w:rsid w:val="01938795"/>
    <w:rsid w:val="01940376"/>
    <w:rsid w:val="0194B2A7"/>
    <w:rsid w:val="019823E5"/>
    <w:rsid w:val="0199C4D1"/>
    <w:rsid w:val="019A582F"/>
    <w:rsid w:val="01A2751C"/>
    <w:rsid w:val="01A378C0"/>
    <w:rsid w:val="01A44E6D"/>
    <w:rsid w:val="01A5EEB8"/>
    <w:rsid w:val="01A7BD96"/>
    <w:rsid w:val="01A93D94"/>
    <w:rsid w:val="01B1CEB4"/>
    <w:rsid w:val="01B3A895"/>
    <w:rsid w:val="01B4471F"/>
    <w:rsid w:val="01B469B3"/>
    <w:rsid w:val="01B4E4E0"/>
    <w:rsid w:val="01B9D2AE"/>
    <w:rsid w:val="01BC235E"/>
    <w:rsid w:val="01BC4F8F"/>
    <w:rsid w:val="01BD495F"/>
    <w:rsid w:val="01BDA57E"/>
    <w:rsid w:val="01BDC808"/>
    <w:rsid w:val="01C00569"/>
    <w:rsid w:val="01C147C6"/>
    <w:rsid w:val="01C30D6C"/>
    <w:rsid w:val="01C55854"/>
    <w:rsid w:val="01C6B479"/>
    <w:rsid w:val="01C8198F"/>
    <w:rsid w:val="01CAC0B1"/>
    <w:rsid w:val="01CB5EBC"/>
    <w:rsid w:val="01CC587D"/>
    <w:rsid w:val="01CC750D"/>
    <w:rsid w:val="01CD0F3C"/>
    <w:rsid w:val="01CF0533"/>
    <w:rsid w:val="01D06284"/>
    <w:rsid w:val="01D11B9C"/>
    <w:rsid w:val="01D1C572"/>
    <w:rsid w:val="01D55878"/>
    <w:rsid w:val="01D6BB4C"/>
    <w:rsid w:val="01D79D3F"/>
    <w:rsid w:val="01D87CFF"/>
    <w:rsid w:val="01D9E18E"/>
    <w:rsid w:val="01DAC45A"/>
    <w:rsid w:val="01DC8046"/>
    <w:rsid w:val="01DE1851"/>
    <w:rsid w:val="01E18E23"/>
    <w:rsid w:val="01E3B01D"/>
    <w:rsid w:val="01E45943"/>
    <w:rsid w:val="01E819F7"/>
    <w:rsid w:val="01E9D35E"/>
    <w:rsid w:val="01EB3B32"/>
    <w:rsid w:val="01EB4FDD"/>
    <w:rsid w:val="01EB8302"/>
    <w:rsid w:val="01EC5B2F"/>
    <w:rsid w:val="01ECC6C2"/>
    <w:rsid w:val="01F289B0"/>
    <w:rsid w:val="01F492FD"/>
    <w:rsid w:val="01F647FD"/>
    <w:rsid w:val="01F8B3B5"/>
    <w:rsid w:val="01F93F65"/>
    <w:rsid w:val="01F94384"/>
    <w:rsid w:val="01F9520C"/>
    <w:rsid w:val="01FD239A"/>
    <w:rsid w:val="01FF2EDA"/>
    <w:rsid w:val="02032321"/>
    <w:rsid w:val="0204AB43"/>
    <w:rsid w:val="0205F017"/>
    <w:rsid w:val="0207834F"/>
    <w:rsid w:val="0208133F"/>
    <w:rsid w:val="020932C5"/>
    <w:rsid w:val="02097B5E"/>
    <w:rsid w:val="0209A54F"/>
    <w:rsid w:val="020D874A"/>
    <w:rsid w:val="020D8C55"/>
    <w:rsid w:val="020E06B8"/>
    <w:rsid w:val="020EA02C"/>
    <w:rsid w:val="0211153A"/>
    <w:rsid w:val="02142DA6"/>
    <w:rsid w:val="0215330A"/>
    <w:rsid w:val="0215B541"/>
    <w:rsid w:val="0217E637"/>
    <w:rsid w:val="021B2C11"/>
    <w:rsid w:val="021F938C"/>
    <w:rsid w:val="02209AA2"/>
    <w:rsid w:val="0220EA33"/>
    <w:rsid w:val="0222B03F"/>
    <w:rsid w:val="0229B0E7"/>
    <w:rsid w:val="022E7F4A"/>
    <w:rsid w:val="0231D2C2"/>
    <w:rsid w:val="023209FF"/>
    <w:rsid w:val="02324CAD"/>
    <w:rsid w:val="02351F47"/>
    <w:rsid w:val="0235538A"/>
    <w:rsid w:val="02393A8B"/>
    <w:rsid w:val="0239EFB0"/>
    <w:rsid w:val="023E0D2B"/>
    <w:rsid w:val="023E465A"/>
    <w:rsid w:val="024090AD"/>
    <w:rsid w:val="02419885"/>
    <w:rsid w:val="024248A6"/>
    <w:rsid w:val="02426BCD"/>
    <w:rsid w:val="02456237"/>
    <w:rsid w:val="02487774"/>
    <w:rsid w:val="02488611"/>
    <w:rsid w:val="0248B101"/>
    <w:rsid w:val="024AFA02"/>
    <w:rsid w:val="024CFB8D"/>
    <w:rsid w:val="024D5000"/>
    <w:rsid w:val="024D8D52"/>
    <w:rsid w:val="0253077A"/>
    <w:rsid w:val="02573DE8"/>
    <w:rsid w:val="0257C896"/>
    <w:rsid w:val="0257FADF"/>
    <w:rsid w:val="02582FF4"/>
    <w:rsid w:val="025926FF"/>
    <w:rsid w:val="0259C808"/>
    <w:rsid w:val="025A9C95"/>
    <w:rsid w:val="02606D9D"/>
    <w:rsid w:val="02617BD6"/>
    <w:rsid w:val="02636D87"/>
    <w:rsid w:val="0269992B"/>
    <w:rsid w:val="026A9ACB"/>
    <w:rsid w:val="026B7F52"/>
    <w:rsid w:val="026CE20B"/>
    <w:rsid w:val="026D481E"/>
    <w:rsid w:val="026E0D0E"/>
    <w:rsid w:val="02710CF8"/>
    <w:rsid w:val="0271DAD8"/>
    <w:rsid w:val="0275790D"/>
    <w:rsid w:val="0276FDF0"/>
    <w:rsid w:val="0277ED60"/>
    <w:rsid w:val="02782924"/>
    <w:rsid w:val="02788B88"/>
    <w:rsid w:val="0278AD4E"/>
    <w:rsid w:val="02795021"/>
    <w:rsid w:val="027A8916"/>
    <w:rsid w:val="027B1BB7"/>
    <w:rsid w:val="027FC88A"/>
    <w:rsid w:val="028241BD"/>
    <w:rsid w:val="0286BBC9"/>
    <w:rsid w:val="0286E47E"/>
    <w:rsid w:val="02896C35"/>
    <w:rsid w:val="028AA901"/>
    <w:rsid w:val="028ABE1B"/>
    <w:rsid w:val="028B774E"/>
    <w:rsid w:val="028D514F"/>
    <w:rsid w:val="028D7266"/>
    <w:rsid w:val="028EF1F3"/>
    <w:rsid w:val="028F6073"/>
    <w:rsid w:val="0293B582"/>
    <w:rsid w:val="029A9AAF"/>
    <w:rsid w:val="029F330A"/>
    <w:rsid w:val="02A4D4BE"/>
    <w:rsid w:val="02A82BEC"/>
    <w:rsid w:val="02AA4FFE"/>
    <w:rsid w:val="02AA789A"/>
    <w:rsid w:val="02AADA06"/>
    <w:rsid w:val="02B055AF"/>
    <w:rsid w:val="02B5C502"/>
    <w:rsid w:val="02B5E040"/>
    <w:rsid w:val="02B70CD7"/>
    <w:rsid w:val="02BA56DB"/>
    <w:rsid w:val="02BF54E0"/>
    <w:rsid w:val="02C058ED"/>
    <w:rsid w:val="02C31787"/>
    <w:rsid w:val="02C754DC"/>
    <w:rsid w:val="02C93CEE"/>
    <w:rsid w:val="02CAF5FC"/>
    <w:rsid w:val="02CD1B45"/>
    <w:rsid w:val="02CECB80"/>
    <w:rsid w:val="02D13BC8"/>
    <w:rsid w:val="02D193C4"/>
    <w:rsid w:val="02D1E488"/>
    <w:rsid w:val="02D2444D"/>
    <w:rsid w:val="02D30DA8"/>
    <w:rsid w:val="02D4D868"/>
    <w:rsid w:val="02D7DD8F"/>
    <w:rsid w:val="02DBC4A1"/>
    <w:rsid w:val="02DBEF9E"/>
    <w:rsid w:val="02E13F93"/>
    <w:rsid w:val="02E3FD63"/>
    <w:rsid w:val="02E6D2B1"/>
    <w:rsid w:val="02E85458"/>
    <w:rsid w:val="02E88617"/>
    <w:rsid w:val="02EB6FFC"/>
    <w:rsid w:val="02EBD808"/>
    <w:rsid w:val="02F0DA20"/>
    <w:rsid w:val="02F89B37"/>
    <w:rsid w:val="02FAF3BA"/>
    <w:rsid w:val="02FE14F4"/>
    <w:rsid w:val="02FEA125"/>
    <w:rsid w:val="0305377D"/>
    <w:rsid w:val="03055098"/>
    <w:rsid w:val="03061321"/>
    <w:rsid w:val="030A3B81"/>
    <w:rsid w:val="030AB226"/>
    <w:rsid w:val="030B2A8E"/>
    <w:rsid w:val="030D8629"/>
    <w:rsid w:val="030DAF3F"/>
    <w:rsid w:val="030F76E9"/>
    <w:rsid w:val="0312D415"/>
    <w:rsid w:val="03159879"/>
    <w:rsid w:val="0315E60A"/>
    <w:rsid w:val="0315F512"/>
    <w:rsid w:val="031A1BD0"/>
    <w:rsid w:val="031EA29D"/>
    <w:rsid w:val="0321BE39"/>
    <w:rsid w:val="03220764"/>
    <w:rsid w:val="0322C5EB"/>
    <w:rsid w:val="0322D5EA"/>
    <w:rsid w:val="0323554E"/>
    <w:rsid w:val="0324A4E5"/>
    <w:rsid w:val="0325620C"/>
    <w:rsid w:val="0325FB5E"/>
    <w:rsid w:val="03269956"/>
    <w:rsid w:val="03276ACA"/>
    <w:rsid w:val="032BA61F"/>
    <w:rsid w:val="032D1A38"/>
    <w:rsid w:val="0330C9EA"/>
    <w:rsid w:val="0330D516"/>
    <w:rsid w:val="0332630D"/>
    <w:rsid w:val="03332676"/>
    <w:rsid w:val="034205CE"/>
    <w:rsid w:val="03446391"/>
    <w:rsid w:val="03447ECD"/>
    <w:rsid w:val="03482CA9"/>
    <w:rsid w:val="034A4BDD"/>
    <w:rsid w:val="034BD1D5"/>
    <w:rsid w:val="03512CA4"/>
    <w:rsid w:val="0351D7FC"/>
    <w:rsid w:val="035520F0"/>
    <w:rsid w:val="0356E207"/>
    <w:rsid w:val="035EC7BA"/>
    <w:rsid w:val="0361C67B"/>
    <w:rsid w:val="03634392"/>
    <w:rsid w:val="03634A69"/>
    <w:rsid w:val="0364E32F"/>
    <w:rsid w:val="036828DE"/>
    <w:rsid w:val="036A7DEA"/>
    <w:rsid w:val="036AFAF0"/>
    <w:rsid w:val="036B14B0"/>
    <w:rsid w:val="036CB103"/>
    <w:rsid w:val="036E01EF"/>
    <w:rsid w:val="03794EEA"/>
    <w:rsid w:val="037A2D41"/>
    <w:rsid w:val="03803835"/>
    <w:rsid w:val="03821EC8"/>
    <w:rsid w:val="03821EFB"/>
    <w:rsid w:val="03826E31"/>
    <w:rsid w:val="0382E95C"/>
    <w:rsid w:val="0383A181"/>
    <w:rsid w:val="03859B99"/>
    <w:rsid w:val="03880B3B"/>
    <w:rsid w:val="038851C4"/>
    <w:rsid w:val="038B4A85"/>
    <w:rsid w:val="038E3047"/>
    <w:rsid w:val="038F24BF"/>
    <w:rsid w:val="03961FE8"/>
    <w:rsid w:val="039865C7"/>
    <w:rsid w:val="039987A4"/>
    <w:rsid w:val="0399E27E"/>
    <w:rsid w:val="039B63F0"/>
    <w:rsid w:val="039DBC2B"/>
    <w:rsid w:val="03A1C653"/>
    <w:rsid w:val="03A20144"/>
    <w:rsid w:val="03A2301C"/>
    <w:rsid w:val="03A55862"/>
    <w:rsid w:val="03A5D68F"/>
    <w:rsid w:val="03A859AF"/>
    <w:rsid w:val="03A8D7BC"/>
    <w:rsid w:val="03ADC08F"/>
    <w:rsid w:val="03AEBCE1"/>
    <w:rsid w:val="03AFF391"/>
    <w:rsid w:val="03B18008"/>
    <w:rsid w:val="03B222BC"/>
    <w:rsid w:val="03B34E33"/>
    <w:rsid w:val="03B59397"/>
    <w:rsid w:val="03B69120"/>
    <w:rsid w:val="03B695A3"/>
    <w:rsid w:val="03B7F7D9"/>
    <w:rsid w:val="03B859AF"/>
    <w:rsid w:val="03BAFBC5"/>
    <w:rsid w:val="03BBF9D5"/>
    <w:rsid w:val="03BD7357"/>
    <w:rsid w:val="03BE3396"/>
    <w:rsid w:val="03BFCD76"/>
    <w:rsid w:val="03C06712"/>
    <w:rsid w:val="03C24859"/>
    <w:rsid w:val="03C4B834"/>
    <w:rsid w:val="03C55294"/>
    <w:rsid w:val="03C61925"/>
    <w:rsid w:val="03C683FF"/>
    <w:rsid w:val="03C75566"/>
    <w:rsid w:val="03C8C94D"/>
    <w:rsid w:val="03C94ABC"/>
    <w:rsid w:val="03C9E6F5"/>
    <w:rsid w:val="03CA6B2E"/>
    <w:rsid w:val="03CA976C"/>
    <w:rsid w:val="03CC3399"/>
    <w:rsid w:val="03CF0D0A"/>
    <w:rsid w:val="03D33C81"/>
    <w:rsid w:val="03D3E5AE"/>
    <w:rsid w:val="03D6006C"/>
    <w:rsid w:val="03D7F7A9"/>
    <w:rsid w:val="03D8B6A8"/>
    <w:rsid w:val="03D920AD"/>
    <w:rsid w:val="03DCC813"/>
    <w:rsid w:val="03DCCD37"/>
    <w:rsid w:val="03DDC834"/>
    <w:rsid w:val="03E7C64A"/>
    <w:rsid w:val="03E92924"/>
    <w:rsid w:val="03EC2603"/>
    <w:rsid w:val="03ECE608"/>
    <w:rsid w:val="03F08E96"/>
    <w:rsid w:val="03F096C6"/>
    <w:rsid w:val="03F24542"/>
    <w:rsid w:val="03F487DB"/>
    <w:rsid w:val="03F4F7DB"/>
    <w:rsid w:val="03F9F4B9"/>
    <w:rsid w:val="03FA1D88"/>
    <w:rsid w:val="03FE4449"/>
    <w:rsid w:val="03FFCC60"/>
    <w:rsid w:val="0401DB29"/>
    <w:rsid w:val="0403D2D2"/>
    <w:rsid w:val="04072445"/>
    <w:rsid w:val="040D9320"/>
    <w:rsid w:val="040DEB99"/>
    <w:rsid w:val="04101F06"/>
    <w:rsid w:val="0411F0B4"/>
    <w:rsid w:val="04129D4F"/>
    <w:rsid w:val="04185B2A"/>
    <w:rsid w:val="0418D07A"/>
    <w:rsid w:val="041927BB"/>
    <w:rsid w:val="041A390C"/>
    <w:rsid w:val="041C7EF2"/>
    <w:rsid w:val="041E08C7"/>
    <w:rsid w:val="041FE86A"/>
    <w:rsid w:val="0421B571"/>
    <w:rsid w:val="0424B72B"/>
    <w:rsid w:val="0425FB7E"/>
    <w:rsid w:val="042668BF"/>
    <w:rsid w:val="042827B4"/>
    <w:rsid w:val="042867C8"/>
    <w:rsid w:val="042B288F"/>
    <w:rsid w:val="042FBFEB"/>
    <w:rsid w:val="04306ED8"/>
    <w:rsid w:val="0430E5AB"/>
    <w:rsid w:val="04326925"/>
    <w:rsid w:val="0433305F"/>
    <w:rsid w:val="04349BC2"/>
    <w:rsid w:val="0435354E"/>
    <w:rsid w:val="043EBA6C"/>
    <w:rsid w:val="0441235E"/>
    <w:rsid w:val="04420284"/>
    <w:rsid w:val="0442A4A3"/>
    <w:rsid w:val="04471381"/>
    <w:rsid w:val="044DF9A3"/>
    <w:rsid w:val="044FD2A6"/>
    <w:rsid w:val="045319EB"/>
    <w:rsid w:val="04539554"/>
    <w:rsid w:val="045432D8"/>
    <w:rsid w:val="04548434"/>
    <w:rsid w:val="0454CBA8"/>
    <w:rsid w:val="0455FC17"/>
    <w:rsid w:val="04561CFA"/>
    <w:rsid w:val="04573C55"/>
    <w:rsid w:val="0459ADD2"/>
    <w:rsid w:val="045B503F"/>
    <w:rsid w:val="045C294E"/>
    <w:rsid w:val="045C2F3F"/>
    <w:rsid w:val="045CDCCD"/>
    <w:rsid w:val="045E7A1F"/>
    <w:rsid w:val="046134FF"/>
    <w:rsid w:val="0465707D"/>
    <w:rsid w:val="04686BF4"/>
    <w:rsid w:val="0469ACD5"/>
    <w:rsid w:val="046D22B2"/>
    <w:rsid w:val="046E3ABC"/>
    <w:rsid w:val="046E9E08"/>
    <w:rsid w:val="046EF2B7"/>
    <w:rsid w:val="047070F3"/>
    <w:rsid w:val="04718001"/>
    <w:rsid w:val="0473B4A0"/>
    <w:rsid w:val="047551AB"/>
    <w:rsid w:val="0475AD79"/>
    <w:rsid w:val="047637FB"/>
    <w:rsid w:val="04780572"/>
    <w:rsid w:val="0479012A"/>
    <w:rsid w:val="0479DE6E"/>
    <w:rsid w:val="047F09D4"/>
    <w:rsid w:val="048518FB"/>
    <w:rsid w:val="04873B4F"/>
    <w:rsid w:val="04881223"/>
    <w:rsid w:val="0488797B"/>
    <w:rsid w:val="0489B158"/>
    <w:rsid w:val="048FD6BE"/>
    <w:rsid w:val="049052B6"/>
    <w:rsid w:val="0490DF72"/>
    <w:rsid w:val="04941B37"/>
    <w:rsid w:val="04947009"/>
    <w:rsid w:val="0495B269"/>
    <w:rsid w:val="0495EDBF"/>
    <w:rsid w:val="0497979A"/>
    <w:rsid w:val="049910EF"/>
    <w:rsid w:val="0499F820"/>
    <w:rsid w:val="049AF198"/>
    <w:rsid w:val="049B4133"/>
    <w:rsid w:val="049E61F8"/>
    <w:rsid w:val="049F8C78"/>
    <w:rsid w:val="04A1041D"/>
    <w:rsid w:val="04A32C7B"/>
    <w:rsid w:val="04A403E1"/>
    <w:rsid w:val="04A837BE"/>
    <w:rsid w:val="04A8456E"/>
    <w:rsid w:val="04A8C465"/>
    <w:rsid w:val="04ABE743"/>
    <w:rsid w:val="04AD20D2"/>
    <w:rsid w:val="04AF3A0F"/>
    <w:rsid w:val="04AF9189"/>
    <w:rsid w:val="04AFF36F"/>
    <w:rsid w:val="04B03EC8"/>
    <w:rsid w:val="04B1D938"/>
    <w:rsid w:val="04B86A7A"/>
    <w:rsid w:val="04BD25F6"/>
    <w:rsid w:val="04BDAD31"/>
    <w:rsid w:val="04BF5A62"/>
    <w:rsid w:val="04BF8B8E"/>
    <w:rsid w:val="04C1933F"/>
    <w:rsid w:val="04C1DC57"/>
    <w:rsid w:val="04C2475D"/>
    <w:rsid w:val="04C27582"/>
    <w:rsid w:val="04C2AC79"/>
    <w:rsid w:val="04C7C2C6"/>
    <w:rsid w:val="04C8FF35"/>
    <w:rsid w:val="04CC0B4C"/>
    <w:rsid w:val="04CE2A51"/>
    <w:rsid w:val="04CE4ECE"/>
    <w:rsid w:val="04CE5E95"/>
    <w:rsid w:val="04D2C66F"/>
    <w:rsid w:val="04D2F631"/>
    <w:rsid w:val="04D55CA9"/>
    <w:rsid w:val="04D698F5"/>
    <w:rsid w:val="04D6DB64"/>
    <w:rsid w:val="04D6E681"/>
    <w:rsid w:val="04D6FADB"/>
    <w:rsid w:val="04DA2C8A"/>
    <w:rsid w:val="04E1C28C"/>
    <w:rsid w:val="04E276BC"/>
    <w:rsid w:val="04E63E21"/>
    <w:rsid w:val="04E65C04"/>
    <w:rsid w:val="04EE2BD5"/>
    <w:rsid w:val="04EF1AB7"/>
    <w:rsid w:val="04F31795"/>
    <w:rsid w:val="04F3F23B"/>
    <w:rsid w:val="04F490A3"/>
    <w:rsid w:val="04F68B24"/>
    <w:rsid w:val="04F6F6FE"/>
    <w:rsid w:val="04F89BF6"/>
    <w:rsid w:val="04FE8B1E"/>
    <w:rsid w:val="04FEE372"/>
    <w:rsid w:val="0502ACC7"/>
    <w:rsid w:val="0503873F"/>
    <w:rsid w:val="05070292"/>
    <w:rsid w:val="0508ED29"/>
    <w:rsid w:val="050B2F69"/>
    <w:rsid w:val="050E442F"/>
    <w:rsid w:val="050EBA86"/>
    <w:rsid w:val="050ED6AB"/>
    <w:rsid w:val="050F415C"/>
    <w:rsid w:val="0510B486"/>
    <w:rsid w:val="0514F71D"/>
    <w:rsid w:val="051B49B0"/>
    <w:rsid w:val="051B97B7"/>
    <w:rsid w:val="0520C2BA"/>
    <w:rsid w:val="0527FBA7"/>
    <w:rsid w:val="052BC3B2"/>
    <w:rsid w:val="052EC51E"/>
    <w:rsid w:val="052EE91C"/>
    <w:rsid w:val="052F2199"/>
    <w:rsid w:val="05314FB0"/>
    <w:rsid w:val="05324A21"/>
    <w:rsid w:val="0532A51C"/>
    <w:rsid w:val="0536A831"/>
    <w:rsid w:val="0537A1F3"/>
    <w:rsid w:val="0537AD32"/>
    <w:rsid w:val="0538884C"/>
    <w:rsid w:val="053B4E33"/>
    <w:rsid w:val="053C84B8"/>
    <w:rsid w:val="053C8F98"/>
    <w:rsid w:val="053E8E96"/>
    <w:rsid w:val="053EE33F"/>
    <w:rsid w:val="05451569"/>
    <w:rsid w:val="0545B00B"/>
    <w:rsid w:val="0546F1A5"/>
    <w:rsid w:val="054915D3"/>
    <w:rsid w:val="054AEEBD"/>
    <w:rsid w:val="054F175D"/>
    <w:rsid w:val="05599685"/>
    <w:rsid w:val="055A6F2B"/>
    <w:rsid w:val="055DC17C"/>
    <w:rsid w:val="05605C41"/>
    <w:rsid w:val="0560AA17"/>
    <w:rsid w:val="0561B46F"/>
    <w:rsid w:val="0563172F"/>
    <w:rsid w:val="05672728"/>
    <w:rsid w:val="056737AE"/>
    <w:rsid w:val="056A9F16"/>
    <w:rsid w:val="056B210E"/>
    <w:rsid w:val="056BDA74"/>
    <w:rsid w:val="056D57E7"/>
    <w:rsid w:val="056E03AE"/>
    <w:rsid w:val="057311C1"/>
    <w:rsid w:val="0579083B"/>
    <w:rsid w:val="05792A27"/>
    <w:rsid w:val="057E3F4F"/>
    <w:rsid w:val="05810967"/>
    <w:rsid w:val="0583E720"/>
    <w:rsid w:val="0585710E"/>
    <w:rsid w:val="0585D5FC"/>
    <w:rsid w:val="0586D54E"/>
    <w:rsid w:val="058A94CB"/>
    <w:rsid w:val="058CE8E3"/>
    <w:rsid w:val="058D0FCA"/>
    <w:rsid w:val="058D182E"/>
    <w:rsid w:val="058D78B8"/>
    <w:rsid w:val="0591F09F"/>
    <w:rsid w:val="05949736"/>
    <w:rsid w:val="0594A3D6"/>
    <w:rsid w:val="0596F932"/>
    <w:rsid w:val="0598510A"/>
    <w:rsid w:val="0599D7D8"/>
    <w:rsid w:val="059A4BA8"/>
    <w:rsid w:val="059E3526"/>
    <w:rsid w:val="059EBB72"/>
    <w:rsid w:val="059F56C0"/>
    <w:rsid w:val="05A0EF9E"/>
    <w:rsid w:val="05A2943B"/>
    <w:rsid w:val="05A3289B"/>
    <w:rsid w:val="05A69C45"/>
    <w:rsid w:val="05AB6B37"/>
    <w:rsid w:val="05ABD934"/>
    <w:rsid w:val="05ADEE3C"/>
    <w:rsid w:val="05AE6469"/>
    <w:rsid w:val="05B0A2E5"/>
    <w:rsid w:val="05B28C1C"/>
    <w:rsid w:val="05BB1AF9"/>
    <w:rsid w:val="05BC8A08"/>
    <w:rsid w:val="05BE5883"/>
    <w:rsid w:val="05C1D578"/>
    <w:rsid w:val="05C37453"/>
    <w:rsid w:val="05C5CC28"/>
    <w:rsid w:val="05C72355"/>
    <w:rsid w:val="05C7AD3F"/>
    <w:rsid w:val="05C9C1D3"/>
    <w:rsid w:val="05CAA717"/>
    <w:rsid w:val="05CCF6B5"/>
    <w:rsid w:val="05D130C1"/>
    <w:rsid w:val="05D22F8F"/>
    <w:rsid w:val="05D24202"/>
    <w:rsid w:val="05D40A04"/>
    <w:rsid w:val="05D528EB"/>
    <w:rsid w:val="05D63DB5"/>
    <w:rsid w:val="05D929F2"/>
    <w:rsid w:val="05E07469"/>
    <w:rsid w:val="05E64A5B"/>
    <w:rsid w:val="05E6933F"/>
    <w:rsid w:val="05E7D7F6"/>
    <w:rsid w:val="05E8E5E6"/>
    <w:rsid w:val="05EBD0C9"/>
    <w:rsid w:val="05EC2779"/>
    <w:rsid w:val="05ECA8B2"/>
    <w:rsid w:val="05EEAFF2"/>
    <w:rsid w:val="05EFA0DA"/>
    <w:rsid w:val="05F0AB57"/>
    <w:rsid w:val="05F5219D"/>
    <w:rsid w:val="05F53566"/>
    <w:rsid w:val="05F71600"/>
    <w:rsid w:val="05F7F919"/>
    <w:rsid w:val="05F932DD"/>
    <w:rsid w:val="05F95D96"/>
    <w:rsid w:val="05F97322"/>
    <w:rsid w:val="05FA6F1A"/>
    <w:rsid w:val="05FAE764"/>
    <w:rsid w:val="05FB2D86"/>
    <w:rsid w:val="05FE9D97"/>
    <w:rsid w:val="05FF6126"/>
    <w:rsid w:val="0600154C"/>
    <w:rsid w:val="0601C9C6"/>
    <w:rsid w:val="0604B298"/>
    <w:rsid w:val="060785F1"/>
    <w:rsid w:val="06090B0A"/>
    <w:rsid w:val="0609F708"/>
    <w:rsid w:val="060A5C48"/>
    <w:rsid w:val="060B5B08"/>
    <w:rsid w:val="060D2ED3"/>
    <w:rsid w:val="0610AB06"/>
    <w:rsid w:val="0611220C"/>
    <w:rsid w:val="0613879A"/>
    <w:rsid w:val="0615F8D5"/>
    <w:rsid w:val="06189A70"/>
    <w:rsid w:val="061A5C72"/>
    <w:rsid w:val="06207C90"/>
    <w:rsid w:val="062093DC"/>
    <w:rsid w:val="06219BB6"/>
    <w:rsid w:val="06236C43"/>
    <w:rsid w:val="06251C8C"/>
    <w:rsid w:val="06289987"/>
    <w:rsid w:val="062C6675"/>
    <w:rsid w:val="062FCCEE"/>
    <w:rsid w:val="0634D3C5"/>
    <w:rsid w:val="0638AA03"/>
    <w:rsid w:val="0638F9F4"/>
    <w:rsid w:val="063A6A93"/>
    <w:rsid w:val="063BAEA5"/>
    <w:rsid w:val="063CEAD3"/>
    <w:rsid w:val="063D53EB"/>
    <w:rsid w:val="063D8698"/>
    <w:rsid w:val="063EB761"/>
    <w:rsid w:val="0641AFAC"/>
    <w:rsid w:val="0642B6A9"/>
    <w:rsid w:val="06449EE3"/>
    <w:rsid w:val="0644A3B3"/>
    <w:rsid w:val="06462DA6"/>
    <w:rsid w:val="06465407"/>
    <w:rsid w:val="0646F117"/>
    <w:rsid w:val="0648165D"/>
    <w:rsid w:val="064AC410"/>
    <w:rsid w:val="064C0FE8"/>
    <w:rsid w:val="064E34ED"/>
    <w:rsid w:val="064EABC8"/>
    <w:rsid w:val="0650C5D0"/>
    <w:rsid w:val="06527E71"/>
    <w:rsid w:val="065348B2"/>
    <w:rsid w:val="0656187E"/>
    <w:rsid w:val="06595E28"/>
    <w:rsid w:val="0659B347"/>
    <w:rsid w:val="065AB54A"/>
    <w:rsid w:val="065CC25A"/>
    <w:rsid w:val="065F1488"/>
    <w:rsid w:val="06629847"/>
    <w:rsid w:val="06634019"/>
    <w:rsid w:val="0664194A"/>
    <w:rsid w:val="0664910D"/>
    <w:rsid w:val="066C56A5"/>
    <w:rsid w:val="066CA410"/>
    <w:rsid w:val="066EA463"/>
    <w:rsid w:val="066ECD09"/>
    <w:rsid w:val="066F31AF"/>
    <w:rsid w:val="067040C5"/>
    <w:rsid w:val="0671BE1B"/>
    <w:rsid w:val="0672171F"/>
    <w:rsid w:val="0677B42D"/>
    <w:rsid w:val="0679C206"/>
    <w:rsid w:val="067CE9DF"/>
    <w:rsid w:val="067D04CD"/>
    <w:rsid w:val="067F28EC"/>
    <w:rsid w:val="067FC26F"/>
    <w:rsid w:val="0680E669"/>
    <w:rsid w:val="06810811"/>
    <w:rsid w:val="068422A4"/>
    <w:rsid w:val="068891E7"/>
    <w:rsid w:val="068A1538"/>
    <w:rsid w:val="068AC3F8"/>
    <w:rsid w:val="068AC436"/>
    <w:rsid w:val="068BB723"/>
    <w:rsid w:val="06903036"/>
    <w:rsid w:val="06910CDB"/>
    <w:rsid w:val="06917B1B"/>
    <w:rsid w:val="0692EACF"/>
    <w:rsid w:val="0697562D"/>
    <w:rsid w:val="0699302F"/>
    <w:rsid w:val="069A9056"/>
    <w:rsid w:val="069CA70A"/>
    <w:rsid w:val="069D37D9"/>
    <w:rsid w:val="069D6C1C"/>
    <w:rsid w:val="06A17586"/>
    <w:rsid w:val="06A25EAC"/>
    <w:rsid w:val="06ACE944"/>
    <w:rsid w:val="06AD20BC"/>
    <w:rsid w:val="06AD4798"/>
    <w:rsid w:val="06B01513"/>
    <w:rsid w:val="06B3A242"/>
    <w:rsid w:val="06B55788"/>
    <w:rsid w:val="06B6A2B9"/>
    <w:rsid w:val="06B84231"/>
    <w:rsid w:val="06BA8A1E"/>
    <w:rsid w:val="06BDDC97"/>
    <w:rsid w:val="06C23E29"/>
    <w:rsid w:val="06C63701"/>
    <w:rsid w:val="06CACEF5"/>
    <w:rsid w:val="06CF4941"/>
    <w:rsid w:val="06D13527"/>
    <w:rsid w:val="06D1BA87"/>
    <w:rsid w:val="06D46502"/>
    <w:rsid w:val="06DFDBAB"/>
    <w:rsid w:val="06E03BFD"/>
    <w:rsid w:val="06E2DB9D"/>
    <w:rsid w:val="06E31BE0"/>
    <w:rsid w:val="06E45E9A"/>
    <w:rsid w:val="06E7CD39"/>
    <w:rsid w:val="06E7E70B"/>
    <w:rsid w:val="06E7F76E"/>
    <w:rsid w:val="06EB3509"/>
    <w:rsid w:val="06EF715D"/>
    <w:rsid w:val="06F118DD"/>
    <w:rsid w:val="06F2D438"/>
    <w:rsid w:val="06F90E25"/>
    <w:rsid w:val="06F97014"/>
    <w:rsid w:val="06F9ACFE"/>
    <w:rsid w:val="06F9EBA3"/>
    <w:rsid w:val="06FDBEE0"/>
    <w:rsid w:val="07053F5C"/>
    <w:rsid w:val="0705A730"/>
    <w:rsid w:val="07067B7E"/>
    <w:rsid w:val="07083B76"/>
    <w:rsid w:val="070924DD"/>
    <w:rsid w:val="070CA4FD"/>
    <w:rsid w:val="07113004"/>
    <w:rsid w:val="0711A66F"/>
    <w:rsid w:val="07191583"/>
    <w:rsid w:val="07192AEE"/>
    <w:rsid w:val="071FC181"/>
    <w:rsid w:val="07209A0F"/>
    <w:rsid w:val="0721662D"/>
    <w:rsid w:val="072565BD"/>
    <w:rsid w:val="072B0E1C"/>
    <w:rsid w:val="072D4E15"/>
    <w:rsid w:val="072F266D"/>
    <w:rsid w:val="073034D4"/>
    <w:rsid w:val="07312DDE"/>
    <w:rsid w:val="07321727"/>
    <w:rsid w:val="073349EC"/>
    <w:rsid w:val="0736F564"/>
    <w:rsid w:val="0737D931"/>
    <w:rsid w:val="073B13DE"/>
    <w:rsid w:val="073B2035"/>
    <w:rsid w:val="073C6FCF"/>
    <w:rsid w:val="073EB40D"/>
    <w:rsid w:val="07409EB5"/>
    <w:rsid w:val="074442BC"/>
    <w:rsid w:val="07450336"/>
    <w:rsid w:val="0747C39A"/>
    <w:rsid w:val="074A31F0"/>
    <w:rsid w:val="074B5F9E"/>
    <w:rsid w:val="074B6B46"/>
    <w:rsid w:val="074E7E59"/>
    <w:rsid w:val="074EDC6A"/>
    <w:rsid w:val="074EFCBB"/>
    <w:rsid w:val="074F8523"/>
    <w:rsid w:val="07543B90"/>
    <w:rsid w:val="075512AC"/>
    <w:rsid w:val="0755F5E9"/>
    <w:rsid w:val="0757214B"/>
    <w:rsid w:val="0757A4BF"/>
    <w:rsid w:val="075907E7"/>
    <w:rsid w:val="075B1939"/>
    <w:rsid w:val="075B4700"/>
    <w:rsid w:val="075C351D"/>
    <w:rsid w:val="075C61D9"/>
    <w:rsid w:val="075D60BF"/>
    <w:rsid w:val="075DF39C"/>
    <w:rsid w:val="075EA222"/>
    <w:rsid w:val="075EDDA0"/>
    <w:rsid w:val="075EED39"/>
    <w:rsid w:val="0761DFA3"/>
    <w:rsid w:val="07631917"/>
    <w:rsid w:val="0764E8CD"/>
    <w:rsid w:val="07654876"/>
    <w:rsid w:val="0765D716"/>
    <w:rsid w:val="07672382"/>
    <w:rsid w:val="076AF21D"/>
    <w:rsid w:val="076B858A"/>
    <w:rsid w:val="076CBA44"/>
    <w:rsid w:val="076F60EB"/>
    <w:rsid w:val="07720479"/>
    <w:rsid w:val="07742DB7"/>
    <w:rsid w:val="07743417"/>
    <w:rsid w:val="0774B60F"/>
    <w:rsid w:val="0775193A"/>
    <w:rsid w:val="07771CBE"/>
    <w:rsid w:val="0778E0B3"/>
    <w:rsid w:val="07799A51"/>
    <w:rsid w:val="077A85F1"/>
    <w:rsid w:val="077DF404"/>
    <w:rsid w:val="0781021D"/>
    <w:rsid w:val="078244C1"/>
    <w:rsid w:val="07865E31"/>
    <w:rsid w:val="07870CD8"/>
    <w:rsid w:val="078861CD"/>
    <w:rsid w:val="0788FDC5"/>
    <w:rsid w:val="078D046D"/>
    <w:rsid w:val="07913F55"/>
    <w:rsid w:val="079336C5"/>
    <w:rsid w:val="07978B19"/>
    <w:rsid w:val="079A978A"/>
    <w:rsid w:val="079B48A0"/>
    <w:rsid w:val="079B8E4E"/>
    <w:rsid w:val="079C4F4C"/>
    <w:rsid w:val="079E0F43"/>
    <w:rsid w:val="079E4AE0"/>
    <w:rsid w:val="07A0D650"/>
    <w:rsid w:val="07A0D919"/>
    <w:rsid w:val="07A513C8"/>
    <w:rsid w:val="07A544EE"/>
    <w:rsid w:val="07A64B13"/>
    <w:rsid w:val="07A90549"/>
    <w:rsid w:val="07A95CCF"/>
    <w:rsid w:val="07AA4BED"/>
    <w:rsid w:val="07AB0913"/>
    <w:rsid w:val="07AB1365"/>
    <w:rsid w:val="07AB5569"/>
    <w:rsid w:val="07AFFA0B"/>
    <w:rsid w:val="07B459EE"/>
    <w:rsid w:val="07B775DB"/>
    <w:rsid w:val="07B96ADC"/>
    <w:rsid w:val="07BA0F07"/>
    <w:rsid w:val="07BA984D"/>
    <w:rsid w:val="07BCA336"/>
    <w:rsid w:val="07BCA9B4"/>
    <w:rsid w:val="07BE894D"/>
    <w:rsid w:val="07BFB5FD"/>
    <w:rsid w:val="07BFE875"/>
    <w:rsid w:val="07C15B05"/>
    <w:rsid w:val="07C33FE9"/>
    <w:rsid w:val="07C6C8AE"/>
    <w:rsid w:val="07C83CE4"/>
    <w:rsid w:val="07CDB153"/>
    <w:rsid w:val="07CE47D4"/>
    <w:rsid w:val="07CF8234"/>
    <w:rsid w:val="07CF8613"/>
    <w:rsid w:val="07D529A0"/>
    <w:rsid w:val="07D635F6"/>
    <w:rsid w:val="07DC3A13"/>
    <w:rsid w:val="07DC8B03"/>
    <w:rsid w:val="07DCFE07"/>
    <w:rsid w:val="07DDE57A"/>
    <w:rsid w:val="07E0EDD4"/>
    <w:rsid w:val="07E5531F"/>
    <w:rsid w:val="07E95B2E"/>
    <w:rsid w:val="07E99E17"/>
    <w:rsid w:val="07EBC100"/>
    <w:rsid w:val="07EC996B"/>
    <w:rsid w:val="07ED136A"/>
    <w:rsid w:val="07EDF54C"/>
    <w:rsid w:val="07F06EFB"/>
    <w:rsid w:val="07F301F6"/>
    <w:rsid w:val="07F503BE"/>
    <w:rsid w:val="07F5A5D0"/>
    <w:rsid w:val="07FA7701"/>
    <w:rsid w:val="07FC126E"/>
    <w:rsid w:val="07FF1B86"/>
    <w:rsid w:val="07FF2C14"/>
    <w:rsid w:val="080481CF"/>
    <w:rsid w:val="08048394"/>
    <w:rsid w:val="0804B603"/>
    <w:rsid w:val="080ACD60"/>
    <w:rsid w:val="080B31AC"/>
    <w:rsid w:val="080DDCCE"/>
    <w:rsid w:val="080F89C8"/>
    <w:rsid w:val="0811DA80"/>
    <w:rsid w:val="0815194D"/>
    <w:rsid w:val="081B683F"/>
    <w:rsid w:val="081E59D4"/>
    <w:rsid w:val="081F64F7"/>
    <w:rsid w:val="0820D354"/>
    <w:rsid w:val="0821E62C"/>
    <w:rsid w:val="08262622"/>
    <w:rsid w:val="08283A1A"/>
    <w:rsid w:val="082AFF73"/>
    <w:rsid w:val="082F7121"/>
    <w:rsid w:val="083285EB"/>
    <w:rsid w:val="0835B7D3"/>
    <w:rsid w:val="08390F89"/>
    <w:rsid w:val="08393DFF"/>
    <w:rsid w:val="083E20ED"/>
    <w:rsid w:val="083EB60D"/>
    <w:rsid w:val="08400E21"/>
    <w:rsid w:val="0843297B"/>
    <w:rsid w:val="08457D61"/>
    <w:rsid w:val="08467384"/>
    <w:rsid w:val="0847337C"/>
    <w:rsid w:val="08477AF2"/>
    <w:rsid w:val="0848F16A"/>
    <w:rsid w:val="084A181A"/>
    <w:rsid w:val="084AF27F"/>
    <w:rsid w:val="084C389A"/>
    <w:rsid w:val="084E8F6B"/>
    <w:rsid w:val="085082D5"/>
    <w:rsid w:val="08515781"/>
    <w:rsid w:val="085221FF"/>
    <w:rsid w:val="085355C8"/>
    <w:rsid w:val="0854D5D8"/>
    <w:rsid w:val="0854DFE3"/>
    <w:rsid w:val="085DEA04"/>
    <w:rsid w:val="0861287C"/>
    <w:rsid w:val="0866852E"/>
    <w:rsid w:val="0866BF26"/>
    <w:rsid w:val="086AA411"/>
    <w:rsid w:val="086C8C3B"/>
    <w:rsid w:val="086EAA12"/>
    <w:rsid w:val="08704CD8"/>
    <w:rsid w:val="08752D33"/>
    <w:rsid w:val="08763917"/>
    <w:rsid w:val="0879E64F"/>
    <w:rsid w:val="087B2103"/>
    <w:rsid w:val="087ECB94"/>
    <w:rsid w:val="0881E503"/>
    <w:rsid w:val="0883E49B"/>
    <w:rsid w:val="088606A2"/>
    <w:rsid w:val="0888B4EF"/>
    <w:rsid w:val="0889BB57"/>
    <w:rsid w:val="088C7A7E"/>
    <w:rsid w:val="088EE8A1"/>
    <w:rsid w:val="08943CFC"/>
    <w:rsid w:val="08959297"/>
    <w:rsid w:val="089765CE"/>
    <w:rsid w:val="0899E4CE"/>
    <w:rsid w:val="089B2D22"/>
    <w:rsid w:val="089C9BE7"/>
    <w:rsid w:val="08A030DE"/>
    <w:rsid w:val="08A4B667"/>
    <w:rsid w:val="08A5FA8E"/>
    <w:rsid w:val="08A63051"/>
    <w:rsid w:val="08AA8B3B"/>
    <w:rsid w:val="08AC63DF"/>
    <w:rsid w:val="08B0DD7A"/>
    <w:rsid w:val="08B11E60"/>
    <w:rsid w:val="08B19FB3"/>
    <w:rsid w:val="08B502AB"/>
    <w:rsid w:val="08B66CCA"/>
    <w:rsid w:val="08BA823C"/>
    <w:rsid w:val="08BB6B57"/>
    <w:rsid w:val="08C0A984"/>
    <w:rsid w:val="08C0BDB4"/>
    <w:rsid w:val="08C2E892"/>
    <w:rsid w:val="08C3E795"/>
    <w:rsid w:val="08C63550"/>
    <w:rsid w:val="08C65BB2"/>
    <w:rsid w:val="08C72F76"/>
    <w:rsid w:val="08C8123A"/>
    <w:rsid w:val="08CE542F"/>
    <w:rsid w:val="08D00AB6"/>
    <w:rsid w:val="08D050C4"/>
    <w:rsid w:val="08D0A06E"/>
    <w:rsid w:val="08D106B8"/>
    <w:rsid w:val="08D36838"/>
    <w:rsid w:val="08D448AB"/>
    <w:rsid w:val="08D4BA5A"/>
    <w:rsid w:val="08D51EA6"/>
    <w:rsid w:val="08D5A11F"/>
    <w:rsid w:val="08D782A4"/>
    <w:rsid w:val="08D86531"/>
    <w:rsid w:val="08D9AA27"/>
    <w:rsid w:val="08DB52A5"/>
    <w:rsid w:val="08DC3933"/>
    <w:rsid w:val="08DC7564"/>
    <w:rsid w:val="08DCA9CA"/>
    <w:rsid w:val="08DF457C"/>
    <w:rsid w:val="08E0B4A1"/>
    <w:rsid w:val="08E0C293"/>
    <w:rsid w:val="08E3FB6D"/>
    <w:rsid w:val="08E52086"/>
    <w:rsid w:val="08E6B433"/>
    <w:rsid w:val="08E6CF2C"/>
    <w:rsid w:val="08EA2CA0"/>
    <w:rsid w:val="08EC67E2"/>
    <w:rsid w:val="08F0ED9F"/>
    <w:rsid w:val="08F0F548"/>
    <w:rsid w:val="08F12CD2"/>
    <w:rsid w:val="08F27410"/>
    <w:rsid w:val="08F60A95"/>
    <w:rsid w:val="08F64F68"/>
    <w:rsid w:val="08F6B359"/>
    <w:rsid w:val="08F9395C"/>
    <w:rsid w:val="08FC8164"/>
    <w:rsid w:val="090304B9"/>
    <w:rsid w:val="0903839B"/>
    <w:rsid w:val="0906B35C"/>
    <w:rsid w:val="09087317"/>
    <w:rsid w:val="09089DE2"/>
    <w:rsid w:val="090B69D8"/>
    <w:rsid w:val="090C7B10"/>
    <w:rsid w:val="090D0DDA"/>
    <w:rsid w:val="090DAFB2"/>
    <w:rsid w:val="090FB7A9"/>
    <w:rsid w:val="09112FDD"/>
    <w:rsid w:val="0912FE1D"/>
    <w:rsid w:val="0916382B"/>
    <w:rsid w:val="091703C3"/>
    <w:rsid w:val="091B9330"/>
    <w:rsid w:val="091F68C5"/>
    <w:rsid w:val="0920DA0A"/>
    <w:rsid w:val="0920EDFB"/>
    <w:rsid w:val="092184C0"/>
    <w:rsid w:val="0921F4E7"/>
    <w:rsid w:val="0922DFF6"/>
    <w:rsid w:val="09249C3E"/>
    <w:rsid w:val="092668FF"/>
    <w:rsid w:val="0929BB5B"/>
    <w:rsid w:val="092A72BE"/>
    <w:rsid w:val="092C2E3E"/>
    <w:rsid w:val="092C46A6"/>
    <w:rsid w:val="092CC993"/>
    <w:rsid w:val="092E5022"/>
    <w:rsid w:val="092EC8EC"/>
    <w:rsid w:val="0934FDAA"/>
    <w:rsid w:val="09358EBF"/>
    <w:rsid w:val="0938AF44"/>
    <w:rsid w:val="09396F0F"/>
    <w:rsid w:val="093AE5B5"/>
    <w:rsid w:val="093BA811"/>
    <w:rsid w:val="093CF731"/>
    <w:rsid w:val="093F0C13"/>
    <w:rsid w:val="0940C60A"/>
    <w:rsid w:val="09415675"/>
    <w:rsid w:val="09474B86"/>
    <w:rsid w:val="094AB80C"/>
    <w:rsid w:val="094B0213"/>
    <w:rsid w:val="094CC5DD"/>
    <w:rsid w:val="09540999"/>
    <w:rsid w:val="0957E878"/>
    <w:rsid w:val="095B3647"/>
    <w:rsid w:val="095B50E9"/>
    <w:rsid w:val="095F63F2"/>
    <w:rsid w:val="0964685B"/>
    <w:rsid w:val="096779E3"/>
    <w:rsid w:val="0967825A"/>
    <w:rsid w:val="096877BF"/>
    <w:rsid w:val="096D28BA"/>
    <w:rsid w:val="096EAF2D"/>
    <w:rsid w:val="096F8688"/>
    <w:rsid w:val="09703ADB"/>
    <w:rsid w:val="0971914A"/>
    <w:rsid w:val="0973338C"/>
    <w:rsid w:val="0973AF20"/>
    <w:rsid w:val="0973D203"/>
    <w:rsid w:val="09743354"/>
    <w:rsid w:val="09745460"/>
    <w:rsid w:val="0979AB2B"/>
    <w:rsid w:val="097A01EE"/>
    <w:rsid w:val="097B2E05"/>
    <w:rsid w:val="097CD672"/>
    <w:rsid w:val="09823350"/>
    <w:rsid w:val="0982CB32"/>
    <w:rsid w:val="098480ED"/>
    <w:rsid w:val="09871F32"/>
    <w:rsid w:val="09875CA3"/>
    <w:rsid w:val="098AA722"/>
    <w:rsid w:val="098E506D"/>
    <w:rsid w:val="0997EF86"/>
    <w:rsid w:val="099952ED"/>
    <w:rsid w:val="0999C5F3"/>
    <w:rsid w:val="099ADEF0"/>
    <w:rsid w:val="099C92A6"/>
    <w:rsid w:val="099D28CD"/>
    <w:rsid w:val="09A0C585"/>
    <w:rsid w:val="09A3D3E7"/>
    <w:rsid w:val="09AD8F4F"/>
    <w:rsid w:val="09ADB992"/>
    <w:rsid w:val="09B7E731"/>
    <w:rsid w:val="09BA6675"/>
    <w:rsid w:val="09BAFF56"/>
    <w:rsid w:val="09BDFC64"/>
    <w:rsid w:val="09BDFEA3"/>
    <w:rsid w:val="09BFA7CA"/>
    <w:rsid w:val="09C122CF"/>
    <w:rsid w:val="09C2DBCB"/>
    <w:rsid w:val="09C4750C"/>
    <w:rsid w:val="09C67978"/>
    <w:rsid w:val="09C7F4A8"/>
    <w:rsid w:val="09C9A158"/>
    <w:rsid w:val="09CBEA81"/>
    <w:rsid w:val="09CE8374"/>
    <w:rsid w:val="09CFED6E"/>
    <w:rsid w:val="09D027B4"/>
    <w:rsid w:val="09D3DDF8"/>
    <w:rsid w:val="09D579CF"/>
    <w:rsid w:val="09D7FFBF"/>
    <w:rsid w:val="09DDDE94"/>
    <w:rsid w:val="09DEB562"/>
    <w:rsid w:val="09DED20F"/>
    <w:rsid w:val="09E1C1DC"/>
    <w:rsid w:val="09E52C8F"/>
    <w:rsid w:val="09E81AAB"/>
    <w:rsid w:val="09F1D614"/>
    <w:rsid w:val="09FC75CD"/>
    <w:rsid w:val="09FD0609"/>
    <w:rsid w:val="0A01F130"/>
    <w:rsid w:val="0A025440"/>
    <w:rsid w:val="0A02E792"/>
    <w:rsid w:val="0A08BE5B"/>
    <w:rsid w:val="0A08D8FD"/>
    <w:rsid w:val="0A0A0F81"/>
    <w:rsid w:val="0A0C45E1"/>
    <w:rsid w:val="0A0E18E0"/>
    <w:rsid w:val="0A0E79FD"/>
    <w:rsid w:val="0A10D42C"/>
    <w:rsid w:val="0A1341E3"/>
    <w:rsid w:val="0A155DAC"/>
    <w:rsid w:val="0A16B46C"/>
    <w:rsid w:val="0A16DAC6"/>
    <w:rsid w:val="0A1A45FB"/>
    <w:rsid w:val="0A1C708C"/>
    <w:rsid w:val="0A1D0139"/>
    <w:rsid w:val="0A213AD5"/>
    <w:rsid w:val="0A21440B"/>
    <w:rsid w:val="0A23E418"/>
    <w:rsid w:val="0A2441D9"/>
    <w:rsid w:val="0A254D96"/>
    <w:rsid w:val="0A27F777"/>
    <w:rsid w:val="0A287010"/>
    <w:rsid w:val="0A2BAD61"/>
    <w:rsid w:val="0A2C9937"/>
    <w:rsid w:val="0A2CF9B0"/>
    <w:rsid w:val="0A2E3A76"/>
    <w:rsid w:val="0A2F5809"/>
    <w:rsid w:val="0A2FE929"/>
    <w:rsid w:val="0A301DED"/>
    <w:rsid w:val="0A385D06"/>
    <w:rsid w:val="0A389DF4"/>
    <w:rsid w:val="0A39921D"/>
    <w:rsid w:val="0A3EEC9D"/>
    <w:rsid w:val="0A41CBCC"/>
    <w:rsid w:val="0A420E45"/>
    <w:rsid w:val="0A44C92E"/>
    <w:rsid w:val="0A48E8EE"/>
    <w:rsid w:val="0A496575"/>
    <w:rsid w:val="0A4E65C6"/>
    <w:rsid w:val="0A4E798F"/>
    <w:rsid w:val="0A4EFE10"/>
    <w:rsid w:val="0A527026"/>
    <w:rsid w:val="0A539EB7"/>
    <w:rsid w:val="0A571EEF"/>
    <w:rsid w:val="0A577388"/>
    <w:rsid w:val="0A58F7E4"/>
    <w:rsid w:val="0A5A5DA8"/>
    <w:rsid w:val="0A5A9D0F"/>
    <w:rsid w:val="0A5C4271"/>
    <w:rsid w:val="0A5F0368"/>
    <w:rsid w:val="0A605203"/>
    <w:rsid w:val="0A62EFDB"/>
    <w:rsid w:val="0A6498DA"/>
    <w:rsid w:val="0A69B254"/>
    <w:rsid w:val="0A701DEC"/>
    <w:rsid w:val="0A794EAA"/>
    <w:rsid w:val="0A795644"/>
    <w:rsid w:val="0A7BF998"/>
    <w:rsid w:val="0A7C0D69"/>
    <w:rsid w:val="0A7CC96B"/>
    <w:rsid w:val="0A7FF0A3"/>
    <w:rsid w:val="0A81CB69"/>
    <w:rsid w:val="0A832F32"/>
    <w:rsid w:val="0A8451D5"/>
    <w:rsid w:val="0A853883"/>
    <w:rsid w:val="0A887EBF"/>
    <w:rsid w:val="0A8BD21C"/>
    <w:rsid w:val="0A8C7599"/>
    <w:rsid w:val="0A923FA0"/>
    <w:rsid w:val="0A931F98"/>
    <w:rsid w:val="0A941EDC"/>
    <w:rsid w:val="0A95126B"/>
    <w:rsid w:val="0A980B4A"/>
    <w:rsid w:val="0A9882A5"/>
    <w:rsid w:val="0A99734A"/>
    <w:rsid w:val="0A9A8BB8"/>
    <w:rsid w:val="0A9EC4C8"/>
    <w:rsid w:val="0AA34E9A"/>
    <w:rsid w:val="0AA49959"/>
    <w:rsid w:val="0AA57A65"/>
    <w:rsid w:val="0AA7BF06"/>
    <w:rsid w:val="0AA99BD7"/>
    <w:rsid w:val="0AAA27A8"/>
    <w:rsid w:val="0AAD0346"/>
    <w:rsid w:val="0AAD8B97"/>
    <w:rsid w:val="0AAEAA00"/>
    <w:rsid w:val="0AAFC224"/>
    <w:rsid w:val="0AB5293C"/>
    <w:rsid w:val="0AB7A52E"/>
    <w:rsid w:val="0AB8CE4C"/>
    <w:rsid w:val="0AB9ACEF"/>
    <w:rsid w:val="0ABAC025"/>
    <w:rsid w:val="0ABCD9A3"/>
    <w:rsid w:val="0ABE2802"/>
    <w:rsid w:val="0AC07E16"/>
    <w:rsid w:val="0AC0ECB9"/>
    <w:rsid w:val="0AC110FF"/>
    <w:rsid w:val="0AC241A4"/>
    <w:rsid w:val="0AC35DD4"/>
    <w:rsid w:val="0AC53994"/>
    <w:rsid w:val="0AC5E4A4"/>
    <w:rsid w:val="0AC61AD3"/>
    <w:rsid w:val="0AC9DF5E"/>
    <w:rsid w:val="0ACA5645"/>
    <w:rsid w:val="0ACCFF0B"/>
    <w:rsid w:val="0AD14FA5"/>
    <w:rsid w:val="0AD43ED4"/>
    <w:rsid w:val="0AD88011"/>
    <w:rsid w:val="0AD9D218"/>
    <w:rsid w:val="0ADA04D3"/>
    <w:rsid w:val="0ADB171E"/>
    <w:rsid w:val="0ADB42DB"/>
    <w:rsid w:val="0ADC92E8"/>
    <w:rsid w:val="0ADEAA44"/>
    <w:rsid w:val="0ADFFFB8"/>
    <w:rsid w:val="0AE05584"/>
    <w:rsid w:val="0AE09FF6"/>
    <w:rsid w:val="0AE1C06F"/>
    <w:rsid w:val="0AE30470"/>
    <w:rsid w:val="0AE5B8B4"/>
    <w:rsid w:val="0AE79B22"/>
    <w:rsid w:val="0AE885B9"/>
    <w:rsid w:val="0AEB904B"/>
    <w:rsid w:val="0AECC307"/>
    <w:rsid w:val="0AECD75E"/>
    <w:rsid w:val="0AEE34DA"/>
    <w:rsid w:val="0AEFAB31"/>
    <w:rsid w:val="0AF2622C"/>
    <w:rsid w:val="0AF38D28"/>
    <w:rsid w:val="0AF3E412"/>
    <w:rsid w:val="0AF5C381"/>
    <w:rsid w:val="0AF5C6EF"/>
    <w:rsid w:val="0AF68B06"/>
    <w:rsid w:val="0AF6FDA3"/>
    <w:rsid w:val="0AF784D1"/>
    <w:rsid w:val="0AFB670F"/>
    <w:rsid w:val="0AFB7CB0"/>
    <w:rsid w:val="0B00C145"/>
    <w:rsid w:val="0B04C1DB"/>
    <w:rsid w:val="0B06B9F8"/>
    <w:rsid w:val="0B076684"/>
    <w:rsid w:val="0B077301"/>
    <w:rsid w:val="0B0A944B"/>
    <w:rsid w:val="0B0B1A32"/>
    <w:rsid w:val="0B0EB574"/>
    <w:rsid w:val="0B0F6D72"/>
    <w:rsid w:val="0B103069"/>
    <w:rsid w:val="0B130E1D"/>
    <w:rsid w:val="0B132DEA"/>
    <w:rsid w:val="0B158174"/>
    <w:rsid w:val="0B177837"/>
    <w:rsid w:val="0B18AEFF"/>
    <w:rsid w:val="0B18CD85"/>
    <w:rsid w:val="0B1E8F19"/>
    <w:rsid w:val="0B215C4D"/>
    <w:rsid w:val="0B23A4D8"/>
    <w:rsid w:val="0B245215"/>
    <w:rsid w:val="0B24FB58"/>
    <w:rsid w:val="0B257804"/>
    <w:rsid w:val="0B275286"/>
    <w:rsid w:val="0B288CCC"/>
    <w:rsid w:val="0B2C9EC1"/>
    <w:rsid w:val="0B2CD37F"/>
    <w:rsid w:val="0B2D789E"/>
    <w:rsid w:val="0B2D7E2E"/>
    <w:rsid w:val="0B2E6693"/>
    <w:rsid w:val="0B2F553C"/>
    <w:rsid w:val="0B32095F"/>
    <w:rsid w:val="0B329741"/>
    <w:rsid w:val="0B3396C2"/>
    <w:rsid w:val="0B349FC9"/>
    <w:rsid w:val="0B35D355"/>
    <w:rsid w:val="0B371D81"/>
    <w:rsid w:val="0B3A5FD9"/>
    <w:rsid w:val="0B3AD9F8"/>
    <w:rsid w:val="0B3BEEDC"/>
    <w:rsid w:val="0B3D351B"/>
    <w:rsid w:val="0B42ED94"/>
    <w:rsid w:val="0B43F12B"/>
    <w:rsid w:val="0B44B3B7"/>
    <w:rsid w:val="0B47219D"/>
    <w:rsid w:val="0B478AB4"/>
    <w:rsid w:val="0B48C003"/>
    <w:rsid w:val="0B4A1852"/>
    <w:rsid w:val="0B4C9366"/>
    <w:rsid w:val="0B4CDDEA"/>
    <w:rsid w:val="0B59EDF2"/>
    <w:rsid w:val="0B5DA7DD"/>
    <w:rsid w:val="0B606600"/>
    <w:rsid w:val="0B624CD2"/>
    <w:rsid w:val="0B67984F"/>
    <w:rsid w:val="0B68FF5A"/>
    <w:rsid w:val="0B698E72"/>
    <w:rsid w:val="0B6B68C3"/>
    <w:rsid w:val="0B6C83CA"/>
    <w:rsid w:val="0B6CEDD7"/>
    <w:rsid w:val="0B716EB4"/>
    <w:rsid w:val="0B71DA0E"/>
    <w:rsid w:val="0B71E2A8"/>
    <w:rsid w:val="0B73BC76"/>
    <w:rsid w:val="0B748FD1"/>
    <w:rsid w:val="0B74C9EB"/>
    <w:rsid w:val="0B76DA55"/>
    <w:rsid w:val="0B77271D"/>
    <w:rsid w:val="0B778449"/>
    <w:rsid w:val="0B778D61"/>
    <w:rsid w:val="0B781039"/>
    <w:rsid w:val="0B7DF8B9"/>
    <w:rsid w:val="0B7E4525"/>
    <w:rsid w:val="0B80A620"/>
    <w:rsid w:val="0B832C3E"/>
    <w:rsid w:val="0B83BFD2"/>
    <w:rsid w:val="0B86F2AE"/>
    <w:rsid w:val="0B8852AB"/>
    <w:rsid w:val="0B8C123C"/>
    <w:rsid w:val="0B8EC062"/>
    <w:rsid w:val="0B9007D2"/>
    <w:rsid w:val="0B9246A0"/>
    <w:rsid w:val="0B9557C5"/>
    <w:rsid w:val="0B98C93E"/>
    <w:rsid w:val="0B9B31BF"/>
    <w:rsid w:val="0BA28940"/>
    <w:rsid w:val="0BA62E1A"/>
    <w:rsid w:val="0BA63BAF"/>
    <w:rsid w:val="0BA76818"/>
    <w:rsid w:val="0BA88327"/>
    <w:rsid w:val="0BA8C750"/>
    <w:rsid w:val="0BAB02DC"/>
    <w:rsid w:val="0BAB7448"/>
    <w:rsid w:val="0BAB8795"/>
    <w:rsid w:val="0BAEE284"/>
    <w:rsid w:val="0BB101DD"/>
    <w:rsid w:val="0BB10F60"/>
    <w:rsid w:val="0BB2FCD8"/>
    <w:rsid w:val="0BB81491"/>
    <w:rsid w:val="0BB8D25A"/>
    <w:rsid w:val="0BBB0402"/>
    <w:rsid w:val="0BBB8A49"/>
    <w:rsid w:val="0BBC3B96"/>
    <w:rsid w:val="0BBCAC39"/>
    <w:rsid w:val="0BBE6564"/>
    <w:rsid w:val="0BBED928"/>
    <w:rsid w:val="0BBFE4D8"/>
    <w:rsid w:val="0BC24A43"/>
    <w:rsid w:val="0BC30DC5"/>
    <w:rsid w:val="0BC6D8E0"/>
    <w:rsid w:val="0BC71B7F"/>
    <w:rsid w:val="0BC7EF31"/>
    <w:rsid w:val="0BCA3D01"/>
    <w:rsid w:val="0BCBB114"/>
    <w:rsid w:val="0BCE3AEF"/>
    <w:rsid w:val="0BCE9A10"/>
    <w:rsid w:val="0BD2574A"/>
    <w:rsid w:val="0BD6ADEB"/>
    <w:rsid w:val="0BD7789E"/>
    <w:rsid w:val="0BD871B9"/>
    <w:rsid w:val="0BDAE361"/>
    <w:rsid w:val="0BDD5CD7"/>
    <w:rsid w:val="0BE01A05"/>
    <w:rsid w:val="0BE9CB78"/>
    <w:rsid w:val="0BEA4D80"/>
    <w:rsid w:val="0BEF9E66"/>
    <w:rsid w:val="0BF0FF0C"/>
    <w:rsid w:val="0BF39ACE"/>
    <w:rsid w:val="0BF48477"/>
    <w:rsid w:val="0BF4CB1B"/>
    <w:rsid w:val="0BF70163"/>
    <w:rsid w:val="0BF85C0D"/>
    <w:rsid w:val="0BF8F057"/>
    <w:rsid w:val="0BFAB50E"/>
    <w:rsid w:val="0BFD0FFF"/>
    <w:rsid w:val="0BFF9BC5"/>
    <w:rsid w:val="0C00E643"/>
    <w:rsid w:val="0C020BC7"/>
    <w:rsid w:val="0C05CD46"/>
    <w:rsid w:val="0C05DFDD"/>
    <w:rsid w:val="0C063F80"/>
    <w:rsid w:val="0C06F0AC"/>
    <w:rsid w:val="0C0F466A"/>
    <w:rsid w:val="0C1195AB"/>
    <w:rsid w:val="0C1608B5"/>
    <w:rsid w:val="0C1703B4"/>
    <w:rsid w:val="0C17069C"/>
    <w:rsid w:val="0C171F78"/>
    <w:rsid w:val="0C17C015"/>
    <w:rsid w:val="0C194A55"/>
    <w:rsid w:val="0C1A24C0"/>
    <w:rsid w:val="0C1BEB78"/>
    <w:rsid w:val="0C1C2ED0"/>
    <w:rsid w:val="0C1C39D1"/>
    <w:rsid w:val="0C1E442E"/>
    <w:rsid w:val="0C207C9A"/>
    <w:rsid w:val="0C20BA4F"/>
    <w:rsid w:val="0C22AA6C"/>
    <w:rsid w:val="0C2889B0"/>
    <w:rsid w:val="0C2955D8"/>
    <w:rsid w:val="0C2B5917"/>
    <w:rsid w:val="0C2F296B"/>
    <w:rsid w:val="0C2FF82C"/>
    <w:rsid w:val="0C304AAC"/>
    <w:rsid w:val="0C329EBA"/>
    <w:rsid w:val="0C34F39E"/>
    <w:rsid w:val="0C3696B0"/>
    <w:rsid w:val="0C36C741"/>
    <w:rsid w:val="0C3ABE0C"/>
    <w:rsid w:val="0C3AE508"/>
    <w:rsid w:val="0C3C6F94"/>
    <w:rsid w:val="0C3CE91C"/>
    <w:rsid w:val="0C409FDA"/>
    <w:rsid w:val="0C4544C1"/>
    <w:rsid w:val="0C45B4BD"/>
    <w:rsid w:val="0C47EB5E"/>
    <w:rsid w:val="0C492F28"/>
    <w:rsid w:val="0C497437"/>
    <w:rsid w:val="0C49F62C"/>
    <w:rsid w:val="0C4A9CF1"/>
    <w:rsid w:val="0C4C5559"/>
    <w:rsid w:val="0C4E2FBB"/>
    <w:rsid w:val="0C4F2C16"/>
    <w:rsid w:val="0C4FCBDD"/>
    <w:rsid w:val="0C51861E"/>
    <w:rsid w:val="0C53B0AD"/>
    <w:rsid w:val="0C5A4ED7"/>
    <w:rsid w:val="0C5B5269"/>
    <w:rsid w:val="0C5D8C6C"/>
    <w:rsid w:val="0C60756F"/>
    <w:rsid w:val="0C635562"/>
    <w:rsid w:val="0C649E7E"/>
    <w:rsid w:val="0C65C0EC"/>
    <w:rsid w:val="0C6804BE"/>
    <w:rsid w:val="0C6B9C20"/>
    <w:rsid w:val="0C6DD887"/>
    <w:rsid w:val="0C6DE6AA"/>
    <w:rsid w:val="0C6F02F1"/>
    <w:rsid w:val="0C6F0F5C"/>
    <w:rsid w:val="0C719DFB"/>
    <w:rsid w:val="0C762DCC"/>
    <w:rsid w:val="0C784190"/>
    <w:rsid w:val="0C79D31C"/>
    <w:rsid w:val="0C8050CF"/>
    <w:rsid w:val="0C816B09"/>
    <w:rsid w:val="0C831D33"/>
    <w:rsid w:val="0C83C5DC"/>
    <w:rsid w:val="0C867A19"/>
    <w:rsid w:val="0C88B9EF"/>
    <w:rsid w:val="0C8ABB7D"/>
    <w:rsid w:val="0C8E47D0"/>
    <w:rsid w:val="0C8EFB2D"/>
    <w:rsid w:val="0C8F1EF3"/>
    <w:rsid w:val="0C8FBCAB"/>
    <w:rsid w:val="0C90E753"/>
    <w:rsid w:val="0C91B1BE"/>
    <w:rsid w:val="0C91C06E"/>
    <w:rsid w:val="0C92475B"/>
    <w:rsid w:val="0C99B616"/>
    <w:rsid w:val="0C9BCE50"/>
    <w:rsid w:val="0C9DF203"/>
    <w:rsid w:val="0C9F640D"/>
    <w:rsid w:val="0CA696FF"/>
    <w:rsid w:val="0CA957F4"/>
    <w:rsid w:val="0CA9AC66"/>
    <w:rsid w:val="0CA9C1B3"/>
    <w:rsid w:val="0CA9D423"/>
    <w:rsid w:val="0CB0264B"/>
    <w:rsid w:val="0CB1D6C3"/>
    <w:rsid w:val="0CB27CD6"/>
    <w:rsid w:val="0CB40B32"/>
    <w:rsid w:val="0CB52FE5"/>
    <w:rsid w:val="0CB77204"/>
    <w:rsid w:val="0CB79797"/>
    <w:rsid w:val="0CB82483"/>
    <w:rsid w:val="0CBA4FA4"/>
    <w:rsid w:val="0CBA9E46"/>
    <w:rsid w:val="0CBB9001"/>
    <w:rsid w:val="0CBD2950"/>
    <w:rsid w:val="0CBFA320"/>
    <w:rsid w:val="0CC69ADE"/>
    <w:rsid w:val="0CC8B380"/>
    <w:rsid w:val="0CCB01F3"/>
    <w:rsid w:val="0CCCB46F"/>
    <w:rsid w:val="0CD00FB1"/>
    <w:rsid w:val="0CD459C0"/>
    <w:rsid w:val="0CD657C6"/>
    <w:rsid w:val="0CD80234"/>
    <w:rsid w:val="0CDBF3C7"/>
    <w:rsid w:val="0CE19717"/>
    <w:rsid w:val="0CE4A15C"/>
    <w:rsid w:val="0CE59ED8"/>
    <w:rsid w:val="0CE6EC5C"/>
    <w:rsid w:val="0CE713DA"/>
    <w:rsid w:val="0CE7849D"/>
    <w:rsid w:val="0CE78DC3"/>
    <w:rsid w:val="0CE8ED95"/>
    <w:rsid w:val="0CE934E3"/>
    <w:rsid w:val="0CEA6D1A"/>
    <w:rsid w:val="0CEFD16A"/>
    <w:rsid w:val="0CF3D91C"/>
    <w:rsid w:val="0CF4E72F"/>
    <w:rsid w:val="0CF4ECB1"/>
    <w:rsid w:val="0CF597D3"/>
    <w:rsid w:val="0CF5B7BE"/>
    <w:rsid w:val="0CFBABE6"/>
    <w:rsid w:val="0CFDE7EC"/>
    <w:rsid w:val="0CFF3D55"/>
    <w:rsid w:val="0D019D09"/>
    <w:rsid w:val="0D04B69C"/>
    <w:rsid w:val="0D069FFE"/>
    <w:rsid w:val="0D075284"/>
    <w:rsid w:val="0D07ACB2"/>
    <w:rsid w:val="0D08F94F"/>
    <w:rsid w:val="0D0B05BF"/>
    <w:rsid w:val="0D0B8C78"/>
    <w:rsid w:val="0D0D54AA"/>
    <w:rsid w:val="0D0E285F"/>
    <w:rsid w:val="0D0F0B8E"/>
    <w:rsid w:val="0D1055D1"/>
    <w:rsid w:val="0D127824"/>
    <w:rsid w:val="0D138F29"/>
    <w:rsid w:val="0D14874E"/>
    <w:rsid w:val="0D182C86"/>
    <w:rsid w:val="0D1C4DE9"/>
    <w:rsid w:val="0D1CA26D"/>
    <w:rsid w:val="0D1CAA80"/>
    <w:rsid w:val="0D2019C3"/>
    <w:rsid w:val="0D2057CC"/>
    <w:rsid w:val="0D223D14"/>
    <w:rsid w:val="0D24448F"/>
    <w:rsid w:val="0D273C08"/>
    <w:rsid w:val="0D27BDC9"/>
    <w:rsid w:val="0D2B436C"/>
    <w:rsid w:val="0D2C70AC"/>
    <w:rsid w:val="0D2EA995"/>
    <w:rsid w:val="0D318565"/>
    <w:rsid w:val="0D354B94"/>
    <w:rsid w:val="0D35AA12"/>
    <w:rsid w:val="0D36FC8F"/>
    <w:rsid w:val="0D3715D9"/>
    <w:rsid w:val="0D3B0D15"/>
    <w:rsid w:val="0D3EDBD0"/>
    <w:rsid w:val="0D3FD6C7"/>
    <w:rsid w:val="0D40BF29"/>
    <w:rsid w:val="0D47B069"/>
    <w:rsid w:val="0D47F59D"/>
    <w:rsid w:val="0D49D085"/>
    <w:rsid w:val="0D4ADC2F"/>
    <w:rsid w:val="0D4AE6AC"/>
    <w:rsid w:val="0D507362"/>
    <w:rsid w:val="0D5274C3"/>
    <w:rsid w:val="0D52AFD6"/>
    <w:rsid w:val="0D541DD0"/>
    <w:rsid w:val="0D56CA17"/>
    <w:rsid w:val="0D59D2AC"/>
    <w:rsid w:val="0D5DD3E0"/>
    <w:rsid w:val="0D5E52A0"/>
    <w:rsid w:val="0D5F8363"/>
    <w:rsid w:val="0D606FA7"/>
    <w:rsid w:val="0D6138B8"/>
    <w:rsid w:val="0D62C307"/>
    <w:rsid w:val="0D65E357"/>
    <w:rsid w:val="0D66DBA4"/>
    <w:rsid w:val="0D670A30"/>
    <w:rsid w:val="0D677774"/>
    <w:rsid w:val="0D6CB12B"/>
    <w:rsid w:val="0D70D9EC"/>
    <w:rsid w:val="0D740F25"/>
    <w:rsid w:val="0D74F371"/>
    <w:rsid w:val="0D7AF59A"/>
    <w:rsid w:val="0D7E3C90"/>
    <w:rsid w:val="0D7EA658"/>
    <w:rsid w:val="0D806CC0"/>
    <w:rsid w:val="0D859B84"/>
    <w:rsid w:val="0D88AC56"/>
    <w:rsid w:val="0D891F4B"/>
    <w:rsid w:val="0D892394"/>
    <w:rsid w:val="0D8BB3E6"/>
    <w:rsid w:val="0D8C6345"/>
    <w:rsid w:val="0D8C7428"/>
    <w:rsid w:val="0D8E95F5"/>
    <w:rsid w:val="0D913F66"/>
    <w:rsid w:val="0D91C55A"/>
    <w:rsid w:val="0D956773"/>
    <w:rsid w:val="0D96A4AA"/>
    <w:rsid w:val="0D984C36"/>
    <w:rsid w:val="0D9E1F59"/>
    <w:rsid w:val="0D9EF8B0"/>
    <w:rsid w:val="0D9F3224"/>
    <w:rsid w:val="0DA4259C"/>
    <w:rsid w:val="0DAA29AC"/>
    <w:rsid w:val="0DAE58CC"/>
    <w:rsid w:val="0DAFD34F"/>
    <w:rsid w:val="0DB96B06"/>
    <w:rsid w:val="0DBBBB54"/>
    <w:rsid w:val="0DBD7292"/>
    <w:rsid w:val="0DBE2FDA"/>
    <w:rsid w:val="0DC1B9D1"/>
    <w:rsid w:val="0DC21CF8"/>
    <w:rsid w:val="0DC50B8F"/>
    <w:rsid w:val="0DC54511"/>
    <w:rsid w:val="0DC6E5F0"/>
    <w:rsid w:val="0DC90084"/>
    <w:rsid w:val="0DCC8763"/>
    <w:rsid w:val="0DD1B0AA"/>
    <w:rsid w:val="0DD51B95"/>
    <w:rsid w:val="0DDB4254"/>
    <w:rsid w:val="0DE19B0E"/>
    <w:rsid w:val="0DE1B04C"/>
    <w:rsid w:val="0DE46F03"/>
    <w:rsid w:val="0DE492A1"/>
    <w:rsid w:val="0DE53224"/>
    <w:rsid w:val="0DE6F8BC"/>
    <w:rsid w:val="0DE7253D"/>
    <w:rsid w:val="0DE79AFE"/>
    <w:rsid w:val="0DE8EA1F"/>
    <w:rsid w:val="0DE99832"/>
    <w:rsid w:val="0DE9B157"/>
    <w:rsid w:val="0DE9F82A"/>
    <w:rsid w:val="0DEA15A9"/>
    <w:rsid w:val="0DEB016D"/>
    <w:rsid w:val="0DEC1366"/>
    <w:rsid w:val="0DEF3227"/>
    <w:rsid w:val="0DF8BE70"/>
    <w:rsid w:val="0DFB382E"/>
    <w:rsid w:val="0DFB75EA"/>
    <w:rsid w:val="0DFBEFF8"/>
    <w:rsid w:val="0DFDB7B1"/>
    <w:rsid w:val="0DFF851C"/>
    <w:rsid w:val="0E01B306"/>
    <w:rsid w:val="0E020B98"/>
    <w:rsid w:val="0E0468B5"/>
    <w:rsid w:val="0E059353"/>
    <w:rsid w:val="0E05C3E9"/>
    <w:rsid w:val="0E07E7CA"/>
    <w:rsid w:val="0E07FEBE"/>
    <w:rsid w:val="0E0A3483"/>
    <w:rsid w:val="0E0BD309"/>
    <w:rsid w:val="0E1212CF"/>
    <w:rsid w:val="0E13BA86"/>
    <w:rsid w:val="0E14500D"/>
    <w:rsid w:val="0E156D7B"/>
    <w:rsid w:val="0E15D6F1"/>
    <w:rsid w:val="0E15DDD0"/>
    <w:rsid w:val="0E16643B"/>
    <w:rsid w:val="0E19CEB6"/>
    <w:rsid w:val="0E1DF46F"/>
    <w:rsid w:val="0E20B72A"/>
    <w:rsid w:val="0E22A443"/>
    <w:rsid w:val="0E26F418"/>
    <w:rsid w:val="0E29FE1F"/>
    <w:rsid w:val="0E2A15F2"/>
    <w:rsid w:val="0E2CC125"/>
    <w:rsid w:val="0E2DB9F5"/>
    <w:rsid w:val="0E306294"/>
    <w:rsid w:val="0E3242E2"/>
    <w:rsid w:val="0E33D76C"/>
    <w:rsid w:val="0E3516EE"/>
    <w:rsid w:val="0E357855"/>
    <w:rsid w:val="0E399ABD"/>
    <w:rsid w:val="0E3A5B77"/>
    <w:rsid w:val="0E3DA0B9"/>
    <w:rsid w:val="0E3ED338"/>
    <w:rsid w:val="0E41E507"/>
    <w:rsid w:val="0E42C063"/>
    <w:rsid w:val="0E4B7B54"/>
    <w:rsid w:val="0E4B8E08"/>
    <w:rsid w:val="0E4CE2FB"/>
    <w:rsid w:val="0E4D153B"/>
    <w:rsid w:val="0E4E1908"/>
    <w:rsid w:val="0E4FB295"/>
    <w:rsid w:val="0E50A18F"/>
    <w:rsid w:val="0E53B53E"/>
    <w:rsid w:val="0E545453"/>
    <w:rsid w:val="0E54F577"/>
    <w:rsid w:val="0E55BE5F"/>
    <w:rsid w:val="0E563962"/>
    <w:rsid w:val="0E563BA1"/>
    <w:rsid w:val="0E579E32"/>
    <w:rsid w:val="0E59B2BA"/>
    <w:rsid w:val="0E5D804E"/>
    <w:rsid w:val="0E5E6CD9"/>
    <w:rsid w:val="0E5F6F40"/>
    <w:rsid w:val="0E61B5CF"/>
    <w:rsid w:val="0E64F4CE"/>
    <w:rsid w:val="0E6DC052"/>
    <w:rsid w:val="0E6DF567"/>
    <w:rsid w:val="0E6E8A16"/>
    <w:rsid w:val="0E6EC287"/>
    <w:rsid w:val="0E71ACE1"/>
    <w:rsid w:val="0E72F036"/>
    <w:rsid w:val="0E731531"/>
    <w:rsid w:val="0E75211E"/>
    <w:rsid w:val="0E7896E4"/>
    <w:rsid w:val="0E79C65E"/>
    <w:rsid w:val="0E7B557C"/>
    <w:rsid w:val="0E7B5D44"/>
    <w:rsid w:val="0E7B64EF"/>
    <w:rsid w:val="0E7C6D65"/>
    <w:rsid w:val="0E80D17E"/>
    <w:rsid w:val="0E81994F"/>
    <w:rsid w:val="0E83C539"/>
    <w:rsid w:val="0E849A20"/>
    <w:rsid w:val="0E90F7D6"/>
    <w:rsid w:val="0E94D400"/>
    <w:rsid w:val="0E98A2CB"/>
    <w:rsid w:val="0E98E6E6"/>
    <w:rsid w:val="0E9B711C"/>
    <w:rsid w:val="0E9C8D28"/>
    <w:rsid w:val="0E9DE8F9"/>
    <w:rsid w:val="0EA22CDE"/>
    <w:rsid w:val="0EA5C7C0"/>
    <w:rsid w:val="0EA65476"/>
    <w:rsid w:val="0EA94F71"/>
    <w:rsid w:val="0EA9D443"/>
    <w:rsid w:val="0EABCAF1"/>
    <w:rsid w:val="0EACCB4E"/>
    <w:rsid w:val="0EADC7E9"/>
    <w:rsid w:val="0EAF485C"/>
    <w:rsid w:val="0EB0AB13"/>
    <w:rsid w:val="0EB547DE"/>
    <w:rsid w:val="0EB556A6"/>
    <w:rsid w:val="0EB638D6"/>
    <w:rsid w:val="0EB68B41"/>
    <w:rsid w:val="0EB71196"/>
    <w:rsid w:val="0EB8CC65"/>
    <w:rsid w:val="0EB8E27B"/>
    <w:rsid w:val="0EB935D3"/>
    <w:rsid w:val="0EBA1898"/>
    <w:rsid w:val="0EC0CB7C"/>
    <w:rsid w:val="0EC2ECF9"/>
    <w:rsid w:val="0EC314A7"/>
    <w:rsid w:val="0EC7F8A5"/>
    <w:rsid w:val="0EC8A8B5"/>
    <w:rsid w:val="0EC8DD82"/>
    <w:rsid w:val="0ECBF093"/>
    <w:rsid w:val="0ECC95C6"/>
    <w:rsid w:val="0ED0ECF8"/>
    <w:rsid w:val="0ED5924F"/>
    <w:rsid w:val="0ED6C05C"/>
    <w:rsid w:val="0ED7C678"/>
    <w:rsid w:val="0EDAAC44"/>
    <w:rsid w:val="0EDD1963"/>
    <w:rsid w:val="0EDE0324"/>
    <w:rsid w:val="0EE1B2AE"/>
    <w:rsid w:val="0EE2E563"/>
    <w:rsid w:val="0EE79829"/>
    <w:rsid w:val="0EEA790D"/>
    <w:rsid w:val="0EEAF315"/>
    <w:rsid w:val="0EEAFB55"/>
    <w:rsid w:val="0EEAFF5D"/>
    <w:rsid w:val="0EEB77DA"/>
    <w:rsid w:val="0EEB9998"/>
    <w:rsid w:val="0EEE205C"/>
    <w:rsid w:val="0EF2DD82"/>
    <w:rsid w:val="0EF5E6BB"/>
    <w:rsid w:val="0EF614A5"/>
    <w:rsid w:val="0EF77120"/>
    <w:rsid w:val="0EFAAA80"/>
    <w:rsid w:val="0EFB37E6"/>
    <w:rsid w:val="0EFB7EFD"/>
    <w:rsid w:val="0EFC13FD"/>
    <w:rsid w:val="0EFCE257"/>
    <w:rsid w:val="0EFD026E"/>
    <w:rsid w:val="0EFD0BF2"/>
    <w:rsid w:val="0EFD7A7F"/>
    <w:rsid w:val="0EFECFF9"/>
    <w:rsid w:val="0EFFDF0B"/>
    <w:rsid w:val="0F05D3B9"/>
    <w:rsid w:val="0F091F8B"/>
    <w:rsid w:val="0F0B1738"/>
    <w:rsid w:val="0F0F6F2A"/>
    <w:rsid w:val="0F11A89A"/>
    <w:rsid w:val="0F14294D"/>
    <w:rsid w:val="0F144DB9"/>
    <w:rsid w:val="0F186D0F"/>
    <w:rsid w:val="0F1980FB"/>
    <w:rsid w:val="0F199878"/>
    <w:rsid w:val="0F1FECE2"/>
    <w:rsid w:val="0F237B5A"/>
    <w:rsid w:val="0F25D655"/>
    <w:rsid w:val="0F26603E"/>
    <w:rsid w:val="0F270ADC"/>
    <w:rsid w:val="0F287D3A"/>
    <w:rsid w:val="0F2ABB52"/>
    <w:rsid w:val="0F2CCAD8"/>
    <w:rsid w:val="0F2F0A9C"/>
    <w:rsid w:val="0F30E7E5"/>
    <w:rsid w:val="0F321FB9"/>
    <w:rsid w:val="0F35A4D8"/>
    <w:rsid w:val="0F3DD515"/>
    <w:rsid w:val="0F3F413F"/>
    <w:rsid w:val="0F41BD9C"/>
    <w:rsid w:val="0F4A5D0A"/>
    <w:rsid w:val="0F4D5969"/>
    <w:rsid w:val="0F4DEF81"/>
    <w:rsid w:val="0F515169"/>
    <w:rsid w:val="0F537CE7"/>
    <w:rsid w:val="0F53D485"/>
    <w:rsid w:val="0F551C5A"/>
    <w:rsid w:val="0F56C1C7"/>
    <w:rsid w:val="0F572B28"/>
    <w:rsid w:val="0F57D595"/>
    <w:rsid w:val="0F5B900A"/>
    <w:rsid w:val="0F5D1BD0"/>
    <w:rsid w:val="0F60F5C4"/>
    <w:rsid w:val="0F6300DD"/>
    <w:rsid w:val="0F664C0F"/>
    <w:rsid w:val="0F682FF1"/>
    <w:rsid w:val="0F6861BB"/>
    <w:rsid w:val="0F6B9F76"/>
    <w:rsid w:val="0F6E5632"/>
    <w:rsid w:val="0F7007D6"/>
    <w:rsid w:val="0F70760A"/>
    <w:rsid w:val="0F718F52"/>
    <w:rsid w:val="0F72C9FE"/>
    <w:rsid w:val="0F7468E2"/>
    <w:rsid w:val="0F799499"/>
    <w:rsid w:val="0F79C2E9"/>
    <w:rsid w:val="0F7B2224"/>
    <w:rsid w:val="0F7CA242"/>
    <w:rsid w:val="0F7D4616"/>
    <w:rsid w:val="0F7E0E31"/>
    <w:rsid w:val="0F7E7143"/>
    <w:rsid w:val="0F7E811D"/>
    <w:rsid w:val="0F7F0C5B"/>
    <w:rsid w:val="0F81B5FD"/>
    <w:rsid w:val="0F842FD5"/>
    <w:rsid w:val="0F857B5D"/>
    <w:rsid w:val="0F86D33C"/>
    <w:rsid w:val="0F8B37A5"/>
    <w:rsid w:val="0F8CC49F"/>
    <w:rsid w:val="0F92A6C7"/>
    <w:rsid w:val="0F949619"/>
    <w:rsid w:val="0F953153"/>
    <w:rsid w:val="0F95F816"/>
    <w:rsid w:val="0F98FE29"/>
    <w:rsid w:val="0F9C3714"/>
    <w:rsid w:val="0F9CFCED"/>
    <w:rsid w:val="0FA0196D"/>
    <w:rsid w:val="0FA06E62"/>
    <w:rsid w:val="0FA3630C"/>
    <w:rsid w:val="0FAB667E"/>
    <w:rsid w:val="0FAC73C3"/>
    <w:rsid w:val="0FACD2D5"/>
    <w:rsid w:val="0FAD0C27"/>
    <w:rsid w:val="0FAEBB3E"/>
    <w:rsid w:val="0FB0335F"/>
    <w:rsid w:val="0FB08AE0"/>
    <w:rsid w:val="0FB21463"/>
    <w:rsid w:val="0FB23F12"/>
    <w:rsid w:val="0FB3BDCB"/>
    <w:rsid w:val="0FB41119"/>
    <w:rsid w:val="0FB6070F"/>
    <w:rsid w:val="0FB91444"/>
    <w:rsid w:val="0FBC5DBE"/>
    <w:rsid w:val="0FC16049"/>
    <w:rsid w:val="0FC42CF3"/>
    <w:rsid w:val="0FC825FC"/>
    <w:rsid w:val="0FC90BCF"/>
    <w:rsid w:val="0FC93F29"/>
    <w:rsid w:val="0FCC1E35"/>
    <w:rsid w:val="0FCDCDAB"/>
    <w:rsid w:val="0FCED871"/>
    <w:rsid w:val="0FD1DBBB"/>
    <w:rsid w:val="0FD561B3"/>
    <w:rsid w:val="0FDAB0A8"/>
    <w:rsid w:val="0FDBC2D7"/>
    <w:rsid w:val="0FDDF48D"/>
    <w:rsid w:val="0FDE001F"/>
    <w:rsid w:val="0FE0BE61"/>
    <w:rsid w:val="0FE3612E"/>
    <w:rsid w:val="0FEAB546"/>
    <w:rsid w:val="0FEC6439"/>
    <w:rsid w:val="0FECFD70"/>
    <w:rsid w:val="0FED2D6E"/>
    <w:rsid w:val="0FED9AAE"/>
    <w:rsid w:val="0FEF660E"/>
    <w:rsid w:val="0FF190D1"/>
    <w:rsid w:val="0FF67D66"/>
    <w:rsid w:val="0FF71597"/>
    <w:rsid w:val="0FF7B2EB"/>
    <w:rsid w:val="0FF9CE7E"/>
    <w:rsid w:val="0FFA3A6E"/>
    <w:rsid w:val="0FFA6EBF"/>
    <w:rsid w:val="0FFB7027"/>
    <w:rsid w:val="0FFBB7CE"/>
    <w:rsid w:val="0FFC6AA1"/>
    <w:rsid w:val="0FFC9ADC"/>
    <w:rsid w:val="0FFF5084"/>
    <w:rsid w:val="10016F9F"/>
    <w:rsid w:val="10035E4C"/>
    <w:rsid w:val="10044539"/>
    <w:rsid w:val="1004EB9B"/>
    <w:rsid w:val="1006A966"/>
    <w:rsid w:val="1008DF8E"/>
    <w:rsid w:val="100C9284"/>
    <w:rsid w:val="100FC3BF"/>
    <w:rsid w:val="10100049"/>
    <w:rsid w:val="10139E22"/>
    <w:rsid w:val="1013DB70"/>
    <w:rsid w:val="10152EB0"/>
    <w:rsid w:val="101667B7"/>
    <w:rsid w:val="101BAA24"/>
    <w:rsid w:val="101C0BB9"/>
    <w:rsid w:val="101CDF31"/>
    <w:rsid w:val="10214365"/>
    <w:rsid w:val="10218C4C"/>
    <w:rsid w:val="10241834"/>
    <w:rsid w:val="10283F20"/>
    <w:rsid w:val="102AB539"/>
    <w:rsid w:val="102D2866"/>
    <w:rsid w:val="102E525C"/>
    <w:rsid w:val="10325588"/>
    <w:rsid w:val="10395D1E"/>
    <w:rsid w:val="103A1D4E"/>
    <w:rsid w:val="103B0ECB"/>
    <w:rsid w:val="103D5EA6"/>
    <w:rsid w:val="104059F0"/>
    <w:rsid w:val="104213B8"/>
    <w:rsid w:val="10438D47"/>
    <w:rsid w:val="1045D775"/>
    <w:rsid w:val="1057FE66"/>
    <w:rsid w:val="105B8022"/>
    <w:rsid w:val="105EBA83"/>
    <w:rsid w:val="105EE2CA"/>
    <w:rsid w:val="105FDD46"/>
    <w:rsid w:val="10625010"/>
    <w:rsid w:val="10645E5B"/>
    <w:rsid w:val="1064A35D"/>
    <w:rsid w:val="10659758"/>
    <w:rsid w:val="10659B57"/>
    <w:rsid w:val="10670B61"/>
    <w:rsid w:val="10677F9C"/>
    <w:rsid w:val="1068EAA3"/>
    <w:rsid w:val="10691F76"/>
    <w:rsid w:val="10699E00"/>
    <w:rsid w:val="106F511F"/>
    <w:rsid w:val="106FBDCF"/>
    <w:rsid w:val="107317E3"/>
    <w:rsid w:val="10745396"/>
    <w:rsid w:val="107661A1"/>
    <w:rsid w:val="10772809"/>
    <w:rsid w:val="1077F8CA"/>
    <w:rsid w:val="10787EE1"/>
    <w:rsid w:val="107BB7BA"/>
    <w:rsid w:val="107D776D"/>
    <w:rsid w:val="107FEF9A"/>
    <w:rsid w:val="10822098"/>
    <w:rsid w:val="1084EE4B"/>
    <w:rsid w:val="1086BDFC"/>
    <w:rsid w:val="108C153A"/>
    <w:rsid w:val="108E8649"/>
    <w:rsid w:val="10904E14"/>
    <w:rsid w:val="1091FE8D"/>
    <w:rsid w:val="109205EB"/>
    <w:rsid w:val="1094DEBE"/>
    <w:rsid w:val="1096D065"/>
    <w:rsid w:val="1096D98A"/>
    <w:rsid w:val="109A2056"/>
    <w:rsid w:val="109E1F2F"/>
    <w:rsid w:val="109F60EF"/>
    <w:rsid w:val="109FDD28"/>
    <w:rsid w:val="10A1515A"/>
    <w:rsid w:val="10A2A6DD"/>
    <w:rsid w:val="10A329FA"/>
    <w:rsid w:val="10A4A082"/>
    <w:rsid w:val="10A5908A"/>
    <w:rsid w:val="10A620E5"/>
    <w:rsid w:val="10A7FA55"/>
    <w:rsid w:val="10A98E93"/>
    <w:rsid w:val="10AA835C"/>
    <w:rsid w:val="10AAA08C"/>
    <w:rsid w:val="10AC6E13"/>
    <w:rsid w:val="10ACAC2B"/>
    <w:rsid w:val="10ACF9BA"/>
    <w:rsid w:val="10B1673E"/>
    <w:rsid w:val="10B253D0"/>
    <w:rsid w:val="10B7BB11"/>
    <w:rsid w:val="10BB0F62"/>
    <w:rsid w:val="10BB2932"/>
    <w:rsid w:val="10C0CE62"/>
    <w:rsid w:val="10C3863E"/>
    <w:rsid w:val="10C38C6D"/>
    <w:rsid w:val="10C455B1"/>
    <w:rsid w:val="10C4FB9C"/>
    <w:rsid w:val="10C6D69A"/>
    <w:rsid w:val="10C9777B"/>
    <w:rsid w:val="10CC2974"/>
    <w:rsid w:val="10CC9353"/>
    <w:rsid w:val="10CE8C91"/>
    <w:rsid w:val="10D018B0"/>
    <w:rsid w:val="10D0EAC8"/>
    <w:rsid w:val="10D11DB8"/>
    <w:rsid w:val="10D140B7"/>
    <w:rsid w:val="10D2023C"/>
    <w:rsid w:val="10D73235"/>
    <w:rsid w:val="10D79358"/>
    <w:rsid w:val="10D81FB4"/>
    <w:rsid w:val="10D8D0A5"/>
    <w:rsid w:val="10DA410A"/>
    <w:rsid w:val="10DA6C85"/>
    <w:rsid w:val="10DD0C71"/>
    <w:rsid w:val="10DE26A0"/>
    <w:rsid w:val="10DE7C58"/>
    <w:rsid w:val="10DE9E35"/>
    <w:rsid w:val="10DEA80B"/>
    <w:rsid w:val="10E0CD04"/>
    <w:rsid w:val="10E1FC49"/>
    <w:rsid w:val="10E3E7A7"/>
    <w:rsid w:val="10E3EFC4"/>
    <w:rsid w:val="10E4231F"/>
    <w:rsid w:val="10E493C6"/>
    <w:rsid w:val="10E4A5C9"/>
    <w:rsid w:val="10E4EFA6"/>
    <w:rsid w:val="10E510CF"/>
    <w:rsid w:val="10E55F61"/>
    <w:rsid w:val="10E580BD"/>
    <w:rsid w:val="10E6C29E"/>
    <w:rsid w:val="10E6D95B"/>
    <w:rsid w:val="10E74563"/>
    <w:rsid w:val="10E83651"/>
    <w:rsid w:val="10E973F3"/>
    <w:rsid w:val="10ED40EC"/>
    <w:rsid w:val="10EEA559"/>
    <w:rsid w:val="10F00121"/>
    <w:rsid w:val="10F053F2"/>
    <w:rsid w:val="10F26DD2"/>
    <w:rsid w:val="10F6BF29"/>
    <w:rsid w:val="10F802EA"/>
    <w:rsid w:val="10FC2A4B"/>
    <w:rsid w:val="10FD85F3"/>
    <w:rsid w:val="11042943"/>
    <w:rsid w:val="1104EA29"/>
    <w:rsid w:val="11059BFE"/>
    <w:rsid w:val="1108B49E"/>
    <w:rsid w:val="110A235C"/>
    <w:rsid w:val="110B7F09"/>
    <w:rsid w:val="110DDE2B"/>
    <w:rsid w:val="110DEEAE"/>
    <w:rsid w:val="110E4361"/>
    <w:rsid w:val="110E7808"/>
    <w:rsid w:val="11117FB4"/>
    <w:rsid w:val="11131A78"/>
    <w:rsid w:val="1116A909"/>
    <w:rsid w:val="11192BAC"/>
    <w:rsid w:val="111AE438"/>
    <w:rsid w:val="111B57EF"/>
    <w:rsid w:val="111CC634"/>
    <w:rsid w:val="111FA5CD"/>
    <w:rsid w:val="11226778"/>
    <w:rsid w:val="1122B1F3"/>
    <w:rsid w:val="112A1810"/>
    <w:rsid w:val="112AE8F6"/>
    <w:rsid w:val="112E370F"/>
    <w:rsid w:val="112E39E2"/>
    <w:rsid w:val="113163CF"/>
    <w:rsid w:val="1132ABC7"/>
    <w:rsid w:val="1133E32A"/>
    <w:rsid w:val="11358CCC"/>
    <w:rsid w:val="1137FBDD"/>
    <w:rsid w:val="1138FE0C"/>
    <w:rsid w:val="11394440"/>
    <w:rsid w:val="113B8BCF"/>
    <w:rsid w:val="114213CD"/>
    <w:rsid w:val="1143A3AF"/>
    <w:rsid w:val="1143EBA1"/>
    <w:rsid w:val="1145E57C"/>
    <w:rsid w:val="1145F977"/>
    <w:rsid w:val="1147C195"/>
    <w:rsid w:val="114D0F75"/>
    <w:rsid w:val="114DC77C"/>
    <w:rsid w:val="114DF4A4"/>
    <w:rsid w:val="114F7EAC"/>
    <w:rsid w:val="11552FCA"/>
    <w:rsid w:val="11562AE8"/>
    <w:rsid w:val="1157EEAD"/>
    <w:rsid w:val="1159A712"/>
    <w:rsid w:val="115EC927"/>
    <w:rsid w:val="115FF610"/>
    <w:rsid w:val="1167F1C3"/>
    <w:rsid w:val="11681ADD"/>
    <w:rsid w:val="116F9065"/>
    <w:rsid w:val="11709A5D"/>
    <w:rsid w:val="11716719"/>
    <w:rsid w:val="1172A1E6"/>
    <w:rsid w:val="1173D9F2"/>
    <w:rsid w:val="1175E4B1"/>
    <w:rsid w:val="1176CC52"/>
    <w:rsid w:val="1179882E"/>
    <w:rsid w:val="1179EC6E"/>
    <w:rsid w:val="117A0557"/>
    <w:rsid w:val="117CA9B7"/>
    <w:rsid w:val="117E985C"/>
    <w:rsid w:val="117E9E0E"/>
    <w:rsid w:val="117FA715"/>
    <w:rsid w:val="11801443"/>
    <w:rsid w:val="1182128E"/>
    <w:rsid w:val="11842663"/>
    <w:rsid w:val="1185FE0A"/>
    <w:rsid w:val="118838CD"/>
    <w:rsid w:val="1188928D"/>
    <w:rsid w:val="1189395E"/>
    <w:rsid w:val="118A4BAF"/>
    <w:rsid w:val="118B34EC"/>
    <w:rsid w:val="118B8495"/>
    <w:rsid w:val="118CAA5A"/>
    <w:rsid w:val="119275FC"/>
    <w:rsid w:val="11942E6F"/>
    <w:rsid w:val="1197F9F8"/>
    <w:rsid w:val="119B54E2"/>
    <w:rsid w:val="119BC48F"/>
    <w:rsid w:val="119C17DF"/>
    <w:rsid w:val="11A0FDE9"/>
    <w:rsid w:val="11A11C82"/>
    <w:rsid w:val="11A39FC3"/>
    <w:rsid w:val="11A45CF6"/>
    <w:rsid w:val="11A54949"/>
    <w:rsid w:val="11A6D722"/>
    <w:rsid w:val="11A7102B"/>
    <w:rsid w:val="11A8435A"/>
    <w:rsid w:val="11A8D00D"/>
    <w:rsid w:val="11A9C009"/>
    <w:rsid w:val="11AA1EE8"/>
    <w:rsid w:val="11AD4F59"/>
    <w:rsid w:val="11AF7461"/>
    <w:rsid w:val="11AFDAF4"/>
    <w:rsid w:val="11B2F8C5"/>
    <w:rsid w:val="11B785E6"/>
    <w:rsid w:val="11B899F8"/>
    <w:rsid w:val="11C12322"/>
    <w:rsid w:val="11C427CB"/>
    <w:rsid w:val="11C5F599"/>
    <w:rsid w:val="11C64812"/>
    <w:rsid w:val="11CC724D"/>
    <w:rsid w:val="11CD16BC"/>
    <w:rsid w:val="11CD7E81"/>
    <w:rsid w:val="11CFACF7"/>
    <w:rsid w:val="11D28818"/>
    <w:rsid w:val="11D470ED"/>
    <w:rsid w:val="11D6DF2C"/>
    <w:rsid w:val="11D7CE02"/>
    <w:rsid w:val="11DA71D9"/>
    <w:rsid w:val="11DAABF0"/>
    <w:rsid w:val="11DCE828"/>
    <w:rsid w:val="11DDAAEB"/>
    <w:rsid w:val="11DE6E99"/>
    <w:rsid w:val="11DE7D29"/>
    <w:rsid w:val="11DEC1E6"/>
    <w:rsid w:val="11DED26B"/>
    <w:rsid w:val="11E0B3BC"/>
    <w:rsid w:val="11E2C0CB"/>
    <w:rsid w:val="11E4E747"/>
    <w:rsid w:val="11E50ADD"/>
    <w:rsid w:val="11E51403"/>
    <w:rsid w:val="11E7083E"/>
    <w:rsid w:val="11E752CD"/>
    <w:rsid w:val="11E884E4"/>
    <w:rsid w:val="11E9C024"/>
    <w:rsid w:val="11E9DC0B"/>
    <w:rsid w:val="11EAF1BC"/>
    <w:rsid w:val="11EB084B"/>
    <w:rsid w:val="11EB2977"/>
    <w:rsid w:val="11EDD9BB"/>
    <w:rsid w:val="11EE8275"/>
    <w:rsid w:val="11F3F1D2"/>
    <w:rsid w:val="11F688E6"/>
    <w:rsid w:val="11F9D3F2"/>
    <w:rsid w:val="11FA19BC"/>
    <w:rsid w:val="11FEED23"/>
    <w:rsid w:val="12022EDF"/>
    <w:rsid w:val="1202CEA1"/>
    <w:rsid w:val="1205A705"/>
    <w:rsid w:val="120E00D4"/>
    <w:rsid w:val="1210C269"/>
    <w:rsid w:val="1211129D"/>
    <w:rsid w:val="121133BC"/>
    <w:rsid w:val="12187E75"/>
    <w:rsid w:val="1218813E"/>
    <w:rsid w:val="121A3F30"/>
    <w:rsid w:val="121D2B61"/>
    <w:rsid w:val="12238886"/>
    <w:rsid w:val="1226CB8A"/>
    <w:rsid w:val="12275605"/>
    <w:rsid w:val="1229C323"/>
    <w:rsid w:val="122ABD6F"/>
    <w:rsid w:val="122E039E"/>
    <w:rsid w:val="122F1B8E"/>
    <w:rsid w:val="123050BF"/>
    <w:rsid w:val="12316777"/>
    <w:rsid w:val="12317C4A"/>
    <w:rsid w:val="1239C71D"/>
    <w:rsid w:val="123C9D58"/>
    <w:rsid w:val="123E3AF8"/>
    <w:rsid w:val="123E938F"/>
    <w:rsid w:val="123FC754"/>
    <w:rsid w:val="124008BC"/>
    <w:rsid w:val="12410EB5"/>
    <w:rsid w:val="1241A25B"/>
    <w:rsid w:val="124310E5"/>
    <w:rsid w:val="124472FC"/>
    <w:rsid w:val="12448087"/>
    <w:rsid w:val="1244E768"/>
    <w:rsid w:val="1245A386"/>
    <w:rsid w:val="1245B0A6"/>
    <w:rsid w:val="12507EAB"/>
    <w:rsid w:val="12513A0E"/>
    <w:rsid w:val="12522CB0"/>
    <w:rsid w:val="1252F1C2"/>
    <w:rsid w:val="12545F83"/>
    <w:rsid w:val="1254A769"/>
    <w:rsid w:val="12561B47"/>
    <w:rsid w:val="125C8C21"/>
    <w:rsid w:val="125CC4A1"/>
    <w:rsid w:val="125DD040"/>
    <w:rsid w:val="125EE1F4"/>
    <w:rsid w:val="12621FCE"/>
    <w:rsid w:val="12636881"/>
    <w:rsid w:val="1265EB93"/>
    <w:rsid w:val="12660F11"/>
    <w:rsid w:val="12689E11"/>
    <w:rsid w:val="126AD682"/>
    <w:rsid w:val="126B8E94"/>
    <w:rsid w:val="126B9DD5"/>
    <w:rsid w:val="126D2B87"/>
    <w:rsid w:val="126E0FCC"/>
    <w:rsid w:val="127082BB"/>
    <w:rsid w:val="1271308E"/>
    <w:rsid w:val="12732255"/>
    <w:rsid w:val="127519B3"/>
    <w:rsid w:val="127535F3"/>
    <w:rsid w:val="1275D3D4"/>
    <w:rsid w:val="127638BA"/>
    <w:rsid w:val="127958EA"/>
    <w:rsid w:val="127A0F0D"/>
    <w:rsid w:val="127D5AB6"/>
    <w:rsid w:val="127DB477"/>
    <w:rsid w:val="127DDFF6"/>
    <w:rsid w:val="127F14FD"/>
    <w:rsid w:val="1285E753"/>
    <w:rsid w:val="128A106B"/>
    <w:rsid w:val="128BC17E"/>
    <w:rsid w:val="128F2721"/>
    <w:rsid w:val="12914B00"/>
    <w:rsid w:val="12928F74"/>
    <w:rsid w:val="1293F230"/>
    <w:rsid w:val="1293F943"/>
    <w:rsid w:val="1295FAD1"/>
    <w:rsid w:val="1296AF61"/>
    <w:rsid w:val="129702B0"/>
    <w:rsid w:val="1299EEF4"/>
    <w:rsid w:val="129A45D1"/>
    <w:rsid w:val="129BE9B1"/>
    <w:rsid w:val="129C9C14"/>
    <w:rsid w:val="129E899B"/>
    <w:rsid w:val="12A07310"/>
    <w:rsid w:val="12A11CB6"/>
    <w:rsid w:val="12A50E6E"/>
    <w:rsid w:val="12A57DD6"/>
    <w:rsid w:val="12A61AD7"/>
    <w:rsid w:val="12A749BC"/>
    <w:rsid w:val="12A945AA"/>
    <w:rsid w:val="12AD7E55"/>
    <w:rsid w:val="12AE2AAB"/>
    <w:rsid w:val="12AE4AC9"/>
    <w:rsid w:val="12AF7F18"/>
    <w:rsid w:val="12B2A451"/>
    <w:rsid w:val="12B3D80C"/>
    <w:rsid w:val="12B52027"/>
    <w:rsid w:val="12B5D796"/>
    <w:rsid w:val="12BA13D9"/>
    <w:rsid w:val="12BCA5D2"/>
    <w:rsid w:val="12BCD24D"/>
    <w:rsid w:val="12BD2522"/>
    <w:rsid w:val="12BF32CA"/>
    <w:rsid w:val="12C40356"/>
    <w:rsid w:val="12C51653"/>
    <w:rsid w:val="12C56661"/>
    <w:rsid w:val="12C5B442"/>
    <w:rsid w:val="12CBDC12"/>
    <w:rsid w:val="12CE4DBE"/>
    <w:rsid w:val="12CF9CF4"/>
    <w:rsid w:val="12D0505F"/>
    <w:rsid w:val="12D1AE28"/>
    <w:rsid w:val="12D33AFE"/>
    <w:rsid w:val="12D43BE6"/>
    <w:rsid w:val="12D49A93"/>
    <w:rsid w:val="12D7D64F"/>
    <w:rsid w:val="12D8FB50"/>
    <w:rsid w:val="12D92170"/>
    <w:rsid w:val="12DAD966"/>
    <w:rsid w:val="12DE1998"/>
    <w:rsid w:val="12E0642D"/>
    <w:rsid w:val="12E287DF"/>
    <w:rsid w:val="12E28A7F"/>
    <w:rsid w:val="12E2FADA"/>
    <w:rsid w:val="12EFA514"/>
    <w:rsid w:val="12F04268"/>
    <w:rsid w:val="12F08C91"/>
    <w:rsid w:val="12F5057D"/>
    <w:rsid w:val="12F5C9DA"/>
    <w:rsid w:val="12F5DC5B"/>
    <w:rsid w:val="12F71499"/>
    <w:rsid w:val="12F76907"/>
    <w:rsid w:val="12F80C1D"/>
    <w:rsid w:val="12F926DE"/>
    <w:rsid w:val="12FAD89A"/>
    <w:rsid w:val="12FBD018"/>
    <w:rsid w:val="12FD7E0D"/>
    <w:rsid w:val="1300DFEB"/>
    <w:rsid w:val="130178D9"/>
    <w:rsid w:val="1305F4DC"/>
    <w:rsid w:val="13131F9A"/>
    <w:rsid w:val="1319C7DC"/>
    <w:rsid w:val="131B599E"/>
    <w:rsid w:val="131C7C8F"/>
    <w:rsid w:val="1320054A"/>
    <w:rsid w:val="13234680"/>
    <w:rsid w:val="132455E5"/>
    <w:rsid w:val="13258AE1"/>
    <w:rsid w:val="1325BDE0"/>
    <w:rsid w:val="1326E8A6"/>
    <w:rsid w:val="13274AB0"/>
    <w:rsid w:val="1327F03E"/>
    <w:rsid w:val="1329C625"/>
    <w:rsid w:val="132A1CBF"/>
    <w:rsid w:val="132AA79B"/>
    <w:rsid w:val="132EFE9B"/>
    <w:rsid w:val="132F0DF1"/>
    <w:rsid w:val="1330CF9E"/>
    <w:rsid w:val="1331EFC1"/>
    <w:rsid w:val="1334566A"/>
    <w:rsid w:val="1336ACAD"/>
    <w:rsid w:val="1338AFB0"/>
    <w:rsid w:val="133C42D2"/>
    <w:rsid w:val="133CD0E5"/>
    <w:rsid w:val="133FEDC3"/>
    <w:rsid w:val="1341422C"/>
    <w:rsid w:val="1341EA5F"/>
    <w:rsid w:val="13442B22"/>
    <w:rsid w:val="1345DA2E"/>
    <w:rsid w:val="134869B6"/>
    <w:rsid w:val="134AE48E"/>
    <w:rsid w:val="134EAC06"/>
    <w:rsid w:val="1352ED13"/>
    <w:rsid w:val="13543095"/>
    <w:rsid w:val="135593EC"/>
    <w:rsid w:val="13560CB1"/>
    <w:rsid w:val="13580B1B"/>
    <w:rsid w:val="13589FF9"/>
    <w:rsid w:val="13595084"/>
    <w:rsid w:val="135C3D5D"/>
    <w:rsid w:val="135F0B78"/>
    <w:rsid w:val="13604BF0"/>
    <w:rsid w:val="136070C2"/>
    <w:rsid w:val="1361C527"/>
    <w:rsid w:val="1367FA83"/>
    <w:rsid w:val="136C2339"/>
    <w:rsid w:val="136F7C10"/>
    <w:rsid w:val="13720F7E"/>
    <w:rsid w:val="137499F3"/>
    <w:rsid w:val="137728EC"/>
    <w:rsid w:val="13775AD1"/>
    <w:rsid w:val="1378CA75"/>
    <w:rsid w:val="1379442C"/>
    <w:rsid w:val="137D70DE"/>
    <w:rsid w:val="137DC130"/>
    <w:rsid w:val="137FBE11"/>
    <w:rsid w:val="1380B7A8"/>
    <w:rsid w:val="1380CBB5"/>
    <w:rsid w:val="1380CBEB"/>
    <w:rsid w:val="13829EC4"/>
    <w:rsid w:val="1385BD41"/>
    <w:rsid w:val="1385CE8F"/>
    <w:rsid w:val="1386D09A"/>
    <w:rsid w:val="1386F3C9"/>
    <w:rsid w:val="1386F9F4"/>
    <w:rsid w:val="138A8856"/>
    <w:rsid w:val="138AA267"/>
    <w:rsid w:val="138B440D"/>
    <w:rsid w:val="138E33D6"/>
    <w:rsid w:val="138EBD5A"/>
    <w:rsid w:val="138F2470"/>
    <w:rsid w:val="1391BD5D"/>
    <w:rsid w:val="1396935B"/>
    <w:rsid w:val="13988D53"/>
    <w:rsid w:val="1398D463"/>
    <w:rsid w:val="139BAAA6"/>
    <w:rsid w:val="139F834E"/>
    <w:rsid w:val="13A23672"/>
    <w:rsid w:val="13A23734"/>
    <w:rsid w:val="13A375E0"/>
    <w:rsid w:val="13A9D65F"/>
    <w:rsid w:val="13AA2C9B"/>
    <w:rsid w:val="13AEA72E"/>
    <w:rsid w:val="13B11507"/>
    <w:rsid w:val="13B4E48B"/>
    <w:rsid w:val="13B67027"/>
    <w:rsid w:val="13B6934F"/>
    <w:rsid w:val="13BD5E3F"/>
    <w:rsid w:val="13BFDF6C"/>
    <w:rsid w:val="13C22D84"/>
    <w:rsid w:val="13CAE77B"/>
    <w:rsid w:val="13CC88AB"/>
    <w:rsid w:val="13CD648E"/>
    <w:rsid w:val="13CDFF9A"/>
    <w:rsid w:val="13CFB16F"/>
    <w:rsid w:val="13D03145"/>
    <w:rsid w:val="13D1C9E1"/>
    <w:rsid w:val="13D31916"/>
    <w:rsid w:val="13D60929"/>
    <w:rsid w:val="13D61272"/>
    <w:rsid w:val="13D66C50"/>
    <w:rsid w:val="13D91950"/>
    <w:rsid w:val="13DC5161"/>
    <w:rsid w:val="13DE745D"/>
    <w:rsid w:val="13DE9DC4"/>
    <w:rsid w:val="13DF5982"/>
    <w:rsid w:val="13DF839C"/>
    <w:rsid w:val="13E2F3D1"/>
    <w:rsid w:val="13E5A11D"/>
    <w:rsid w:val="13E5D9F6"/>
    <w:rsid w:val="13E8E17B"/>
    <w:rsid w:val="13E9F5CC"/>
    <w:rsid w:val="13EEA228"/>
    <w:rsid w:val="13F547E4"/>
    <w:rsid w:val="13F58F4C"/>
    <w:rsid w:val="13F8A281"/>
    <w:rsid w:val="13FAD49D"/>
    <w:rsid w:val="1403B013"/>
    <w:rsid w:val="1403C1FD"/>
    <w:rsid w:val="1405526B"/>
    <w:rsid w:val="14058E3B"/>
    <w:rsid w:val="140902DB"/>
    <w:rsid w:val="140C0C74"/>
    <w:rsid w:val="140CA641"/>
    <w:rsid w:val="140DB462"/>
    <w:rsid w:val="140F8D7B"/>
    <w:rsid w:val="1412AFAD"/>
    <w:rsid w:val="14141778"/>
    <w:rsid w:val="14160F08"/>
    <w:rsid w:val="14163A45"/>
    <w:rsid w:val="1417370F"/>
    <w:rsid w:val="1419B15E"/>
    <w:rsid w:val="141B5125"/>
    <w:rsid w:val="141C3A0F"/>
    <w:rsid w:val="141C70F4"/>
    <w:rsid w:val="141CFB51"/>
    <w:rsid w:val="141D03E0"/>
    <w:rsid w:val="141F9F00"/>
    <w:rsid w:val="1420C6D7"/>
    <w:rsid w:val="14266232"/>
    <w:rsid w:val="142A021C"/>
    <w:rsid w:val="142A5A29"/>
    <w:rsid w:val="142D77DA"/>
    <w:rsid w:val="142F0C2B"/>
    <w:rsid w:val="14303E72"/>
    <w:rsid w:val="1430D257"/>
    <w:rsid w:val="1431847F"/>
    <w:rsid w:val="14333CE5"/>
    <w:rsid w:val="143A8D35"/>
    <w:rsid w:val="143CC271"/>
    <w:rsid w:val="143D82BC"/>
    <w:rsid w:val="14422428"/>
    <w:rsid w:val="1442C848"/>
    <w:rsid w:val="14441DE5"/>
    <w:rsid w:val="144688F9"/>
    <w:rsid w:val="1447F450"/>
    <w:rsid w:val="144F568A"/>
    <w:rsid w:val="144FD6D3"/>
    <w:rsid w:val="144FF8A6"/>
    <w:rsid w:val="1450EA3A"/>
    <w:rsid w:val="14511A0B"/>
    <w:rsid w:val="145282A7"/>
    <w:rsid w:val="14535F8A"/>
    <w:rsid w:val="1453CF95"/>
    <w:rsid w:val="14551171"/>
    <w:rsid w:val="14564A85"/>
    <w:rsid w:val="1457F068"/>
    <w:rsid w:val="145E2F53"/>
    <w:rsid w:val="145E923B"/>
    <w:rsid w:val="1463691D"/>
    <w:rsid w:val="14687CBB"/>
    <w:rsid w:val="146C4DFD"/>
    <w:rsid w:val="1475033D"/>
    <w:rsid w:val="14766DB7"/>
    <w:rsid w:val="1476C97E"/>
    <w:rsid w:val="14770929"/>
    <w:rsid w:val="1479EF3A"/>
    <w:rsid w:val="147B9E4B"/>
    <w:rsid w:val="147BF7C1"/>
    <w:rsid w:val="14853EBA"/>
    <w:rsid w:val="148BC9DB"/>
    <w:rsid w:val="148F4A3E"/>
    <w:rsid w:val="148F6A80"/>
    <w:rsid w:val="1493C2A0"/>
    <w:rsid w:val="14960031"/>
    <w:rsid w:val="14960957"/>
    <w:rsid w:val="149652F9"/>
    <w:rsid w:val="1496AC86"/>
    <w:rsid w:val="1499C0A8"/>
    <w:rsid w:val="149A70E4"/>
    <w:rsid w:val="149EE9F2"/>
    <w:rsid w:val="14A52B91"/>
    <w:rsid w:val="14A57339"/>
    <w:rsid w:val="14A5C87F"/>
    <w:rsid w:val="14A7B406"/>
    <w:rsid w:val="14A937B8"/>
    <w:rsid w:val="14AB5EBB"/>
    <w:rsid w:val="14ABA80E"/>
    <w:rsid w:val="14AD5A02"/>
    <w:rsid w:val="14AD655A"/>
    <w:rsid w:val="14B2061D"/>
    <w:rsid w:val="14B36CB4"/>
    <w:rsid w:val="14B40060"/>
    <w:rsid w:val="14B4076F"/>
    <w:rsid w:val="14B587B6"/>
    <w:rsid w:val="14B68523"/>
    <w:rsid w:val="14B75800"/>
    <w:rsid w:val="14BA15AD"/>
    <w:rsid w:val="14BA783E"/>
    <w:rsid w:val="14BDE1DA"/>
    <w:rsid w:val="14C0BFF1"/>
    <w:rsid w:val="14C1C72F"/>
    <w:rsid w:val="14C2510E"/>
    <w:rsid w:val="14C6D3F2"/>
    <w:rsid w:val="14C852C0"/>
    <w:rsid w:val="14C9C9E5"/>
    <w:rsid w:val="14CB10FA"/>
    <w:rsid w:val="14CFA1D1"/>
    <w:rsid w:val="14D0551D"/>
    <w:rsid w:val="14D09D53"/>
    <w:rsid w:val="14D33969"/>
    <w:rsid w:val="14D3DB2E"/>
    <w:rsid w:val="14D3EA74"/>
    <w:rsid w:val="14D625B3"/>
    <w:rsid w:val="14D95996"/>
    <w:rsid w:val="14DA4C32"/>
    <w:rsid w:val="14DE3BAD"/>
    <w:rsid w:val="14DF4080"/>
    <w:rsid w:val="14DFFCDA"/>
    <w:rsid w:val="14E02897"/>
    <w:rsid w:val="14E0A61A"/>
    <w:rsid w:val="14E0E233"/>
    <w:rsid w:val="14E48E96"/>
    <w:rsid w:val="14E88837"/>
    <w:rsid w:val="14E91A7E"/>
    <w:rsid w:val="14E92C94"/>
    <w:rsid w:val="14ECD862"/>
    <w:rsid w:val="14EDB11A"/>
    <w:rsid w:val="14EDC263"/>
    <w:rsid w:val="14F7C5BB"/>
    <w:rsid w:val="14F7C65A"/>
    <w:rsid w:val="14F96012"/>
    <w:rsid w:val="14FCE717"/>
    <w:rsid w:val="15019370"/>
    <w:rsid w:val="150242FD"/>
    <w:rsid w:val="15063160"/>
    <w:rsid w:val="15067A5D"/>
    <w:rsid w:val="1506967E"/>
    <w:rsid w:val="15077C4A"/>
    <w:rsid w:val="1508B383"/>
    <w:rsid w:val="15090D21"/>
    <w:rsid w:val="150BA3F6"/>
    <w:rsid w:val="150BAAD3"/>
    <w:rsid w:val="150C3994"/>
    <w:rsid w:val="150E2A38"/>
    <w:rsid w:val="15183A79"/>
    <w:rsid w:val="15191282"/>
    <w:rsid w:val="151954FD"/>
    <w:rsid w:val="151B2CB3"/>
    <w:rsid w:val="151CFFBC"/>
    <w:rsid w:val="151F9D37"/>
    <w:rsid w:val="1520BD1E"/>
    <w:rsid w:val="15234FEE"/>
    <w:rsid w:val="15247F9D"/>
    <w:rsid w:val="1525E52D"/>
    <w:rsid w:val="1526C2E2"/>
    <w:rsid w:val="1529D8B0"/>
    <w:rsid w:val="1529E694"/>
    <w:rsid w:val="1529F7D9"/>
    <w:rsid w:val="152B99EC"/>
    <w:rsid w:val="1531E7A9"/>
    <w:rsid w:val="15330609"/>
    <w:rsid w:val="1534E7F5"/>
    <w:rsid w:val="153554FD"/>
    <w:rsid w:val="1535D301"/>
    <w:rsid w:val="1537FB56"/>
    <w:rsid w:val="1539142C"/>
    <w:rsid w:val="153A184A"/>
    <w:rsid w:val="153F6583"/>
    <w:rsid w:val="15403459"/>
    <w:rsid w:val="1542A58E"/>
    <w:rsid w:val="15430FB3"/>
    <w:rsid w:val="154688A0"/>
    <w:rsid w:val="1547271F"/>
    <w:rsid w:val="1547333E"/>
    <w:rsid w:val="15486FD7"/>
    <w:rsid w:val="1548F965"/>
    <w:rsid w:val="154BDD4B"/>
    <w:rsid w:val="154CD14B"/>
    <w:rsid w:val="154F8DA5"/>
    <w:rsid w:val="155547E0"/>
    <w:rsid w:val="155835E1"/>
    <w:rsid w:val="155BEE01"/>
    <w:rsid w:val="155D78BE"/>
    <w:rsid w:val="155D78C0"/>
    <w:rsid w:val="155DF494"/>
    <w:rsid w:val="155E4FFC"/>
    <w:rsid w:val="15656F56"/>
    <w:rsid w:val="1565A530"/>
    <w:rsid w:val="15669DCD"/>
    <w:rsid w:val="1567510A"/>
    <w:rsid w:val="1568EF88"/>
    <w:rsid w:val="156A4DCF"/>
    <w:rsid w:val="156B08FF"/>
    <w:rsid w:val="156BB9B0"/>
    <w:rsid w:val="156D5EFC"/>
    <w:rsid w:val="156E7E3F"/>
    <w:rsid w:val="156F283D"/>
    <w:rsid w:val="1572E52A"/>
    <w:rsid w:val="1573204B"/>
    <w:rsid w:val="157356E0"/>
    <w:rsid w:val="1574FC79"/>
    <w:rsid w:val="157B1A21"/>
    <w:rsid w:val="157CA8A5"/>
    <w:rsid w:val="157E11B2"/>
    <w:rsid w:val="157EBC2B"/>
    <w:rsid w:val="15837DEE"/>
    <w:rsid w:val="1583CE92"/>
    <w:rsid w:val="1585EA88"/>
    <w:rsid w:val="15863286"/>
    <w:rsid w:val="1588002C"/>
    <w:rsid w:val="1588B5C4"/>
    <w:rsid w:val="158B894C"/>
    <w:rsid w:val="159124D7"/>
    <w:rsid w:val="1591B4B1"/>
    <w:rsid w:val="15942C16"/>
    <w:rsid w:val="15955CA4"/>
    <w:rsid w:val="159800FF"/>
    <w:rsid w:val="1599A3BC"/>
    <w:rsid w:val="159B5ED2"/>
    <w:rsid w:val="159C0CCB"/>
    <w:rsid w:val="15A114B5"/>
    <w:rsid w:val="15A48544"/>
    <w:rsid w:val="15A567BA"/>
    <w:rsid w:val="15A5CA95"/>
    <w:rsid w:val="15A825BD"/>
    <w:rsid w:val="15AEDA6E"/>
    <w:rsid w:val="15B5811F"/>
    <w:rsid w:val="15B7BAD5"/>
    <w:rsid w:val="15B9A62E"/>
    <w:rsid w:val="15B9AD07"/>
    <w:rsid w:val="15B9ECC2"/>
    <w:rsid w:val="15BC7870"/>
    <w:rsid w:val="15BD7928"/>
    <w:rsid w:val="15C31A61"/>
    <w:rsid w:val="15C44548"/>
    <w:rsid w:val="15C4AFA4"/>
    <w:rsid w:val="15C7C167"/>
    <w:rsid w:val="15C8AD60"/>
    <w:rsid w:val="15CA0AC3"/>
    <w:rsid w:val="15CAC041"/>
    <w:rsid w:val="15CB4FCF"/>
    <w:rsid w:val="15D28106"/>
    <w:rsid w:val="15D40346"/>
    <w:rsid w:val="15D4D849"/>
    <w:rsid w:val="15D69B48"/>
    <w:rsid w:val="15D7D59B"/>
    <w:rsid w:val="15DBBE20"/>
    <w:rsid w:val="15DF7378"/>
    <w:rsid w:val="15E1C045"/>
    <w:rsid w:val="15E1EC09"/>
    <w:rsid w:val="15E1F944"/>
    <w:rsid w:val="15E22F57"/>
    <w:rsid w:val="15E23918"/>
    <w:rsid w:val="15E5048A"/>
    <w:rsid w:val="15E59E43"/>
    <w:rsid w:val="15E6C4D6"/>
    <w:rsid w:val="15E6CAE8"/>
    <w:rsid w:val="15E7BA44"/>
    <w:rsid w:val="15E847BE"/>
    <w:rsid w:val="15E85D73"/>
    <w:rsid w:val="15E8E7F6"/>
    <w:rsid w:val="15EAFBDD"/>
    <w:rsid w:val="15EBA081"/>
    <w:rsid w:val="15F35670"/>
    <w:rsid w:val="15F4B6DE"/>
    <w:rsid w:val="15F5A6FD"/>
    <w:rsid w:val="15F6338F"/>
    <w:rsid w:val="15F71590"/>
    <w:rsid w:val="15F76D73"/>
    <w:rsid w:val="15F805EC"/>
    <w:rsid w:val="15FA0A94"/>
    <w:rsid w:val="15FD90E1"/>
    <w:rsid w:val="15FF5BD0"/>
    <w:rsid w:val="16007A90"/>
    <w:rsid w:val="16049DCF"/>
    <w:rsid w:val="1605DED2"/>
    <w:rsid w:val="16089522"/>
    <w:rsid w:val="16092144"/>
    <w:rsid w:val="16097D89"/>
    <w:rsid w:val="160C343B"/>
    <w:rsid w:val="160CDB54"/>
    <w:rsid w:val="160D29AC"/>
    <w:rsid w:val="160DD09E"/>
    <w:rsid w:val="160EA12B"/>
    <w:rsid w:val="161154E7"/>
    <w:rsid w:val="1611C2C6"/>
    <w:rsid w:val="16129DA1"/>
    <w:rsid w:val="16137491"/>
    <w:rsid w:val="161551A7"/>
    <w:rsid w:val="1616A00C"/>
    <w:rsid w:val="1617EB15"/>
    <w:rsid w:val="161AD905"/>
    <w:rsid w:val="161B32B8"/>
    <w:rsid w:val="161B7C68"/>
    <w:rsid w:val="161B89DA"/>
    <w:rsid w:val="161C6262"/>
    <w:rsid w:val="161DDD6C"/>
    <w:rsid w:val="1622AEFA"/>
    <w:rsid w:val="16235F35"/>
    <w:rsid w:val="1624749F"/>
    <w:rsid w:val="162511C1"/>
    <w:rsid w:val="1625FD64"/>
    <w:rsid w:val="1628AD2D"/>
    <w:rsid w:val="162AA232"/>
    <w:rsid w:val="162BC3F9"/>
    <w:rsid w:val="162E2930"/>
    <w:rsid w:val="162ED630"/>
    <w:rsid w:val="162F0045"/>
    <w:rsid w:val="16309327"/>
    <w:rsid w:val="1634DF86"/>
    <w:rsid w:val="1635BD17"/>
    <w:rsid w:val="1638840C"/>
    <w:rsid w:val="1638D3B1"/>
    <w:rsid w:val="1638DA92"/>
    <w:rsid w:val="163A14CF"/>
    <w:rsid w:val="163AAADB"/>
    <w:rsid w:val="163E1D89"/>
    <w:rsid w:val="163FF82E"/>
    <w:rsid w:val="1641470C"/>
    <w:rsid w:val="16434DFD"/>
    <w:rsid w:val="1644D59A"/>
    <w:rsid w:val="16451B36"/>
    <w:rsid w:val="1646915F"/>
    <w:rsid w:val="16473ACB"/>
    <w:rsid w:val="1648B73C"/>
    <w:rsid w:val="1649EC2F"/>
    <w:rsid w:val="164C326F"/>
    <w:rsid w:val="164D1765"/>
    <w:rsid w:val="164D335C"/>
    <w:rsid w:val="164DDC46"/>
    <w:rsid w:val="1650B391"/>
    <w:rsid w:val="1651D6C5"/>
    <w:rsid w:val="16520B37"/>
    <w:rsid w:val="16542A4A"/>
    <w:rsid w:val="16549865"/>
    <w:rsid w:val="16568ACB"/>
    <w:rsid w:val="1656DE6C"/>
    <w:rsid w:val="16592A38"/>
    <w:rsid w:val="16597624"/>
    <w:rsid w:val="165AE7BC"/>
    <w:rsid w:val="165C7349"/>
    <w:rsid w:val="165E359B"/>
    <w:rsid w:val="165F9701"/>
    <w:rsid w:val="16623CBC"/>
    <w:rsid w:val="1662C5D4"/>
    <w:rsid w:val="16643C54"/>
    <w:rsid w:val="1664C5BC"/>
    <w:rsid w:val="1665C29C"/>
    <w:rsid w:val="1667408E"/>
    <w:rsid w:val="16676382"/>
    <w:rsid w:val="1668423E"/>
    <w:rsid w:val="166A68E9"/>
    <w:rsid w:val="166AF3A0"/>
    <w:rsid w:val="166CA176"/>
    <w:rsid w:val="166F8804"/>
    <w:rsid w:val="166FA043"/>
    <w:rsid w:val="16711624"/>
    <w:rsid w:val="1671EC3B"/>
    <w:rsid w:val="1671F1F8"/>
    <w:rsid w:val="167385EB"/>
    <w:rsid w:val="16738A29"/>
    <w:rsid w:val="1673A2CE"/>
    <w:rsid w:val="1673B054"/>
    <w:rsid w:val="1679F196"/>
    <w:rsid w:val="167BCC73"/>
    <w:rsid w:val="167D98B5"/>
    <w:rsid w:val="167E08DC"/>
    <w:rsid w:val="167F6B93"/>
    <w:rsid w:val="16801D72"/>
    <w:rsid w:val="16822496"/>
    <w:rsid w:val="1684886C"/>
    <w:rsid w:val="168554AD"/>
    <w:rsid w:val="168BC3A9"/>
    <w:rsid w:val="168BDD01"/>
    <w:rsid w:val="168C2C00"/>
    <w:rsid w:val="168CDCC7"/>
    <w:rsid w:val="168F50E6"/>
    <w:rsid w:val="16910546"/>
    <w:rsid w:val="1691131A"/>
    <w:rsid w:val="16990657"/>
    <w:rsid w:val="1699DA7F"/>
    <w:rsid w:val="169F763B"/>
    <w:rsid w:val="169FCEF4"/>
    <w:rsid w:val="16A07D73"/>
    <w:rsid w:val="16A1ECEA"/>
    <w:rsid w:val="16A91C92"/>
    <w:rsid w:val="16AA7A1D"/>
    <w:rsid w:val="16AB2BC8"/>
    <w:rsid w:val="16AE53B9"/>
    <w:rsid w:val="16AE8F4C"/>
    <w:rsid w:val="16B0E4D6"/>
    <w:rsid w:val="16B2DBEF"/>
    <w:rsid w:val="16B2DCE3"/>
    <w:rsid w:val="16B311AE"/>
    <w:rsid w:val="16B43597"/>
    <w:rsid w:val="16B7858B"/>
    <w:rsid w:val="16B7ED38"/>
    <w:rsid w:val="16B86078"/>
    <w:rsid w:val="16B88D07"/>
    <w:rsid w:val="16B8DB0C"/>
    <w:rsid w:val="16BA300B"/>
    <w:rsid w:val="16BBF80B"/>
    <w:rsid w:val="16BC7D7D"/>
    <w:rsid w:val="16BC90EF"/>
    <w:rsid w:val="16BCBAD5"/>
    <w:rsid w:val="16BE0DBA"/>
    <w:rsid w:val="16C17FCE"/>
    <w:rsid w:val="16C2293D"/>
    <w:rsid w:val="16C3AC98"/>
    <w:rsid w:val="16C40EC3"/>
    <w:rsid w:val="16CB47F8"/>
    <w:rsid w:val="16CCA8F3"/>
    <w:rsid w:val="16D34D7D"/>
    <w:rsid w:val="16D56AA9"/>
    <w:rsid w:val="16D65FE3"/>
    <w:rsid w:val="16DAA9C2"/>
    <w:rsid w:val="16DAE9CE"/>
    <w:rsid w:val="16DBAC88"/>
    <w:rsid w:val="16DDCF57"/>
    <w:rsid w:val="16DE36CC"/>
    <w:rsid w:val="16DF9534"/>
    <w:rsid w:val="16E110B3"/>
    <w:rsid w:val="16E23BCD"/>
    <w:rsid w:val="16E24308"/>
    <w:rsid w:val="16E2C0B3"/>
    <w:rsid w:val="16E46858"/>
    <w:rsid w:val="16E4CCF1"/>
    <w:rsid w:val="16E6C2B8"/>
    <w:rsid w:val="16E6EDDA"/>
    <w:rsid w:val="16EE43AA"/>
    <w:rsid w:val="16EEB505"/>
    <w:rsid w:val="16EF2C17"/>
    <w:rsid w:val="16F086A6"/>
    <w:rsid w:val="16F160A1"/>
    <w:rsid w:val="16F2C9A0"/>
    <w:rsid w:val="16F75EF4"/>
    <w:rsid w:val="16F805A7"/>
    <w:rsid w:val="16FACDF9"/>
    <w:rsid w:val="16FAF674"/>
    <w:rsid w:val="16FD3902"/>
    <w:rsid w:val="16FE021C"/>
    <w:rsid w:val="17001779"/>
    <w:rsid w:val="1700F82C"/>
    <w:rsid w:val="17045883"/>
    <w:rsid w:val="1704CBD9"/>
    <w:rsid w:val="170E4AB7"/>
    <w:rsid w:val="1714226D"/>
    <w:rsid w:val="1718ABF8"/>
    <w:rsid w:val="1718B3C5"/>
    <w:rsid w:val="17194946"/>
    <w:rsid w:val="1719F7A8"/>
    <w:rsid w:val="171B203E"/>
    <w:rsid w:val="171BF216"/>
    <w:rsid w:val="171CA78B"/>
    <w:rsid w:val="171D5EC9"/>
    <w:rsid w:val="171DFF9B"/>
    <w:rsid w:val="17234AB4"/>
    <w:rsid w:val="17259E1F"/>
    <w:rsid w:val="172641DF"/>
    <w:rsid w:val="172646E6"/>
    <w:rsid w:val="17278397"/>
    <w:rsid w:val="1732EB6C"/>
    <w:rsid w:val="1733EA6F"/>
    <w:rsid w:val="173573EC"/>
    <w:rsid w:val="1738565C"/>
    <w:rsid w:val="173B037F"/>
    <w:rsid w:val="173C2ED4"/>
    <w:rsid w:val="173C69FE"/>
    <w:rsid w:val="173E3140"/>
    <w:rsid w:val="173E7C0C"/>
    <w:rsid w:val="173F3491"/>
    <w:rsid w:val="1740DC95"/>
    <w:rsid w:val="17453CA4"/>
    <w:rsid w:val="1746627B"/>
    <w:rsid w:val="1748F94B"/>
    <w:rsid w:val="174C033C"/>
    <w:rsid w:val="174CC8E3"/>
    <w:rsid w:val="174E5F8E"/>
    <w:rsid w:val="17541E43"/>
    <w:rsid w:val="175870E3"/>
    <w:rsid w:val="17592491"/>
    <w:rsid w:val="175B3040"/>
    <w:rsid w:val="175C433F"/>
    <w:rsid w:val="175D631A"/>
    <w:rsid w:val="175E79AA"/>
    <w:rsid w:val="17615333"/>
    <w:rsid w:val="176475CC"/>
    <w:rsid w:val="1764EC0A"/>
    <w:rsid w:val="176B55D6"/>
    <w:rsid w:val="176C1F50"/>
    <w:rsid w:val="176C45F5"/>
    <w:rsid w:val="176DC978"/>
    <w:rsid w:val="176DF941"/>
    <w:rsid w:val="176EB4B3"/>
    <w:rsid w:val="1770DFBB"/>
    <w:rsid w:val="17712BCF"/>
    <w:rsid w:val="1772068C"/>
    <w:rsid w:val="17736EF8"/>
    <w:rsid w:val="17766C1B"/>
    <w:rsid w:val="1777F196"/>
    <w:rsid w:val="1778BB56"/>
    <w:rsid w:val="177E712E"/>
    <w:rsid w:val="1780DC57"/>
    <w:rsid w:val="17813144"/>
    <w:rsid w:val="17841DA4"/>
    <w:rsid w:val="1784E351"/>
    <w:rsid w:val="178AE16E"/>
    <w:rsid w:val="178AF8E0"/>
    <w:rsid w:val="178B2FCE"/>
    <w:rsid w:val="178E186E"/>
    <w:rsid w:val="178E25B2"/>
    <w:rsid w:val="1791339C"/>
    <w:rsid w:val="179288EB"/>
    <w:rsid w:val="17932977"/>
    <w:rsid w:val="179AEA06"/>
    <w:rsid w:val="179C07E3"/>
    <w:rsid w:val="17A1FA32"/>
    <w:rsid w:val="17A30233"/>
    <w:rsid w:val="17A4DAF2"/>
    <w:rsid w:val="17A6AB75"/>
    <w:rsid w:val="17A6ACB5"/>
    <w:rsid w:val="17A6DA62"/>
    <w:rsid w:val="17A858F8"/>
    <w:rsid w:val="17A9B500"/>
    <w:rsid w:val="17AAD8D5"/>
    <w:rsid w:val="17AC106E"/>
    <w:rsid w:val="17AC263A"/>
    <w:rsid w:val="17AF846E"/>
    <w:rsid w:val="17AF96D5"/>
    <w:rsid w:val="17AFF07A"/>
    <w:rsid w:val="17B5BF53"/>
    <w:rsid w:val="17B94210"/>
    <w:rsid w:val="17BB3495"/>
    <w:rsid w:val="17BC06F0"/>
    <w:rsid w:val="17BDCC06"/>
    <w:rsid w:val="17BE1047"/>
    <w:rsid w:val="17BF6E75"/>
    <w:rsid w:val="17C0C33C"/>
    <w:rsid w:val="17C0CF08"/>
    <w:rsid w:val="17C0E689"/>
    <w:rsid w:val="17C2491C"/>
    <w:rsid w:val="17C427DC"/>
    <w:rsid w:val="17C4DBAC"/>
    <w:rsid w:val="17C4DFCB"/>
    <w:rsid w:val="17C51E28"/>
    <w:rsid w:val="17C645A6"/>
    <w:rsid w:val="17C9D2DC"/>
    <w:rsid w:val="17CB0C64"/>
    <w:rsid w:val="17CB2D05"/>
    <w:rsid w:val="17CC444A"/>
    <w:rsid w:val="17CDFC6A"/>
    <w:rsid w:val="17D3801D"/>
    <w:rsid w:val="17D692D0"/>
    <w:rsid w:val="17D6E51A"/>
    <w:rsid w:val="17D76CFB"/>
    <w:rsid w:val="17D975C4"/>
    <w:rsid w:val="17D9FC0D"/>
    <w:rsid w:val="17DA7E27"/>
    <w:rsid w:val="17DB23D1"/>
    <w:rsid w:val="17DB7C0C"/>
    <w:rsid w:val="17DD0412"/>
    <w:rsid w:val="17DD3285"/>
    <w:rsid w:val="17DDE10B"/>
    <w:rsid w:val="17DE6070"/>
    <w:rsid w:val="17E03C93"/>
    <w:rsid w:val="17E07E3F"/>
    <w:rsid w:val="17E2EF8C"/>
    <w:rsid w:val="17E4F54B"/>
    <w:rsid w:val="17E5F4E7"/>
    <w:rsid w:val="17E654FB"/>
    <w:rsid w:val="17EB619D"/>
    <w:rsid w:val="17EBA699"/>
    <w:rsid w:val="17EC0814"/>
    <w:rsid w:val="17EDA517"/>
    <w:rsid w:val="17F05CF5"/>
    <w:rsid w:val="17F2C0A3"/>
    <w:rsid w:val="17F504CA"/>
    <w:rsid w:val="17F68903"/>
    <w:rsid w:val="17F6C6BC"/>
    <w:rsid w:val="17F746B7"/>
    <w:rsid w:val="17F7C96C"/>
    <w:rsid w:val="17F9C634"/>
    <w:rsid w:val="17FB1A14"/>
    <w:rsid w:val="17FB3A57"/>
    <w:rsid w:val="17FB7BCF"/>
    <w:rsid w:val="17FD2FD8"/>
    <w:rsid w:val="17FEE172"/>
    <w:rsid w:val="1802286D"/>
    <w:rsid w:val="1807047E"/>
    <w:rsid w:val="180845F9"/>
    <w:rsid w:val="1809532E"/>
    <w:rsid w:val="1809B3FE"/>
    <w:rsid w:val="180EB33C"/>
    <w:rsid w:val="180EC8B9"/>
    <w:rsid w:val="180F0AC8"/>
    <w:rsid w:val="180F67E0"/>
    <w:rsid w:val="180FEF19"/>
    <w:rsid w:val="1817A9E2"/>
    <w:rsid w:val="1817C2C7"/>
    <w:rsid w:val="181AB596"/>
    <w:rsid w:val="181C2A62"/>
    <w:rsid w:val="181D0F76"/>
    <w:rsid w:val="1820DBFE"/>
    <w:rsid w:val="1823AE4B"/>
    <w:rsid w:val="18246A50"/>
    <w:rsid w:val="1824AD33"/>
    <w:rsid w:val="1827F7CF"/>
    <w:rsid w:val="1829A945"/>
    <w:rsid w:val="182AA69F"/>
    <w:rsid w:val="182B4FC4"/>
    <w:rsid w:val="182BC6F8"/>
    <w:rsid w:val="182FF58E"/>
    <w:rsid w:val="1830B454"/>
    <w:rsid w:val="1834686F"/>
    <w:rsid w:val="1836B8CB"/>
    <w:rsid w:val="1837A985"/>
    <w:rsid w:val="1837E313"/>
    <w:rsid w:val="18390B02"/>
    <w:rsid w:val="18396271"/>
    <w:rsid w:val="183AD976"/>
    <w:rsid w:val="183B2FEE"/>
    <w:rsid w:val="183CAD41"/>
    <w:rsid w:val="183E087E"/>
    <w:rsid w:val="18422903"/>
    <w:rsid w:val="18422F0E"/>
    <w:rsid w:val="1849A312"/>
    <w:rsid w:val="184D8E57"/>
    <w:rsid w:val="18527CE3"/>
    <w:rsid w:val="185AF1F9"/>
    <w:rsid w:val="185C3E53"/>
    <w:rsid w:val="185F8337"/>
    <w:rsid w:val="18614728"/>
    <w:rsid w:val="1861AA7A"/>
    <w:rsid w:val="18638A79"/>
    <w:rsid w:val="18664377"/>
    <w:rsid w:val="1867A506"/>
    <w:rsid w:val="1867F019"/>
    <w:rsid w:val="1868C962"/>
    <w:rsid w:val="186A2C85"/>
    <w:rsid w:val="186B07BB"/>
    <w:rsid w:val="186DB55C"/>
    <w:rsid w:val="186EF8B0"/>
    <w:rsid w:val="187123D9"/>
    <w:rsid w:val="1872AC2E"/>
    <w:rsid w:val="18746987"/>
    <w:rsid w:val="1874F32D"/>
    <w:rsid w:val="187668B0"/>
    <w:rsid w:val="187687C6"/>
    <w:rsid w:val="187751B5"/>
    <w:rsid w:val="18798111"/>
    <w:rsid w:val="187C57B8"/>
    <w:rsid w:val="187C5835"/>
    <w:rsid w:val="187CB48B"/>
    <w:rsid w:val="187CC9B1"/>
    <w:rsid w:val="187DBEE8"/>
    <w:rsid w:val="187FE871"/>
    <w:rsid w:val="18809808"/>
    <w:rsid w:val="1881D9A2"/>
    <w:rsid w:val="188380F0"/>
    <w:rsid w:val="18847B9B"/>
    <w:rsid w:val="188726B0"/>
    <w:rsid w:val="1889C806"/>
    <w:rsid w:val="188A0357"/>
    <w:rsid w:val="188EDFC3"/>
    <w:rsid w:val="188FA531"/>
    <w:rsid w:val="1894227A"/>
    <w:rsid w:val="18964236"/>
    <w:rsid w:val="189B13AE"/>
    <w:rsid w:val="189F3E67"/>
    <w:rsid w:val="18A02D16"/>
    <w:rsid w:val="18A09EB8"/>
    <w:rsid w:val="18A6807A"/>
    <w:rsid w:val="18A686D8"/>
    <w:rsid w:val="18A7EE51"/>
    <w:rsid w:val="18ADAF56"/>
    <w:rsid w:val="18ADBE62"/>
    <w:rsid w:val="18AF2F5B"/>
    <w:rsid w:val="18AFB4D5"/>
    <w:rsid w:val="18B13F99"/>
    <w:rsid w:val="18B20C2A"/>
    <w:rsid w:val="18B5AE9D"/>
    <w:rsid w:val="18B5CA5B"/>
    <w:rsid w:val="18B9208B"/>
    <w:rsid w:val="18BA17D7"/>
    <w:rsid w:val="18BB7B09"/>
    <w:rsid w:val="18BC74C7"/>
    <w:rsid w:val="18C3AC74"/>
    <w:rsid w:val="18C979D5"/>
    <w:rsid w:val="18C9B197"/>
    <w:rsid w:val="18CC183C"/>
    <w:rsid w:val="18CF6589"/>
    <w:rsid w:val="18D1DE98"/>
    <w:rsid w:val="18D3038A"/>
    <w:rsid w:val="18D3631B"/>
    <w:rsid w:val="18D3F149"/>
    <w:rsid w:val="18D4122F"/>
    <w:rsid w:val="18D4488C"/>
    <w:rsid w:val="18E35683"/>
    <w:rsid w:val="18E40A0B"/>
    <w:rsid w:val="18E54B0D"/>
    <w:rsid w:val="18E80DF1"/>
    <w:rsid w:val="18EF68EB"/>
    <w:rsid w:val="18F028A6"/>
    <w:rsid w:val="18F2C54F"/>
    <w:rsid w:val="18F4E7E7"/>
    <w:rsid w:val="18F77DCB"/>
    <w:rsid w:val="18F8CEF8"/>
    <w:rsid w:val="18FAA8EC"/>
    <w:rsid w:val="18FE9293"/>
    <w:rsid w:val="18FE9D15"/>
    <w:rsid w:val="19010C6B"/>
    <w:rsid w:val="19013BFB"/>
    <w:rsid w:val="1902C489"/>
    <w:rsid w:val="1908CE2B"/>
    <w:rsid w:val="19098ED9"/>
    <w:rsid w:val="190BE54A"/>
    <w:rsid w:val="190CCE03"/>
    <w:rsid w:val="19108172"/>
    <w:rsid w:val="1910E38F"/>
    <w:rsid w:val="1911198B"/>
    <w:rsid w:val="19119AA5"/>
    <w:rsid w:val="19135EE2"/>
    <w:rsid w:val="19139D70"/>
    <w:rsid w:val="19157EC5"/>
    <w:rsid w:val="191746AF"/>
    <w:rsid w:val="191B15C4"/>
    <w:rsid w:val="191B1D03"/>
    <w:rsid w:val="191EC83A"/>
    <w:rsid w:val="192235E6"/>
    <w:rsid w:val="19229E11"/>
    <w:rsid w:val="1924B932"/>
    <w:rsid w:val="1926989F"/>
    <w:rsid w:val="19272343"/>
    <w:rsid w:val="1927C994"/>
    <w:rsid w:val="192B04F1"/>
    <w:rsid w:val="192EBCE3"/>
    <w:rsid w:val="192ECD3B"/>
    <w:rsid w:val="192FF437"/>
    <w:rsid w:val="1931BF59"/>
    <w:rsid w:val="1932C18B"/>
    <w:rsid w:val="19385F5D"/>
    <w:rsid w:val="193B4D82"/>
    <w:rsid w:val="193DE8B8"/>
    <w:rsid w:val="193F7FBE"/>
    <w:rsid w:val="19411B97"/>
    <w:rsid w:val="1942C7ED"/>
    <w:rsid w:val="194894FC"/>
    <w:rsid w:val="194C4422"/>
    <w:rsid w:val="194C6BE7"/>
    <w:rsid w:val="194D5FE3"/>
    <w:rsid w:val="1951BFF8"/>
    <w:rsid w:val="1951F7F4"/>
    <w:rsid w:val="195404A6"/>
    <w:rsid w:val="1959AE17"/>
    <w:rsid w:val="195A99AA"/>
    <w:rsid w:val="195D948D"/>
    <w:rsid w:val="195F6879"/>
    <w:rsid w:val="1961C23F"/>
    <w:rsid w:val="1963D723"/>
    <w:rsid w:val="1965BA55"/>
    <w:rsid w:val="1965BBAD"/>
    <w:rsid w:val="196ACE23"/>
    <w:rsid w:val="196C7ED0"/>
    <w:rsid w:val="1970BD1D"/>
    <w:rsid w:val="1977ABAD"/>
    <w:rsid w:val="19783BC9"/>
    <w:rsid w:val="1979102E"/>
    <w:rsid w:val="19813CFC"/>
    <w:rsid w:val="19816BA5"/>
    <w:rsid w:val="1983DB8B"/>
    <w:rsid w:val="1987CD00"/>
    <w:rsid w:val="1988ADD5"/>
    <w:rsid w:val="1989ABF9"/>
    <w:rsid w:val="198B01F9"/>
    <w:rsid w:val="198B98EC"/>
    <w:rsid w:val="198D059D"/>
    <w:rsid w:val="198EC2AC"/>
    <w:rsid w:val="198EE8DF"/>
    <w:rsid w:val="198FAD99"/>
    <w:rsid w:val="1991577B"/>
    <w:rsid w:val="1991CD98"/>
    <w:rsid w:val="19925835"/>
    <w:rsid w:val="1992B4C3"/>
    <w:rsid w:val="19936F5B"/>
    <w:rsid w:val="19939C43"/>
    <w:rsid w:val="1993FDEC"/>
    <w:rsid w:val="19953B3C"/>
    <w:rsid w:val="199E0A19"/>
    <w:rsid w:val="19A0135B"/>
    <w:rsid w:val="19A03B99"/>
    <w:rsid w:val="19A11065"/>
    <w:rsid w:val="19A61D9E"/>
    <w:rsid w:val="19AA5DD1"/>
    <w:rsid w:val="19AD650A"/>
    <w:rsid w:val="19AEA084"/>
    <w:rsid w:val="19AF4AB0"/>
    <w:rsid w:val="19B00EA8"/>
    <w:rsid w:val="19B0B47B"/>
    <w:rsid w:val="19B81C4A"/>
    <w:rsid w:val="19BB4F15"/>
    <w:rsid w:val="19BB881B"/>
    <w:rsid w:val="19BC9216"/>
    <w:rsid w:val="19BD2C0F"/>
    <w:rsid w:val="19BD46F5"/>
    <w:rsid w:val="19C24B7C"/>
    <w:rsid w:val="19C4CD3B"/>
    <w:rsid w:val="19CB9FCB"/>
    <w:rsid w:val="19CC56A9"/>
    <w:rsid w:val="19CE3FE9"/>
    <w:rsid w:val="19D1B383"/>
    <w:rsid w:val="19D5753D"/>
    <w:rsid w:val="19D6E273"/>
    <w:rsid w:val="19D747FE"/>
    <w:rsid w:val="19D7949A"/>
    <w:rsid w:val="19DB8919"/>
    <w:rsid w:val="19DCDE1A"/>
    <w:rsid w:val="19DE1C42"/>
    <w:rsid w:val="19DEAB3D"/>
    <w:rsid w:val="19DFC57B"/>
    <w:rsid w:val="19E151E8"/>
    <w:rsid w:val="19E246D9"/>
    <w:rsid w:val="19E3D46D"/>
    <w:rsid w:val="19E5AFB9"/>
    <w:rsid w:val="19ED1A30"/>
    <w:rsid w:val="19ED1CD2"/>
    <w:rsid w:val="19F225B7"/>
    <w:rsid w:val="19F523F2"/>
    <w:rsid w:val="19FAF30B"/>
    <w:rsid w:val="19FB966A"/>
    <w:rsid w:val="19FC5E2A"/>
    <w:rsid w:val="19FDF8C6"/>
    <w:rsid w:val="19FDFF33"/>
    <w:rsid w:val="19FF103B"/>
    <w:rsid w:val="19FFBA29"/>
    <w:rsid w:val="1A031AB2"/>
    <w:rsid w:val="1A0AD6E5"/>
    <w:rsid w:val="1A0C4C3F"/>
    <w:rsid w:val="1A0DA302"/>
    <w:rsid w:val="1A10639B"/>
    <w:rsid w:val="1A12B57B"/>
    <w:rsid w:val="1A144043"/>
    <w:rsid w:val="1A16D2D0"/>
    <w:rsid w:val="1A184763"/>
    <w:rsid w:val="1A185876"/>
    <w:rsid w:val="1A1CC070"/>
    <w:rsid w:val="1A1CEE0E"/>
    <w:rsid w:val="1A1E8317"/>
    <w:rsid w:val="1A216BDE"/>
    <w:rsid w:val="1A218BB1"/>
    <w:rsid w:val="1A21D13F"/>
    <w:rsid w:val="1A226113"/>
    <w:rsid w:val="1A234773"/>
    <w:rsid w:val="1A2651AD"/>
    <w:rsid w:val="1A272B08"/>
    <w:rsid w:val="1A276E97"/>
    <w:rsid w:val="1A2B603B"/>
    <w:rsid w:val="1A2D41A1"/>
    <w:rsid w:val="1A3213C1"/>
    <w:rsid w:val="1A324280"/>
    <w:rsid w:val="1A355E23"/>
    <w:rsid w:val="1A363696"/>
    <w:rsid w:val="1A382C67"/>
    <w:rsid w:val="1A3BAC8E"/>
    <w:rsid w:val="1A3DD493"/>
    <w:rsid w:val="1A3E4EFB"/>
    <w:rsid w:val="1A3E7A22"/>
    <w:rsid w:val="1A40153A"/>
    <w:rsid w:val="1A411078"/>
    <w:rsid w:val="1A4221C6"/>
    <w:rsid w:val="1A47D73C"/>
    <w:rsid w:val="1A4D0A76"/>
    <w:rsid w:val="1A4DF64F"/>
    <w:rsid w:val="1A4DF83A"/>
    <w:rsid w:val="1A4E1EC4"/>
    <w:rsid w:val="1A524E77"/>
    <w:rsid w:val="1A556A4B"/>
    <w:rsid w:val="1A55CAC5"/>
    <w:rsid w:val="1A55CE10"/>
    <w:rsid w:val="1A5760E0"/>
    <w:rsid w:val="1A5E105E"/>
    <w:rsid w:val="1A5EA397"/>
    <w:rsid w:val="1A5EDCE5"/>
    <w:rsid w:val="1A5F7EAA"/>
    <w:rsid w:val="1A619F9C"/>
    <w:rsid w:val="1A665416"/>
    <w:rsid w:val="1A66B653"/>
    <w:rsid w:val="1A66BDAD"/>
    <w:rsid w:val="1A67AA49"/>
    <w:rsid w:val="1A67D170"/>
    <w:rsid w:val="1A67D74F"/>
    <w:rsid w:val="1A698BD6"/>
    <w:rsid w:val="1A6A4D39"/>
    <w:rsid w:val="1A6EBCEA"/>
    <w:rsid w:val="1A6EFC6E"/>
    <w:rsid w:val="1A6F5A0A"/>
    <w:rsid w:val="1A700E55"/>
    <w:rsid w:val="1A70395B"/>
    <w:rsid w:val="1A71275E"/>
    <w:rsid w:val="1A72AB65"/>
    <w:rsid w:val="1A7343E0"/>
    <w:rsid w:val="1A75B387"/>
    <w:rsid w:val="1A79ACE6"/>
    <w:rsid w:val="1A7A2E95"/>
    <w:rsid w:val="1A7BBCAE"/>
    <w:rsid w:val="1A7C6F80"/>
    <w:rsid w:val="1A7EB36B"/>
    <w:rsid w:val="1A80FB07"/>
    <w:rsid w:val="1A81927F"/>
    <w:rsid w:val="1A8460C3"/>
    <w:rsid w:val="1A87BFF0"/>
    <w:rsid w:val="1A87D00B"/>
    <w:rsid w:val="1A890845"/>
    <w:rsid w:val="1A8D434E"/>
    <w:rsid w:val="1A8E8A77"/>
    <w:rsid w:val="1A8E94A7"/>
    <w:rsid w:val="1A952028"/>
    <w:rsid w:val="1A952C6A"/>
    <w:rsid w:val="1A968D91"/>
    <w:rsid w:val="1A97C1B5"/>
    <w:rsid w:val="1A983A61"/>
    <w:rsid w:val="1A997E95"/>
    <w:rsid w:val="1A9EAEE2"/>
    <w:rsid w:val="1A9F1230"/>
    <w:rsid w:val="1AA61917"/>
    <w:rsid w:val="1AA67F1F"/>
    <w:rsid w:val="1AA7B521"/>
    <w:rsid w:val="1AA8149C"/>
    <w:rsid w:val="1AA836C7"/>
    <w:rsid w:val="1AA83E38"/>
    <w:rsid w:val="1AA8F31F"/>
    <w:rsid w:val="1AAB5BF3"/>
    <w:rsid w:val="1AAC2D54"/>
    <w:rsid w:val="1AACF482"/>
    <w:rsid w:val="1AAD4508"/>
    <w:rsid w:val="1AAF5A8B"/>
    <w:rsid w:val="1AB1A8A3"/>
    <w:rsid w:val="1AB1F1CA"/>
    <w:rsid w:val="1AB3E102"/>
    <w:rsid w:val="1AB45084"/>
    <w:rsid w:val="1AB5F66F"/>
    <w:rsid w:val="1AB66A2B"/>
    <w:rsid w:val="1ABA9ADF"/>
    <w:rsid w:val="1ABBA7EF"/>
    <w:rsid w:val="1ABD7BE8"/>
    <w:rsid w:val="1ABDF591"/>
    <w:rsid w:val="1ABE6333"/>
    <w:rsid w:val="1AC79D4A"/>
    <w:rsid w:val="1ACB27F1"/>
    <w:rsid w:val="1ACCAF28"/>
    <w:rsid w:val="1ACCC5A1"/>
    <w:rsid w:val="1AD0EA2D"/>
    <w:rsid w:val="1AD1FA9B"/>
    <w:rsid w:val="1AD42F11"/>
    <w:rsid w:val="1AD5703A"/>
    <w:rsid w:val="1AD6AE0C"/>
    <w:rsid w:val="1AD754A5"/>
    <w:rsid w:val="1AD7ED8C"/>
    <w:rsid w:val="1ADEFA11"/>
    <w:rsid w:val="1ADF34EB"/>
    <w:rsid w:val="1AE4E996"/>
    <w:rsid w:val="1AE7269F"/>
    <w:rsid w:val="1AE7F610"/>
    <w:rsid w:val="1AE85A68"/>
    <w:rsid w:val="1AE897E7"/>
    <w:rsid w:val="1AEA6B16"/>
    <w:rsid w:val="1AEBBC51"/>
    <w:rsid w:val="1AECB9AE"/>
    <w:rsid w:val="1AF1CCB7"/>
    <w:rsid w:val="1AF49995"/>
    <w:rsid w:val="1AF6C198"/>
    <w:rsid w:val="1AF85666"/>
    <w:rsid w:val="1AF9CFDE"/>
    <w:rsid w:val="1AF9F652"/>
    <w:rsid w:val="1B02ED02"/>
    <w:rsid w:val="1B043D2A"/>
    <w:rsid w:val="1B0957A3"/>
    <w:rsid w:val="1B096AA4"/>
    <w:rsid w:val="1B0BCDD7"/>
    <w:rsid w:val="1B0D0DB0"/>
    <w:rsid w:val="1B0E521F"/>
    <w:rsid w:val="1B10C6D8"/>
    <w:rsid w:val="1B12553C"/>
    <w:rsid w:val="1B13599E"/>
    <w:rsid w:val="1B1462BE"/>
    <w:rsid w:val="1B16704C"/>
    <w:rsid w:val="1B1A7700"/>
    <w:rsid w:val="1B1A97EC"/>
    <w:rsid w:val="1B1E9F3E"/>
    <w:rsid w:val="1B1FC966"/>
    <w:rsid w:val="1B20B0E0"/>
    <w:rsid w:val="1B2185A6"/>
    <w:rsid w:val="1B21B275"/>
    <w:rsid w:val="1B2279F0"/>
    <w:rsid w:val="1B228EE8"/>
    <w:rsid w:val="1B2478E5"/>
    <w:rsid w:val="1B26ECA3"/>
    <w:rsid w:val="1B278A85"/>
    <w:rsid w:val="1B28D67B"/>
    <w:rsid w:val="1B2F4F05"/>
    <w:rsid w:val="1B2FF7D7"/>
    <w:rsid w:val="1B310B9D"/>
    <w:rsid w:val="1B31EB54"/>
    <w:rsid w:val="1B36564B"/>
    <w:rsid w:val="1B367B47"/>
    <w:rsid w:val="1B394732"/>
    <w:rsid w:val="1B41F6F9"/>
    <w:rsid w:val="1B462B17"/>
    <w:rsid w:val="1B48B99C"/>
    <w:rsid w:val="1B4940C5"/>
    <w:rsid w:val="1B4BAE99"/>
    <w:rsid w:val="1B506A67"/>
    <w:rsid w:val="1B52139F"/>
    <w:rsid w:val="1B532FD2"/>
    <w:rsid w:val="1B53A2B3"/>
    <w:rsid w:val="1B5723E6"/>
    <w:rsid w:val="1B572480"/>
    <w:rsid w:val="1B5A1A5B"/>
    <w:rsid w:val="1B5F9BCB"/>
    <w:rsid w:val="1B609495"/>
    <w:rsid w:val="1B62C354"/>
    <w:rsid w:val="1B63488A"/>
    <w:rsid w:val="1B65AEC2"/>
    <w:rsid w:val="1B66DF56"/>
    <w:rsid w:val="1B6A50B4"/>
    <w:rsid w:val="1B6BEA6E"/>
    <w:rsid w:val="1B6D1F08"/>
    <w:rsid w:val="1B6E2D49"/>
    <w:rsid w:val="1B6FD924"/>
    <w:rsid w:val="1B6FFF9C"/>
    <w:rsid w:val="1B7038F2"/>
    <w:rsid w:val="1B709765"/>
    <w:rsid w:val="1B7102FE"/>
    <w:rsid w:val="1B7640D2"/>
    <w:rsid w:val="1B7856A7"/>
    <w:rsid w:val="1B78F025"/>
    <w:rsid w:val="1B799A5A"/>
    <w:rsid w:val="1B79C7AC"/>
    <w:rsid w:val="1B7F9023"/>
    <w:rsid w:val="1B809832"/>
    <w:rsid w:val="1B821507"/>
    <w:rsid w:val="1B862434"/>
    <w:rsid w:val="1B86BBAE"/>
    <w:rsid w:val="1B86C4AC"/>
    <w:rsid w:val="1B874273"/>
    <w:rsid w:val="1B890AD1"/>
    <w:rsid w:val="1B8A52E8"/>
    <w:rsid w:val="1B8CFA52"/>
    <w:rsid w:val="1B9173FA"/>
    <w:rsid w:val="1B95FDE0"/>
    <w:rsid w:val="1B96AC25"/>
    <w:rsid w:val="1B976D4C"/>
    <w:rsid w:val="1B991E8D"/>
    <w:rsid w:val="1B9C4202"/>
    <w:rsid w:val="1B9CD12F"/>
    <w:rsid w:val="1BA09786"/>
    <w:rsid w:val="1BA1737A"/>
    <w:rsid w:val="1BA17E76"/>
    <w:rsid w:val="1BA23A50"/>
    <w:rsid w:val="1BA28F74"/>
    <w:rsid w:val="1BA45DB4"/>
    <w:rsid w:val="1BA5F447"/>
    <w:rsid w:val="1BA5F77D"/>
    <w:rsid w:val="1BA6153D"/>
    <w:rsid w:val="1BA6418C"/>
    <w:rsid w:val="1BA77BA4"/>
    <w:rsid w:val="1BA9E16A"/>
    <w:rsid w:val="1BAFE702"/>
    <w:rsid w:val="1BB27E1A"/>
    <w:rsid w:val="1BB49EC3"/>
    <w:rsid w:val="1BB64589"/>
    <w:rsid w:val="1BB89CF0"/>
    <w:rsid w:val="1BB909A4"/>
    <w:rsid w:val="1BBAB9FE"/>
    <w:rsid w:val="1BBCFBF8"/>
    <w:rsid w:val="1BBDBC24"/>
    <w:rsid w:val="1BC27460"/>
    <w:rsid w:val="1BC34925"/>
    <w:rsid w:val="1BC35482"/>
    <w:rsid w:val="1BC47E19"/>
    <w:rsid w:val="1BC53EAF"/>
    <w:rsid w:val="1BC66F38"/>
    <w:rsid w:val="1BC7346F"/>
    <w:rsid w:val="1BC7BA68"/>
    <w:rsid w:val="1BCCB6C2"/>
    <w:rsid w:val="1BCDAE93"/>
    <w:rsid w:val="1BCE8BCB"/>
    <w:rsid w:val="1BCFDBBC"/>
    <w:rsid w:val="1BD25154"/>
    <w:rsid w:val="1BDDFA9E"/>
    <w:rsid w:val="1BDF9916"/>
    <w:rsid w:val="1BE1383A"/>
    <w:rsid w:val="1BE1485A"/>
    <w:rsid w:val="1BE1EBA0"/>
    <w:rsid w:val="1BE23DB5"/>
    <w:rsid w:val="1BE28186"/>
    <w:rsid w:val="1BE5139D"/>
    <w:rsid w:val="1BE56CF5"/>
    <w:rsid w:val="1BE63767"/>
    <w:rsid w:val="1BE68E29"/>
    <w:rsid w:val="1BEB12DB"/>
    <w:rsid w:val="1BEB7110"/>
    <w:rsid w:val="1BEC89B5"/>
    <w:rsid w:val="1BEEF575"/>
    <w:rsid w:val="1BEF6E8C"/>
    <w:rsid w:val="1BF09D11"/>
    <w:rsid w:val="1BF1ECA9"/>
    <w:rsid w:val="1BF3D24A"/>
    <w:rsid w:val="1BF726D5"/>
    <w:rsid w:val="1BF9E2F7"/>
    <w:rsid w:val="1BFFBE05"/>
    <w:rsid w:val="1C004856"/>
    <w:rsid w:val="1C04613D"/>
    <w:rsid w:val="1C050801"/>
    <w:rsid w:val="1C0590BE"/>
    <w:rsid w:val="1C07DFFA"/>
    <w:rsid w:val="1C0A7CC5"/>
    <w:rsid w:val="1C0AA79D"/>
    <w:rsid w:val="1C0C5B6B"/>
    <w:rsid w:val="1C0D661F"/>
    <w:rsid w:val="1C0DBF99"/>
    <w:rsid w:val="1C0FB570"/>
    <w:rsid w:val="1C117841"/>
    <w:rsid w:val="1C142D8B"/>
    <w:rsid w:val="1C1582AC"/>
    <w:rsid w:val="1C16647A"/>
    <w:rsid w:val="1C18916A"/>
    <w:rsid w:val="1C18AFE2"/>
    <w:rsid w:val="1C19AFB1"/>
    <w:rsid w:val="1C1C80F4"/>
    <w:rsid w:val="1C1D3014"/>
    <w:rsid w:val="1C1DD09F"/>
    <w:rsid w:val="1C1FA5AC"/>
    <w:rsid w:val="1C27538C"/>
    <w:rsid w:val="1C27A3EC"/>
    <w:rsid w:val="1C290424"/>
    <w:rsid w:val="1C2EEF66"/>
    <w:rsid w:val="1C2F56BB"/>
    <w:rsid w:val="1C2F85D9"/>
    <w:rsid w:val="1C316864"/>
    <w:rsid w:val="1C32654C"/>
    <w:rsid w:val="1C356D5F"/>
    <w:rsid w:val="1C35C53E"/>
    <w:rsid w:val="1C35EE18"/>
    <w:rsid w:val="1C375E38"/>
    <w:rsid w:val="1C378F0F"/>
    <w:rsid w:val="1C38E95B"/>
    <w:rsid w:val="1C3B8816"/>
    <w:rsid w:val="1C3B9897"/>
    <w:rsid w:val="1C3FEAC8"/>
    <w:rsid w:val="1C41349C"/>
    <w:rsid w:val="1C4200A2"/>
    <w:rsid w:val="1C422E53"/>
    <w:rsid w:val="1C42F7EB"/>
    <w:rsid w:val="1C44E177"/>
    <w:rsid w:val="1C450144"/>
    <w:rsid w:val="1C472B21"/>
    <w:rsid w:val="1C4D2B94"/>
    <w:rsid w:val="1C4DB992"/>
    <w:rsid w:val="1C4E7095"/>
    <w:rsid w:val="1C524FA3"/>
    <w:rsid w:val="1C548AB9"/>
    <w:rsid w:val="1C55405D"/>
    <w:rsid w:val="1C562A61"/>
    <w:rsid w:val="1C5DC20A"/>
    <w:rsid w:val="1C618683"/>
    <w:rsid w:val="1C6267C5"/>
    <w:rsid w:val="1C6315C0"/>
    <w:rsid w:val="1C65CEC6"/>
    <w:rsid w:val="1C673AF7"/>
    <w:rsid w:val="1C68DD7F"/>
    <w:rsid w:val="1C68EED4"/>
    <w:rsid w:val="1C6C4208"/>
    <w:rsid w:val="1C6FA3AF"/>
    <w:rsid w:val="1C711498"/>
    <w:rsid w:val="1C72C62E"/>
    <w:rsid w:val="1C7404AB"/>
    <w:rsid w:val="1C741DD3"/>
    <w:rsid w:val="1C79D753"/>
    <w:rsid w:val="1C7D3142"/>
    <w:rsid w:val="1C7E9F00"/>
    <w:rsid w:val="1C82D646"/>
    <w:rsid w:val="1C86511F"/>
    <w:rsid w:val="1C889878"/>
    <w:rsid w:val="1C89FDAD"/>
    <w:rsid w:val="1C8AF71A"/>
    <w:rsid w:val="1C8B6B95"/>
    <w:rsid w:val="1C8E2B1E"/>
    <w:rsid w:val="1C92DF65"/>
    <w:rsid w:val="1C93C9F8"/>
    <w:rsid w:val="1C93E65C"/>
    <w:rsid w:val="1C94D449"/>
    <w:rsid w:val="1C95CF49"/>
    <w:rsid w:val="1C95DC55"/>
    <w:rsid w:val="1C97D3BA"/>
    <w:rsid w:val="1C9D7436"/>
    <w:rsid w:val="1C9E865C"/>
    <w:rsid w:val="1C9ED21E"/>
    <w:rsid w:val="1CA28415"/>
    <w:rsid w:val="1CA6A15C"/>
    <w:rsid w:val="1CA6F85E"/>
    <w:rsid w:val="1CA79350"/>
    <w:rsid w:val="1CA94FC9"/>
    <w:rsid w:val="1CAAD53F"/>
    <w:rsid w:val="1CAB56DD"/>
    <w:rsid w:val="1CADAE3F"/>
    <w:rsid w:val="1CB0146B"/>
    <w:rsid w:val="1CB27B22"/>
    <w:rsid w:val="1CB289ED"/>
    <w:rsid w:val="1CB2D7F2"/>
    <w:rsid w:val="1CB7CA7B"/>
    <w:rsid w:val="1CB80205"/>
    <w:rsid w:val="1CBC11FF"/>
    <w:rsid w:val="1CBFED8F"/>
    <w:rsid w:val="1CC0294A"/>
    <w:rsid w:val="1CC366C5"/>
    <w:rsid w:val="1CC3B029"/>
    <w:rsid w:val="1CC3B71D"/>
    <w:rsid w:val="1CC8287D"/>
    <w:rsid w:val="1CC8364A"/>
    <w:rsid w:val="1CCB47A2"/>
    <w:rsid w:val="1CCD52B6"/>
    <w:rsid w:val="1CD022E0"/>
    <w:rsid w:val="1CD1C38E"/>
    <w:rsid w:val="1CD43C7C"/>
    <w:rsid w:val="1CD72B27"/>
    <w:rsid w:val="1CD84FD1"/>
    <w:rsid w:val="1CDA8FF4"/>
    <w:rsid w:val="1CDAB8CA"/>
    <w:rsid w:val="1CDAC136"/>
    <w:rsid w:val="1CDBB6E4"/>
    <w:rsid w:val="1CDF2B24"/>
    <w:rsid w:val="1CE3CC8E"/>
    <w:rsid w:val="1CE86AD8"/>
    <w:rsid w:val="1CE883F7"/>
    <w:rsid w:val="1CE88BD6"/>
    <w:rsid w:val="1CEA36A0"/>
    <w:rsid w:val="1CEF8F70"/>
    <w:rsid w:val="1CF21866"/>
    <w:rsid w:val="1CF423F8"/>
    <w:rsid w:val="1CF70187"/>
    <w:rsid w:val="1CFCD3C6"/>
    <w:rsid w:val="1CFD7548"/>
    <w:rsid w:val="1CFE4786"/>
    <w:rsid w:val="1CFFD040"/>
    <w:rsid w:val="1D017B76"/>
    <w:rsid w:val="1D04E51F"/>
    <w:rsid w:val="1D06815B"/>
    <w:rsid w:val="1D0A09C9"/>
    <w:rsid w:val="1D0AA857"/>
    <w:rsid w:val="1D0AD2BB"/>
    <w:rsid w:val="1D0B0ECD"/>
    <w:rsid w:val="1D0B82E3"/>
    <w:rsid w:val="1D0C4884"/>
    <w:rsid w:val="1D0E33FD"/>
    <w:rsid w:val="1D0F0216"/>
    <w:rsid w:val="1D0FA0F4"/>
    <w:rsid w:val="1D0FAE96"/>
    <w:rsid w:val="1D1021AB"/>
    <w:rsid w:val="1D19A50B"/>
    <w:rsid w:val="1D1FDE95"/>
    <w:rsid w:val="1D23BA6C"/>
    <w:rsid w:val="1D2614A5"/>
    <w:rsid w:val="1D29FB86"/>
    <w:rsid w:val="1D2C664F"/>
    <w:rsid w:val="1D2CF68B"/>
    <w:rsid w:val="1D2E813E"/>
    <w:rsid w:val="1D31075E"/>
    <w:rsid w:val="1D33E8CC"/>
    <w:rsid w:val="1D349DE3"/>
    <w:rsid w:val="1D365DC2"/>
    <w:rsid w:val="1D39B09F"/>
    <w:rsid w:val="1D3F27D1"/>
    <w:rsid w:val="1D3F480A"/>
    <w:rsid w:val="1D4076A1"/>
    <w:rsid w:val="1D41B468"/>
    <w:rsid w:val="1D4310E5"/>
    <w:rsid w:val="1D4426F8"/>
    <w:rsid w:val="1D45390E"/>
    <w:rsid w:val="1D491CF0"/>
    <w:rsid w:val="1D4A5873"/>
    <w:rsid w:val="1D4BA323"/>
    <w:rsid w:val="1D4F3C67"/>
    <w:rsid w:val="1D4FBF33"/>
    <w:rsid w:val="1D50532B"/>
    <w:rsid w:val="1D51CE6B"/>
    <w:rsid w:val="1D5289A6"/>
    <w:rsid w:val="1D5865C6"/>
    <w:rsid w:val="1D592531"/>
    <w:rsid w:val="1D5AFE27"/>
    <w:rsid w:val="1D61A0AA"/>
    <w:rsid w:val="1D625C23"/>
    <w:rsid w:val="1D639165"/>
    <w:rsid w:val="1D653B25"/>
    <w:rsid w:val="1D66323B"/>
    <w:rsid w:val="1D66BE60"/>
    <w:rsid w:val="1D68EB14"/>
    <w:rsid w:val="1D698DB6"/>
    <w:rsid w:val="1D70C5CB"/>
    <w:rsid w:val="1D737A89"/>
    <w:rsid w:val="1D7736A2"/>
    <w:rsid w:val="1D7B377E"/>
    <w:rsid w:val="1D7BBAD4"/>
    <w:rsid w:val="1D7C277B"/>
    <w:rsid w:val="1D7EE2ED"/>
    <w:rsid w:val="1D8033E7"/>
    <w:rsid w:val="1D807126"/>
    <w:rsid w:val="1D80DF2E"/>
    <w:rsid w:val="1D84B0E7"/>
    <w:rsid w:val="1D8C0EBB"/>
    <w:rsid w:val="1D8DD44A"/>
    <w:rsid w:val="1D936355"/>
    <w:rsid w:val="1D955FC2"/>
    <w:rsid w:val="1D965377"/>
    <w:rsid w:val="1D96B590"/>
    <w:rsid w:val="1D96C35B"/>
    <w:rsid w:val="1D99F0B0"/>
    <w:rsid w:val="1D9BA0CF"/>
    <w:rsid w:val="1D9BDB4F"/>
    <w:rsid w:val="1D9E004A"/>
    <w:rsid w:val="1DA0C3D3"/>
    <w:rsid w:val="1DA35FED"/>
    <w:rsid w:val="1DA8E3C7"/>
    <w:rsid w:val="1DAAF222"/>
    <w:rsid w:val="1DAD4C58"/>
    <w:rsid w:val="1DAE2C86"/>
    <w:rsid w:val="1DAE5C28"/>
    <w:rsid w:val="1DAF3C98"/>
    <w:rsid w:val="1DAFA9B7"/>
    <w:rsid w:val="1DB1CA65"/>
    <w:rsid w:val="1DB6853D"/>
    <w:rsid w:val="1DB9B3DF"/>
    <w:rsid w:val="1DC05626"/>
    <w:rsid w:val="1DC07DC3"/>
    <w:rsid w:val="1DC0C7EF"/>
    <w:rsid w:val="1DC41984"/>
    <w:rsid w:val="1DC4E410"/>
    <w:rsid w:val="1DC696D2"/>
    <w:rsid w:val="1DC91108"/>
    <w:rsid w:val="1DCB3229"/>
    <w:rsid w:val="1DCB79A4"/>
    <w:rsid w:val="1DCF9817"/>
    <w:rsid w:val="1DCFD961"/>
    <w:rsid w:val="1DD2F7A7"/>
    <w:rsid w:val="1DD4B155"/>
    <w:rsid w:val="1DD5C402"/>
    <w:rsid w:val="1DD876B4"/>
    <w:rsid w:val="1DD9E4BB"/>
    <w:rsid w:val="1DDA2BCC"/>
    <w:rsid w:val="1DDA4D0D"/>
    <w:rsid w:val="1DDEBFED"/>
    <w:rsid w:val="1DDF32E1"/>
    <w:rsid w:val="1DE09E20"/>
    <w:rsid w:val="1DE64163"/>
    <w:rsid w:val="1DE761C2"/>
    <w:rsid w:val="1DE79241"/>
    <w:rsid w:val="1DE7A29E"/>
    <w:rsid w:val="1DE8CAF1"/>
    <w:rsid w:val="1DE9ED64"/>
    <w:rsid w:val="1DEB3CBD"/>
    <w:rsid w:val="1DEC6F5B"/>
    <w:rsid w:val="1DF06E8C"/>
    <w:rsid w:val="1DF3D7C1"/>
    <w:rsid w:val="1DF43492"/>
    <w:rsid w:val="1DF4D99D"/>
    <w:rsid w:val="1DF6E9FB"/>
    <w:rsid w:val="1DF9A27F"/>
    <w:rsid w:val="1DFB6FB9"/>
    <w:rsid w:val="1DFC7DBE"/>
    <w:rsid w:val="1DFCF6AF"/>
    <w:rsid w:val="1DFD609C"/>
    <w:rsid w:val="1DFE1B1B"/>
    <w:rsid w:val="1E07EF29"/>
    <w:rsid w:val="1E08B7CC"/>
    <w:rsid w:val="1E0AA1CE"/>
    <w:rsid w:val="1E0B9B0A"/>
    <w:rsid w:val="1E0BFC74"/>
    <w:rsid w:val="1E0C2109"/>
    <w:rsid w:val="1E0CA5CF"/>
    <w:rsid w:val="1E0D3E2B"/>
    <w:rsid w:val="1E0D5CBC"/>
    <w:rsid w:val="1E0E0282"/>
    <w:rsid w:val="1E0F6E9A"/>
    <w:rsid w:val="1E11CDA5"/>
    <w:rsid w:val="1E139760"/>
    <w:rsid w:val="1E1671D3"/>
    <w:rsid w:val="1E1B7481"/>
    <w:rsid w:val="1E1C6A8D"/>
    <w:rsid w:val="1E20A546"/>
    <w:rsid w:val="1E2112F3"/>
    <w:rsid w:val="1E229E6A"/>
    <w:rsid w:val="1E286FF7"/>
    <w:rsid w:val="1E2B4751"/>
    <w:rsid w:val="1E2C1133"/>
    <w:rsid w:val="1E2C3341"/>
    <w:rsid w:val="1E30B8F7"/>
    <w:rsid w:val="1E3185B5"/>
    <w:rsid w:val="1E32A4F2"/>
    <w:rsid w:val="1E350AA6"/>
    <w:rsid w:val="1E395412"/>
    <w:rsid w:val="1E3D5806"/>
    <w:rsid w:val="1E3E72AC"/>
    <w:rsid w:val="1E400C61"/>
    <w:rsid w:val="1E439C13"/>
    <w:rsid w:val="1E4460CA"/>
    <w:rsid w:val="1E4747BE"/>
    <w:rsid w:val="1E4ACCE8"/>
    <w:rsid w:val="1E4B3F5F"/>
    <w:rsid w:val="1E4EED56"/>
    <w:rsid w:val="1E502ED6"/>
    <w:rsid w:val="1E509B5A"/>
    <w:rsid w:val="1E50B4CA"/>
    <w:rsid w:val="1E53179D"/>
    <w:rsid w:val="1E54F91A"/>
    <w:rsid w:val="1E5B4E01"/>
    <w:rsid w:val="1E5B94D5"/>
    <w:rsid w:val="1E5C7A83"/>
    <w:rsid w:val="1E5CB71A"/>
    <w:rsid w:val="1E5D25FF"/>
    <w:rsid w:val="1E5F1812"/>
    <w:rsid w:val="1E601EA7"/>
    <w:rsid w:val="1E629534"/>
    <w:rsid w:val="1E68F261"/>
    <w:rsid w:val="1E6C8CD6"/>
    <w:rsid w:val="1E703083"/>
    <w:rsid w:val="1E71746A"/>
    <w:rsid w:val="1E721A15"/>
    <w:rsid w:val="1E72B1D2"/>
    <w:rsid w:val="1E7652FE"/>
    <w:rsid w:val="1E77C05D"/>
    <w:rsid w:val="1E7BA067"/>
    <w:rsid w:val="1E7EBEF3"/>
    <w:rsid w:val="1E7ED9DC"/>
    <w:rsid w:val="1E80E424"/>
    <w:rsid w:val="1E83BA39"/>
    <w:rsid w:val="1E83F89B"/>
    <w:rsid w:val="1E850970"/>
    <w:rsid w:val="1E87E090"/>
    <w:rsid w:val="1E8853B0"/>
    <w:rsid w:val="1E8A17CD"/>
    <w:rsid w:val="1E8A790E"/>
    <w:rsid w:val="1E8AB2B4"/>
    <w:rsid w:val="1E8AD5F8"/>
    <w:rsid w:val="1E8B0281"/>
    <w:rsid w:val="1E8F0457"/>
    <w:rsid w:val="1E921B33"/>
    <w:rsid w:val="1E93D206"/>
    <w:rsid w:val="1E95A64B"/>
    <w:rsid w:val="1E95AD70"/>
    <w:rsid w:val="1E96AA60"/>
    <w:rsid w:val="1E99B864"/>
    <w:rsid w:val="1E9A3AED"/>
    <w:rsid w:val="1E9A4E1A"/>
    <w:rsid w:val="1E9D3A0D"/>
    <w:rsid w:val="1EA9F444"/>
    <w:rsid w:val="1EAD8BD9"/>
    <w:rsid w:val="1EAECCB6"/>
    <w:rsid w:val="1EB22C4A"/>
    <w:rsid w:val="1EB359A3"/>
    <w:rsid w:val="1EB6DF1E"/>
    <w:rsid w:val="1EB7B04C"/>
    <w:rsid w:val="1EB7FC26"/>
    <w:rsid w:val="1EB909B9"/>
    <w:rsid w:val="1EB91537"/>
    <w:rsid w:val="1EB9E1A0"/>
    <w:rsid w:val="1EBA0A74"/>
    <w:rsid w:val="1EBA1C11"/>
    <w:rsid w:val="1EBDF7E1"/>
    <w:rsid w:val="1EC461A5"/>
    <w:rsid w:val="1EC66005"/>
    <w:rsid w:val="1EC6B718"/>
    <w:rsid w:val="1ECA0B4F"/>
    <w:rsid w:val="1ECAF714"/>
    <w:rsid w:val="1ECCEADF"/>
    <w:rsid w:val="1ECE0755"/>
    <w:rsid w:val="1ECEEAD8"/>
    <w:rsid w:val="1ED48F9B"/>
    <w:rsid w:val="1ED63F91"/>
    <w:rsid w:val="1ED776B7"/>
    <w:rsid w:val="1ED7C369"/>
    <w:rsid w:val="1ED9AD8A"/>
    <w:rsid w:val="1EDA2AA4"/>
    <w:rsid w:val="1EDC15A7"/>
    <w:rsid w:val="1EE10C8C"/>
    <w:rsid w:val="1EE14894"/>
    <w:rsid w:val="1EE28BAB"/>
    <w:rsid w:val="1EE31AC8"/>
    <w:rsid w:val="1EE5AF01"/>
    <w:rsid w:val="1EE734D9"/>
    <w:rsid w:val="1EE85AD8"/>
    <w:rsid w:val="1EE94DEA"/>
    <w:rsid w:val="1EEC0C3B"/>
    <w:rsid w:val="1EEC352D"/>
    <w:rsid w:val="1EEE6B6F"/>
    <w:rsid w:val="1EEF7B76"/>
    <w:rsid w:val="1EF27340"/>
    <w:rsid w:val="1EF49F36"/>
    <w:rsid w:val="1EF5DDBD"/>
    <w:rsid w:val="1EF5E9FE"/>
    <w:rsid w:val="1EF68631"/>
    <w:rsid w:val="1EF89A1C"/>
    <w:rsid w:val="1EFB5EF7"/>
    <w:rsid w:val="1EFBD983"/>
    <w:rsid w:val="1EFCBD26"/>
    <w:rsid w:val="1EFE2C95"/>
    <w:rsid w:val="1EFE8545"/>
    <w:rsid w:val="1F001FF4"/>
    <w:rsid w:val="1F008A47"/>
    <w:rsid w:val="1F00ACD4"/>
    <w:rsid w:val="1F023370"/>
    <w:rsid w:val="1F061A86"/>
    <w:rsid w:val="1F0718E6"/>
    <w:rsid w:val="1F08E038"/>
    <w:rsid w:val="1F0986C2"/>
    <w:rsid w:val="1F0A0DC6"/>
    <w:rsid w:val="1F0C794C"/>
    <w:rsid w:val="1F0FA53E"/>
    <w:rsid w:val="1F172A7B"/>
    <w:rsid w:val="1F17E9BA"/>
    <w:rsid w:val="1F1B843D"/>
    <w:rsid w:val="1F1BDBA5"/>
    <w:rsid w:val="1F1E4CDB"/>
    <w:rsid w:val="1F1F1ADD"/>
    <w:rsid w:val="1F1F4D43"/>
    <w:rsid w:val="1F1FC3FF"/>
    <w:rsid w:val="1F205B85"/>
    <w:rsid w:val="1F21BD9D"/>
    <w:rsid w:val="1F23FA01"/>
    <w:rsid w:val="1F27B1D9"/>
    <w:rsid w:val="1F2C3C33"/>
    <w:rsid w:val="1F2F4A88"/>
    <w:rsid w:val="1F313294"/>
    <w:rsid w:val="1F34E362"/>
    <w:rsid w:val="1F3544ED"/>
    <w:rsid w:val="1F356B8B"/>
    <w:rsid w:val="1F3D25D5"/>
    <w:rsid w:val="1F3EBB51"/>
    <w:rsid w:val="1F3EFE02"/>
    <w:rsid w:val="1F3F032B"/>
    <w:rsid w:val="1F41C458"/>
    <w:rsid w:val="1F4473F1"/>
    <w:rsid w:val="1F45DE82"/>
    <w:rsid w:val="1F462B0B"/>
    <w:rsid w:val="1F4729AD"/>
    <w:rsid w:val="1F49F9B2"/>
    <w:rsid w:val="1F50CDFC"/>
    <w:rsid w:val="1F53F520"/>
    <w:rsid w:val="1F55B344"/>
    <w:rsid w:val="1F5663FD"/>
    <w:rsid w:val="1F57F994"/>
    <w:rsid w:val="1F59DDCD"/>
    <w:rsid w:val="1F60D558"/>
    <w:rsid w:val="1F62F821"/>
    <w:rsid w:val="1F64AC43"/>
    <w:rsid w:val="1F6723BA"/>
    <w:rsid w:val="1F6797A7"/>
    <w:rsid w:val="1F6B2BA3"/>
    <w:rsid w:val="1F6BE394"/>
    <w:rsid w:val="1F6E9FFD"/>
    <w:rsid w:val="1F6F031A"/>
    <w:rsid w:val="1F6FF13F"/>
    <w:rsid w:val="1F70857F"/>
    <w:rsid w:val="1F708A1D"/>
    <w:rsid w:val="1F712F35"/>
    <w:rsid w:val="1F72211E"/>
    <w:rsid w:val="1F7488CD"/>
    <w:rsid w:val="1F74E9DF"/>
    <w:rsid w:val="1F75990B"/>
    <w:rsid w:val="1F7D3C3C"/>
    <w:rsid w:val="1F7D5684"/>
    <w:rsid w:val="1F7F1D27"/>
    <w:rsid w:val="1F7F1F45"/>
    <w:rsid w:val="1F87DAB1"/>
    <w:rsid w:val="1F8853B7"/>
    <w:rsid w:val="1F89E548"/>
    <w:rsid w:val="1F8A0972"/>
    <w:rsid w:val="1F8B976E"/>
    <w:rsid w:val="1F8E909F"/>
    <w:rsid w:val="1F923BDA"/>
    <w:rsid w:val="1F92B2F7"/>
    <w:rsid w:val="1F941489"/>
    <w:rsid w:val="1F9449EB"/>
    <w:rsid w:val="1F950812"/>
    <w:rsid w:val="1F9567DB"/>
    <w:rsid w:val="1F96A84A"/>
    <w:rsid w:val="1F97ACCF"/>
    <w:rsid w:val="1F987C86"/>
    <w:rsid w:val="1F99D0D1"/>
    <w:rsid w:val="1F99D585"/>
    <w:rsid w:val="1F9B0E6D"/>
    <w:rsid w:val="1F9D9D70"/>
    <w:rsid w:val="1FA1A19F"/>
    <w:rsid w:val="1FA1A822"/>
    <w:rsid w:val="1FA2DECA"/>
    <w:rsid w:val="1FA4A3FA"/>
    <w:rsid w:val="1FA4C859"/>
    <w:rsid w:val="1FA79C79"/>
    <w:rsid w:val="1FA79DC6"/>
    <w:rsid w:val="1FA873A6"/>
    <w:rsid w:val="1FA92D50"/>
    <w:rsid w:val="1FA94DCA"/>
    <w:rsid w:val="1FA97E57"/>
    <w:rsid w:val="1FAB2570"/>
    <w:rsid w:val="1FADBE5C"/>
    <w:rsid w:val="1FB0CEB0"/>
    <w:rsid w:val="1FB30CCC"/>
    <w:rsid w:val="1FB4ECFE"/>
    <w:rsid w:val="1FB5B3FE"/>
    <w:rsid w:val="1FB6D83F"/>
    <w:rsid w:val="1FB9F0E9"/>
    <w:rsid w:val="1FBCAEE9"/>
    <w:rsid w:val="1FBCCFFA"/>
    <w:rsid w:val="1FBD36A8"/>
    <w:rsid w:val="1FC0C23F"/>
    <w:rsid w:val="1FC0FDD1"/>
    <w:rsid w:val="1FC3CDED"/>
    <w:rsid w:val="1FC5C5DB"/>
    <w:rsid w:val="1FC91CEA"/>
    <w:rsid w:val="1FC9399D"/>
    <w:rsid w:val="1FCA3BFA"/>
    <w:rsid w:val="1FCBC6EA"/>
    <w:rsid w:val="1FCC874D"/>
    <w:rsid w:val="1FCD4B12"/>
    <w:rsid w:val="1FCF6B15"/>
    <w:rsid w:val="1FCFDCE9"/>
    <w:rsid w:val="1FCFE007"/>
    <w:rsid w:val="1FD0A92B"/>
    <w:rsid w:val="1FD0E8E0"/>
    <w:rsid w:val="1FD1DAF8"/>
    <w:rsid w:val="1FD35CCE"/>
    <w:rsid w:val="1FD37A56"/>
    <w:rsid w:val="1FD43262"/>
    <w:rsid w:val="1FD6DD18"/>
    <w:rsid w:val="1FD8F76C"/>
    <w:rsid w:val="1FDA061B"/>
    <w:rsid w:val="1FDA1617"/>
    <w:rsid w:val="1FDBEF51"/>
    <w:rsid w:val="1FDC79B1"/>
    <w:rsid w:val="1FDE74F5"/>
    <w:rsid w:val="1FE25587"/>
    <w:rsid w:val="1FE25A5B"/>
    <w:rsid w:val="1FE5DAD2"/>
    <w:rsid w:val="1FEAC4CE"/>
    <w:rsid w:val="1FECD8DE"/>
    <w:rsid w:val="1FF016F7"/>
    <w:rsid w:val="1FF29DE5"/>
    <w:rsid w:val="1FF5FE09"/>
    <w:rsid w:val="1FF80BAD"/>
    <w:rsid w:val="1FF83F13"/>
    <w:rsid w:val="1FF9E0DF"/>
    <w:rsid w:val="1FFAA0F8"/>
    <w:rsid w:val="1FFE0F68"/>
    <w:rsid w:val="20005AE0"/>
    <w:rsid w:val="20025CA6"/>
    <w:rsid w:val="2007F43A"/>
    <w:rsid w:val="2008BAC8"/>
    <w:rsid w:val="200A2D8E"/>
    <w:rsid w:val="200A8722"/>
    <w:rsid w:val="200ECE4D"/>
    <w:rsid w:val="200F6BE0"/>
    <w:rsid w:val="200F7985"/>
    <w:rsid w:val="200FEDAF"/>
    <w:rsid w:val="20121505"/>
    <w:rsid w:val="201437D6"/>
    <w:rsid w:val="20169CD8"/>
    <w:rsid w:val="201C1D3C"/>
    <w:rsid w:val="20220679"/>
    <w:rsid w:val="20247DE2"/>
    <w:rsid w:val="2029CAC8"/>
    <w:rsid w:val="2031ED18"/>
    <w:rsid w:val="2032384B"/>
    <w:rsid w:val="2037D43B"/>
    <w:rsid w:val="203AD828"/>
    <w:rsid w:val="203B8583"/>
    <w:rsid w:val="203D19EE"/>
    <w:rsid w:val="203D5567"/>
    <w:rsid w:val="204379DA"/>
    <w:rsid w:val="20457C5A"/>
    <w:rsid w:val="2045B517"/>
    <w:rsid w:val="2046F67B"/>
    <w:rsid w:val="204AC332"/>
    <w:rsid w:val="204B5776"/>
    <w:rsid w:val="204C726E"/>
    <w:rsid w:val="204E9FF6"/>
    <w:rsid w:val="204FDABE"/>
    <w:rsid w:val="2051546A"/>
    <w:rsid w:val="2054E10A"/>
    <w:rsid w:val="2057127E"/>
    <w:rsid w:val="20574F1B"/>
    <w:rsid w:val="2057A739"/>
    <w:rsid w:val="205A20F3"/>
    <w:rsid w:val="205C6DB2"/>
    <w:rsid w:val="205D29BC"/>
    <w:rsid w:val="206083F1"/>
    <w:rsid w:val="20619FA5"/>
    <w:rsid w:val="2063C199"/>
    <w:rsid w:val="2066066C"/>
    <w:rsid w:val="206973D6"/>
    <w:rsid w:val="206E3C04"/>
    <w:rsid w:val="206F40C4"/>
    <w:rsid w:val="206F70ED"/>
    <w:rsid w:val="20705290"/>
    <w:rsid w:val="2070702F"/>
    <w:rsid w:val="2070C603"/>
    <w:rsid w:val="2073800D"/>
    <w:rsid w:val="2074E0C9"/>
    <w:rsid w:val="20778C0C"/>
    <w:rsid w:val="2077EC55"/>
    <w:rsid w:val="20785DC2"/>
    <w:rsid w:val="207963E7"/>
    <w:rsid w:val="207AAD9E"/>
    <w:rsid w:val="207ED31A"/>
    <w:rsid w:val="207F8715"/>
    <w:rsid w:val="207FA3DC"/>
    <w:rsid w:val="208203DD"/>
    <w:rsid w:val="20822759"/>
    <w:rsid w:val="2082C9F0"/>
    <w:rsid w:val="20864D19"/>
    <w:rsid w:val="2088041B"/>
    <w:rsid w:val="20884DEB"/>
    <w:rsid w:val="208CD3FD"/>
    <w:rsid w:val="2090CC47"/>
    <w:rsid w:val="2093A40B"/>
    <w:rsid w:val="2094966E"/>
    <w:rsid w:val="2094FB33"/>
    <w:rsid w:val="2097A9E7"/>
    <w:rsid w:val="2097EFEC"/>
    <w:rsid w:val="209C1971"/>
    <w:rsid w:val="209D5BFC"/>
    <w:rsid w:val="209ED6C0"/>
    <w:rsid w:val="209EE26C"/>
    <w:rsid w:val="209EF2B3"/>
    <w:rsid w:val="209EF926"/>
    <w:rsid w:val="209F1D1E"/>
    <w:rsid w:val="209FD7DB"/>
    <w:rsid w:val="20A18F45"/>
    <w:rsid w:val="20A1C082"/>
    <w:rsid w:val="20A21654"/>
    <w:rsid w:val="20A53527"/>
    <w:rsid w:val="20A60613"/>
    <w:rsid w:val="20A65C12"/>
    <w:rsid w:val="20A6B858"/>
    <w:rsid w:val="20A8759D"/>
    <w:rsid w:val="20AA1588"/>
    <w:rsid w:val="20AB75B9"/>
    <w:rsid w:val="20ABE7D8"/>
    <w:rsid w:val="20ACBAC5"/>
    <w:rsid w:val="20AD95D6"/>
    <w:rsid w:val="20AE0B07"/>
    <w:rsid w:val="20AF4773"/>
    <w:rsid w:val="20B32A2C"/>
    <w:rsid w:val="20B3D225"/>
    <w:rsid w:val="20B76338"/>
    <w:rsid w:val="20BD5AD6"/>
    <w:rsid w:val="20BDA427"/>
    <w:rsid w:val="20BDECED"/>
    <w:rsid w:val="20C27F50"/>
    <w:rsid w:val="20C45906"/>
    <w:rsid w:val="20C797D8"/>
    <w:rsid w:val="20C7AF6F"/>
    <w:rsid w:val="20C8A837"/>
    <w:rsid w:val="20C9F5D0"/>
    <w:rsid w:val="20CAB2CC"/>
    <w:rsid w:val="20CDD1FA"/>
    <w:rsid w:val="20CE8EC1"/>
    <w:rsid w:val="20D09627"/>
    <w:rsid w:val="20D11961"/>
    <w:rsid w:val="20D2AD7B"/>
    <w:rsid w:val="20D357B9"/>
    <w:rsid w:val="20D3DCB8"/>
    <w:rsid w:val="20D3F4D4"/>
    <w:rsid w:val="20D53C07"/>
    <w:rsid w:val="20D60F0C"/>
    <w:rsid w:val="20D6241B"/>
    <w:rsid w:val="20DDC37C"/>
    <w:rsid w:val="20DE19B9"/>
    <w:rsid w:val="20E18808"/>
    <w:rsid w:val="20E3093A"/>
    <w:rsid w:val="20E4A6A3"/>
    <w:rsid w:val="20E5A501"/>
    <w:rsid w:val="20E64858"/>
    <w:rsid w:val="20E70D43"/>
    <w:rsid w:val="20EACB79"/>
    <w:rsid w:val="20EAE4BC"/>
    <w:rsid w:val="20EBEC74"/>
    <w:rsid w:val="20EDE902"/>
    <w:rsid w:val="20F5EFEE"/>
    <w:rsid w:val="20F8CC4B"/>
    <w:rsid w:val="20FB70DD"/>
    <w:rsid w:val="20FC5201"/>
    <w:rsid w:val="20FF0359"/>
    <w:rsid w:val="20FF86A2"/>
    <w:rsid w:val="21000184"/>
    <w:rsid w:val="2100072A"/>
    <w:rsid w:val="2102C9B3"/>
    <w:rsid w:val="21047757"/>
    <w:rsid w:val="2105B00B"/>
    <w:rsid w:val="2106EAC3"/>
    <w:rsid w:val="210E2BBA"/>
    <w:rsid w:val="210F9663"/>
    <w:rsid w:val="210FC5A6"/>
    <w:rsid w:val="211162BE"/>
    <w:rsid w:val="2114903C"/>
    <w:rsid w:val="2118E841"/>
    <w:rsid w:val="21195081"/>
    <w:rsid w:val="211C7964"/>
    <w:rsid w:val="211D15F5"/>
    <w:rsid w:val="211F1BB1"/>
    <w:rsid w:val="21216914"/>
    <w:rsid w:val="21231962"/>
    <w:rsid w:val="21258F6B"/>
    <w:rsid w:val="212594EE"/>
    <w:rsid w:val="21269C61"/>
    <w:rsid w:val="21271DB5"/>
    <w:rsid w:val="2128EE03"/>
    <w:rsid w:val="21292728"/>
    <w:rsid w:val="212BD486"/>
    <w:rsid w:val="212CD58A"/>
    <w:rsid w:val="212DD766"/>
    <w:rsid w:val="212FE4EA"/>
    <w:rsid w:val="21313099"/>
    <w:rsid w:val="2134B26F"/>
    <w:rsid w:val="21353D39"/>
    <w:rsid w:val="213658E0"/>
    <w:rsid w:val="21386C76"/>
    <w:rsid w:val="213A4FC8"/>
    <w:rsid w:val="213A5FA1"/>
    <w:rsid w:val="213C5E5E"/>
    <w:rsid w:val="213CA0BE"/>
    <w:rsid w:val="2141E337"/>
    <w:rsid w:val="214266CD"/>
    <w:rsid w:val="2144D131"/>
    <w:rsid w:val="21472FFB"/>
    <w:rsid w:val="2148E2C1"/>
    <w:rsid w:val="21493C03"/>
    <w:rsid w:val="21494F08"/>
    <w:rsid w:val="214998A1"/>
    <w:rsid w:val="2149E789"/>
    <w:rsid w:val="214A61AD"/>
    <w:rsid w:val="214AAF8C"/>
    <w:rsid w:val="214CDC1E"/>
    <w:rsid w:val="214FD7E3"/>
    <w:rsid w:val="21524EA0"/>
    <w:rsid w:val="21558043"/>
    <w:rsid w:val="21558685"/>
    <w:rsid w:val="2155C495"/>
    <w:rsid w:val="2155FE24"/>
    <w:rsid w:val="215E1576"/>
    <w:rsid w:val="215F1687"/>
    <w:rsid w:val="215F7756"/>
    <w:rsid w:val="21605F3D"/>
    <w:rsid w:val="2161CCF7"/>
    <w:rsid w:val="21637D71"/>
    <w:rsid w:val="2167F357"/>
    <w:rsid w:val="216A5BAB"/>
    <w:rsid w:val="216B61DE"/>
    <w:rsid w:val="216C555F"/>
    <w:rsid w:val="216C917B"/>
    <w:rsid w:val="216D2EEB"/>
    <w:rsid w:val="216DED88"/>
    <w:rsid w:val="216F2D2F"/>
    <w:rsid w:val="21713984"/>
    <w:rsid w:val="21737562"/>
    <w:rsid w:val="217B92F9"/>
    <w:rsid w:val="217BA09B"/>
    <w:rsid w:val="217DA476"/>
    <w:rsid w:val="217ECC9D"/>
    <w:rsid w:val="2181DE8C"/>
    <w:rsid w:val="21820B78"/>
    <w:rsid w:val="21839B93"/>
    <w:rsid w:val="2183F09A"/>
    <w:rsid w:val="2185FEF4"/>
    <w:rsid w:val="21867995"/>
    <w:rsid w:val="218706ED"/>
    <w:rsid w:val="21874744"/>
    <w:rsid w:val="2189CA38"/>
    <w:rsid w:val="218FD0EE"/>
    <w:rsid w:val="219128E6"/>
    <w:rsid w:val="21925A14"/>
    <w:rsid w:val="2193D25E"/>
    <w:rsid w:val="219445B1"/>
    <w:rsid w:val="219468DA"/>
    <w:rsid w:val="2194839C"/>
    <w:rsid w:val="21967A8E"/>
    <w:rsid w:val="219CF5FB"/>
    <w:rsid w:val="219E40DB"/>
    <w:rsid w:val="219EC21D"/>
    <w:rsid w:val="219EDFA9"/>
    <w:rsid w:val="21A2E74F"/>
    <w:rsid w:val="21A41CC5"/>
    <w:rsid w:val="21A449E3"/>
    <w:rsid w:val="21A615FE"/>
    <w:rsid w:val="21A6A6E4"/>
    <w:rsid w:val="21A80EEE"/>
    <w:rsid w:val="21AAFB13"/>
    <w:rsid w:val="21ACE02E"/>
    <w:rsid w:val="21AE3EBB"/>
    <w:rsid w:val="21AE57FE"/>
    <w:rsid w:val="21AEE599"/>
    <w:rsid w:val="21AF29F2"/>
    <w:rsid w:val="21B08455"/>
    <w:rsid w:val="21B0A25C"/>
    <w:rsid w:val="21B297B0"/>
    <w:rsid w:val="21B3D29F"/>
    <w:rsid w:val="21B4D48A"/>
    <w:rsid w:val="21B55109"/>
    <w:rsid w:val="21B79D21"/>
    <w:rsid w:val="21B9337D"/>
    <w:rsid w:val="21B981F1"/>
    <w:rsid w:val="21C0563D"/>
    <w:rsid w:val="21C19B56"/>
    <w:rsid w:val="21C2AD32"/>
    <w:rsid w:val="21C35EF8"/>
    <w:rsid w:val="21C84DC8"/>
    <w:rsid w:val="21C93807"/>
    <w:rsid w:val="21CE410A"/>
    <w:rsid w:val="21CF6792"/>
    <w:rsid w:val="21D00C08"/>
    <w:rsid w:val="21D25E0C"/>
    <w:rsid w:val="21D6DB53"/>
    <w:rsid w:val="21D9ACEE"/>
    <w:rsid w:val="21DBF42F"/>
    <w:rsid w:val="21DC1E80"/>
    <w:rsid w:val="21DD6DC9"/>
    <w:rsid w:val="21E074DF"/>
    <w:rsid w:val="21E63257"/>
    <w:rsid w:val="21E7EE90"/>
    <w:rsid w:val="21E96F1D"/>
    <w:rsid w:val="21E9DE75"/>
    <w:rsid w:val="21EA8315"/>
    <w:rsid w:val="21ECE416"/>
    <w:rsid w:val="21F0254B"/>
    <w:rsid w:val="21F08A6C"/>
    <w:rsid w:val="21F342E3"/>
    <w:rsid w:val="21F9BC54"/>
    <w:rsid w:val="21FA5081"/>
    <w:rsid w:val="21FAD1A7"/>
    <w:rsid w:val="21FB21E6"/>
    <w:rsid w:val="21FBE799"/>
    <w:rsid w:val="21FC33BF"/>
    <w:rsid w:val="2203173C"/>
    <w:rsid w:val="220411FC"/>
    <w:rsid w:val="2205BDAA"/>
    <w:rsid w:val="2206B851"/>
    <w:rsid w:val="220A7C82"/>
    <w:rsid w:val="220E7040"/>
    <w:rsid w:val="221262DE"/>
    <w:rsid w:val="22131489"/>
    <w:rsid w:val="22145AE9"/>
    <w:rsid w:val="2214C2EA"/>
    <w:rsid w:val="221553FB"/>
    <w:rsid w:val="2216926E"/>
    <w:rsid w:val="22191667"/>
    <w:rsid w:val="221A1B30"/>
    <w:rsid w:val="221A3399"/>
    <w:rsid w:val="221A76EA"/>
    <w:rsid w:val="221A9CA9"/>
    <w:rsid w:val="221AA0F0"/>
    <w:rsid w:val="221E6C0F"/>
    <w:rsid w:val="221F4D61"/>
    <w:rsid w:val="2221C476"/>
    <w:rsid w:val="2225BDC9"/>
    <w:rsid w:val="22267E79"/>
    <w:rsid w:val="22276A9C"/>
    <w:rsid w:val="22286541"/>
    <w:rsid w:val="222C05FA"/>
    <w:rsid w:val="222D930A"/>
    <w:rsid w:val="222E62A8"/>
    <w:rsid w:val="222F5E14"/>
    <w:rsid w:val="223167AC"/>
    <w:rsid w:val="22319E35"/>
    <w:rsid w:val="22348101"/>
    <w:rsid w:val="22368CF1"/>
    <w:rsid w:val="2236A112"/>
    <w:rsid w:val="2236D3B7"/>
    <w:rsid w:val="22389C0E"/>
    <w:rsid w:val="22397952"/>
    <w:rsid w:val="223AA2B4"/>
    <w:rsid w:val="223AA64B"/>
    <w:rsid w:val="223C49D5"/>
    <w:rsid w:val="223F8FAE"/>
    <w:rsid w:val="2240F57E"/>
    <w:rsid w:val="22414582"/>
    <w:rsid w:val="224187E4"/>
    <w:rsid w:val="22421D7D"/>
    <w:rsid w:val="224367A1"/>
    <w:rsid w:val="2245CC0B"/>
    <w:rsid w:val="2247C44C"/>
    <w:rsid w:val="224DFBA2"/>
    <w:rsid w:val="225138BB"/>
    <w:rsid w:val="2251696B"/>
    <w:rsid w:val="22526626"/>
    <w:rsid w:val="2253DF75"/>
    <w:rsid w:val="2254E751"/>
    <w:rsid w:val="22552047"/>
    <w:rsid w:val="2255C913"/>
    <w:rsid w:val="22673C3F"/>
    <w:rsid w:val="226924AD"/>
    <w:rsid w:val="226B29DF"/>
    <w:rsid w:val="226D89F9"/>
    <w:rsid w:val="226DA622"/>
    <w:rsid w:val="226DBC83"/>
    <w:rsid w:val="226F124E"/>
    <w:rsid w:val="227026AD"/>
    <w:rsid w:val="2270DAC6"/>
    <w:rsid w:val="2271FB40"/>
    <w:rsid w:val="227231AF"/>
    <w:rsid w:val="2272743A"/>
    <w:rsid w:val="2274A8DF"/>
    <w:rsid w:val="2276D2BD"/>
    <w:rsid w:val="227999B5"/>
    <w:rsid w:val="227DE614"/>
    <w:rsid w:val="227F752D"/>
    <w:rsid w:val="2282D30D"/>
    <w:rsid w:val="2283A4CB"/>
    <w:rsid w:val="228565A6"/>
    <w:rsid w:val="2285D7E3"/>
    <w:rsid w:val="228A8165"/>
    <w:rsid w:val="228C8007"/>
    <w:rsid w:val="2290189E"/>
    <w:rsid w:val="22924FCB"/>
    <w:rsid w:val="22936E26"/>
    <w:rsid w:val="22940A8C"/>
    <w:rsid w:val="22945DBF"/>
    <w:rsid w:val="2299E29B"/>
    <w:rsid w:val="229B1134"/>
    <w:rsid w:val="229B6D64"/>
    <w:rsid w:val="229D1885"/>
    <w:rsid w:val="229E6467"/>
    <w:rsid w:val="229FAFF8"/>
    <w:rsid w:val="22A72C91"/>
    <w:rsid w:val="22AF0374"/>
    <w:rsid w:val="22AFD127"/>
    <w:rsid w:val="22B320BE"/>
    <w:rsid w:val="22B57B45"/>
    <w:rsid w:val="22B677EA"/>
    <w:rsid w:val="22BACA18"/>
    <w:rsid w:val="22BB6BB4"/>
    <w:rsid w:val="22C046E2"/>
    <w:rsid w:val="22C75611"/>
    <w:rsid w:val="22C85E51"/>
    <w:rsid w:val="22C962D6"/>
    <w:rsid w:val="22CA5F46"/>
    <w:rsid w:val="22CA996B"/>
    <w:rsid w:val="22CC2A2C"/>
    <w:rsid w:val="22CFFDE3"/>
    <w:rsid w:val="22D2A5E1"/>
    <w:rsid w:val="22D2F59E"/>
    <w:rsid w:val="22D3A4A8"/>
    <w:rsid w:val="22D5168A"/>
    <w:rsid w:val="22D7C106"/>
    <w:rsid w:val="22D88296"/>
    <w:rsid w:val="22DA9627"/>
    <w:rsid w:val="22DCC44B"/>
    <w:rsid w:val="22E08D12"/>
    <w:rsid w:val="22E1400A"/>
    <w:rsid w:val="22E2C212"/>
    <w:rsid w:val="22E35BD7"/>
    <w:rsid w:val="22E36CAC"/>
    <w:rsid w:val="22E4075A"/>
    <w:rsid w:val="22E9B940"/>
    <w:rsid w:val="22EAA7C4"/>
    <w:rsid w:val="22EEB3E9"/>
    <w:rsid w:val="22EEE222"/>
    <w:rsid w:val="22EFDC6A"/>
    <w:rsid w:val="22F01ECB"/>
    <w:rsid w:val="22F08C6E"/>
    <w:rsid w:val="22F34EDE"/>
    <w:rsid w:val="22F4809C"/>
    <w:rsid w:val="22F6B36E"/>
    <w:rsid w:val="22F763F8"/>
    <w:rsid w:val="22F8B0E5"/>
    <w:rsid w:val="22F97DCF"/>
    <w:rsid w:val="22F9B46A"/>
    <w:rsid w:val="22F9F815"/>
    <w:rsid w:val="22FD231D"/>
    <w:rsid w:val="22FFBBF4"/>
    <w:rsid w:val="230184FD"/>
    <w:rsid w:val="23030B53"/>
    <w:rsid w:val="23040A9B"/>
    <w:rsid w:val="2306092E"/>
    <w:rsid w:val="2307AF94"/>
    <w:rsid w:val="2308C7C9"/>
    <w:rsid w:val="230D90D5"/>
    <w:rsid w:val="230F0185"/>
    <w:rsid w:val="231033BB"/>
    <w:rsid w:val="2311464C"/>
    <w:rsid w:val="23132414"/>
    <w:rsid w:val="2313985A"/>
    <w:rsid w:val="2314C206"/>
    <w:rsid w:val="231745AF"/>
    <w:rsid w:val="231786B7"/>
    <w:rsid w:val="2318E8BB"/>
    <w:rsid w:val="2318FBF0"/>
    <w:rsid w:val="231C029E"/>
    <w:rsid w:val="231C7419"/>
    <w:rsid w:val="231D4F9A"/>
    <w:rsid w:val="23212D48"/>
    <w:rsid w:val="23276E26"/>
    <w:rsid w:val="23289EB6"/>
    <w:rsid w:val="2328B725"/>
    <w:rsid w:val="232AEB44"/>
    <w:rsid w:val="232E801E"/>
    <w:rsid w:val="232EE0F2"/>
    <w:rsid w:val="23318459"/>
    <w:rsid w:val="2331C6D1"/>
    <w:rsid w:val="2331C768"/>
    <w:rsid w:val="23320ECD"/>
    <w:rsid w:val="23322FEA"/>
    <w:rsid w:val="2332AA76"/>
    <w:rsid w:val="23346426"/>
    <w:rsid w:val="2335A03D"/>
    <w:rsid w:val="23360591"/>
    <w:rsid w:val="23364E6A"/>
    <w:rsid w:val="23373831"/>
    <w:rsid w:val="23382694"/>
    <w:rsid w:val="233985A4"/>
    <w:rsid w:val="233FE4C4"/>
    <w:rsid w:val="23404089"/>
    <w:rsid w:val="23415419"/>
    <w:rsid w:val="2341E898"/>
    <w:rsid w:val="23428113"/>
    <w:rsid w:val="23435DFB"/>
    <w:rsid w:val="234686FD"/>
    <w:rsid w:val="2349F781"/>
    <w:rsid w:val="234C76A7"/>
    <w:rsid w:val="234F02ED"/>
    <w:rsid w:val="234F8CC8"/>
    <w:rsid w:val="2351434A"/>
    <w:rsid w:val="2352191F"/>
    <w:rsid w:val="2354680D"/>
    <w:rsid w:val="2354EB98"/>
    <w:rsid w:val="235757A1"/>
    <w:rsid w:val="23580A4C"/>
    <w:rsid w:val="2358EC02"/>
    <w:rsid w:val="235C1E0D"/>
    <w:rsid w:val="2364105E"/>
    <w:rsid w:val="2367EFA5"/>
    <w:rsid w:val="23687417"/>
    <w:rsid w:val="236B50EE"/>
    <w:rsid w:val="236E9F73"/>
    <w:rsid w:val="2370F645"/>
    <w:rsid w:val="2371B303"/>
    <w:rsid w:val="2374F1C9"/>
    <w:rsid w:val="23751CA0"/>
    <w:rsid w:val="2375CC13"/>
    <w:rsid w:val="2377B7C9"/>
    <w:rsid w:val="237F9129"/>
    <w:rsid w:val="237FDEC4"/>
    <w:rsid w:val="23859429"/>
    <w:rsid w:val="2386DA4D"/>
    <w:rsid w:val="2388A3B1"/>
    <w:rsid w:val="2388CE75"/>
    <w:rsid w:val="238B29C3"/>
    <w:rsid w:val="238C0093"/>
    <w:rsid w:val="23905F10"/>
    <w:rsid w:val="2390E208"/>
    <w:rsid w:val="2391170A"/>
    <w:rsid w:val="23918F44"/>
    <w:rsid w:val="2393806D"/>
    <w:rsid w:val="239613E3"/>
    <w:rsid w:val="23983E91"/>
    <w:rsid w:val="239E29D7"/>
    <w:rsid w:val="239EE13B"/>
    <w:rsid w:val="239EE80D"/>
    <w:rsid w:val="239FDBBD"/>
    <w:rsid w:val="23A4A387"/>
    <w:rsid w:val="23A62ABE"/>
    <w:rsid w:val="23A71985"/>
    <w:rsid w:val="23A7D5CB"/>
    <w:rsid w:val="23A87B2E"/>
    <w:rsid w:val="23A93649"/>
    <w:rsid w:val="23AC7D21"/>
    <w:rsid w:val="23ADA269"/>
    <w:rsid w:val="23B06341"/>
    <w:rsid w:val="23B21EA8"/>
    <w:rsid w:val="23B3965E"/>
    <w:rsid w:val="23B4926B"/>
    <w:rsid w:val="23B5B251"/>
    <w:rsid w:val="23B92566"/>
    <w:rsid w:val="23B9FBEC"/>
    <w:rsid w:val="23BA8F1B"/>
    <w:rsid w:val="23BAB7EE"/>
    <w:rsid w:val="23BBA389"/>
    <w:rsid w:val="23BD28F9"/>
    <w:rsid w:val="23BE4BC9"/>
    <w:rsid w:val="23C0A272"/>
    <w:rsid w:val="23C23DD8"/>
    <w:rsid w:val="23C2A386"/>
    <w:rsid w:val="23C6C310"/>
    <w:rsid w:val="23C6D84D"/>
    <w:rsid w:val="23C88D23"/>
    <w:rsid w:val="23CD4ED9"/>
    <w:rsid w:val="23D0AA61"/>
    <w:rsid w:val="23D17D5B"/>
    <w:rsid w:val="23D1B7FA"/>
    <w:rsid w:val="23D2324C"/>
    <w:rsid w:val="23D2941D"/>
    <w:rsid w:val="23D80A42"/>
    <w:rsid w:val="23DA62FD"/>
    <w:rsid w:val="23DBAD52"/>
    <w:rsid w:val="23DBE2A0"/>
    <w:rsid w:val="23DD6D7A"/>
    <w:rsid w:val="23DDA5E9"/>
    <w:rsid w:val="23DF4211"/>
    <w:rsid w:val="23E01ABE"/>
    <w:rsid w:val="23E19353"/>
    <w:rsid w:val="23E462CF"/>
    <w:rsid w:val="23E97457"/>
    <w:rsid w:val="23E98860"/>
    <w:rsid w:val="23EA7DB9"/>
    <w:rsid w:val="23EB8A42"/>
    <w:rsid w:val="23EC8844"/>
    <w:rsid w:val="23F0829C"/>
    <w:rsid w:val="23F556AE"/>
    <w:rsid w:val="23FAAF2C"/>
    <w:rsid w:val="23FCDFEB"/>
    <w:rsid w:val="23FE720D"/>
    <w:rsid w:val="23FFBD38"/>
    <w:rsid w:val="2400A836"/>
    <w:rsid w:val="24051770"/>
    <w:rsid w:val="240602D4"/>
    <w:rsid w:val="240903DD"/>
    <w:rsid w:val="240C4815"/>
    <w:rsid w:val="240D9C70"/>
    <w:rsid w:val="240E9D64"/>
    <w:rsid w:val="240EA075"/>
    <w:rsid w:val="240EE54F"/>
    <w:rsid w:val="240F54D8"/>
    <w:rsid w:val="240F7AD6"/>
    <w:rsid w:val="241263BC"/>
    <w:rsid w:val="241315AB"/>
    <w:rsid w:val="241354A5"/>
    <w:rsid w:val="2416CCDA"/>
    <w:rsid w:val="2417A252"/>
    <w:rsid w:val="241A4324"/>
    <w:rsid w:val="241AC5C8"/>
    <w:rsid w:val="241B5FEE"/>
    <w:rsid w:val="241D767F"/>
    <w:rsid w:val="2421E338"/>
    <w:rsid w:val="242464B3"/>
    <w:rsid w:val="2425BF87"/>
    <w:rsid w:val="2427339A"/>
    <w:rsid w:val="24274AB7"/>
    <w:rsid w:val="242A8BDD"/>
    <w:rsid w:val="242B0333"/>
    <w:rsid w:val="242C15F6"/>
    <w:rsid w:val="242CABA4"/>
    <w:rsid w:val="242E5115"/>
    <w:rsid w:val="242F5B83"/>
    <w:rsid w:val="2431DF1E"/>
    <w:rsid w:val="24368069"/>
    <w:rsid w:val="24377744"/>
    <w:rsid w:val="243BFB87"/>
    <w:rsid w:val="243C18B4"/>
    <w:rsid w:val="243E1EFF"/>
    <w:rsid w:val="2442A4BE"/>
    <w:rsid w:val="24455A76"/>
    <w:rsid w:val="244838A8"/>
    <w:rsid w:val="24499E98"/>
    <w:rsid w:val="24499F3C"/>
    <w:rsid w:val="244E4609"/>
    <w:rsid w:val="244E8656"/>
    <w:rsid w:val="2450C3EF"/>
    <w:rsid w:val="245215D6"/>
    <w:rsid w:val="245538D7"/>
    <w:rsid w:val="245683DB"/>
    <w:rsid w:val="245A1B17"/>
    <w:rsid w:val="245DDEC9"/>
    <w:rsid w:val="245EBC3E"/>
    <w:rsid w:val="245F5CCE"/>
    <w:rsid w:val="245F62E6"/>
    <w:rsid w:val="2463C12B"/>
    <w:rsid w:val="24647171"/>
    <w:rsid w:val="24651DA1"/>
    <w:rsid w:val="2465C0A9"/>
    <w:rsid w:val="246814F9"/>
    <w:rsid w:val="24683D68"/>
    <w:rsid w:val="246ABA13"/>
    <w:rsid w:val="24712DE1"/>
    <w:rsid w:val="24760465"/>
    <w:rsid w:val="247A177D"/>
    <w:rsid w:val="247A6AC9"/>
    <w:rsid w:val="247AE355"/>
    <w:rsid w:val="247B2E02"/>
    <w:rsid w:val="247B95C6"/>
    <w:rsid w:val="247C5C62"/>
    <w:rsid w:val="247E9ADB"/>
    <w:rsid w:val="247EFCDB"/>
    <w:rsid w:val="2480C6B1"/>
    <w:rsid w:val="2486CF9B"/>
    <w:rsid w:val="248A75DC"/>
    <w:rsid w:val="24901054"/>
    <w:rsid w:val="2490E8D1"/>
    <w:rsid w:val="2490FB39"/>
    <w:rsid w:val="2492484B"/>
    <w:rsid w:val="24981077"/>
    <w:rsid w:val="249A64E3"/>
    <w:rsid w:val="249A709F"/>
    <w:rsid w:val="249B68D1"/>
    <w:rsid w:val="249C69CA"/>
    <w:rsid w:val="249CF879"/>
    <w:rsid w:val="249DB9F9"/>
    <w:rsid w:val="249E242D"/>
    <w:rsid w:val="249E3F4B"/>
    <w:rsid w:val="24A2E664"/>
    <w:rsid w:val="24A3611D"/>
    <w:rsid w:val="24A470C5"/>
    <w:rsid w:val="24A681CF"/>
    <w:rsid w:val="24A98240"/>
    <w:rsid w:val="24A9B3B6"/>
    <w:rsid w:val="24AA87F4"/>
    <w:rsid w:val="24AAD707"/>
    <w:rsid w:val="24ABB4A6"/>
    <w:rsid w:val="24AD16A0"/>
    <w:rsid w:val="24B01DF8"/>
    <w:rsid w:val="24B32A3C"/>
    <w:rsid w:val="24B4B46A"/>
    <w:rsid w:val="24B9C859"/>
    <w:rsid w:val="24BE8E12"/>
    <w:rsid w:val="24BF314E"/>
    <w:rsid w:val="24C55C48"/>
    <w:rsid w:val="24C5C134"/>
    <w:rsid w:val="24C9EE5D"/>
    <w:rsid w:val="24CFEDE8"/>
    <w:rsid w:val="24D1D916"/>
    <w:rsid w:val="24DC358A"/>
    <w:rsid w:val="24DE811E"/>
    <w:rsid w:val="24DF27C9"/>
    <w:rsid w:val="24E05A84"/>
    <w:rsid w:val="24E2748F"/>
    <w:rsid w:val="24E88C2B"/>
    <w:rsid w:val="24EA65B1"/>
    <w:rsid w:val="24EE4AE1"/>
    <w:rsid w:val="24F0092C"/>
    <w:rsid w:val="24F01440"/>
    <w:rsid w:val="24F01E15"/>
    <w:rsid w:val="24F2945A"/>
    <w:rsid w:val="24F53E9D"/>
    <w:rsid w:val="24F82EE6"/>
    <w:rsid w:val="24F8F907"/>
    <w:rsid w:val="25018851"/>
    <w:rsid w:val="2501F0F4"/>
    <w:rsid w:val="25026EB1"/>
    <w:rsid w:val="2504A7CC"/>
    <w:rsid w:val="2504DA05"/>
    <w:rsid w:val="250626AF"/>
    <w:rsid w:val="25065FDB"/>
    <w:rsid w:val="2506E543"/>
    <w:rsid w:val="250AB334"/>
    <w:rsid w:val="250B40E4"/>
    <w:rsid w:val="250B4B17"/>
    <w:rsid w:val="250C59AF"/>
    <w:rsid w:val="250CA732"/>
    <w:rsid w:val="250CCAF5"/>
    <w:rsid w:val="2513FE5E"/>
    <w:rsid w:val="25141D35"/>
    <w:rsid w:val="2516829B"/>
    <w:rsid w:val="2517EB5C"/>
    <w:rsid w:val="251CE932"/>
    <w:rsid w:val="25211AF4"/>
    <w:rsid w:val="2522A89D"/>
    <w:rsid w:val="25233669"/>
    <w:rsid w:val="25255F9E"/>
    <w:rsid w:val="2525CBFC"/>
    <w:rsid w:val="252678C4"/>
    <w:rsid w:val="252771B8"/>
    <w:rsid w:val="2527D9ED"/>
    <w:rsid w:val="25281BDD"/>
    <w:rsid w:val="252A7AC3"/>
    <w:rsid w:val="252A8FE7"/>
    <w:rsid w:val="252C9F43"/>
    <w:rsid w:val="252E3F1B"/>
    <w:rsid w:val="25327468"/>
    <w:rsid w:val="253440E6"/>
    <w:rsid w:val="25378848"/>
    <w:rsid w:val="253AB86E"/>
    <w:rsid w:val="253BB008"/>
    <w:rsid w:val="253DBA2C"/>
    <w:rsid w:val="253FD52C"/>
    <w:rsid w:val="2540EACF"/>
    <w:rsid w:val="2542647F"/>
    <w:rsid w:val="2543BC31"/>
    <w:rsid w:val="254473CB"/>
    <w:rsid w:val="254723DD"/>
    <w:rsid w:val="25474214"/>
    <w:rsid w:val="2548A828"/>
    <w:rsid w:val="25496052"/>
    <w:rsid w:val="254C253C"/>
    <w:rsid w:val="254DA96E"/>
    <w:rsid w:val="255240B8"/>
    <w:rsid w:val="255420BF"/>
    <w:rsid w:val="2556ABEF"/>
    <w:rsid w:val="2556B0CB"/>
    <w:rsid w:val="255803B8"/>
    <w:rsid w:val="255A0790"/>
    <w:rsid w:val="255D319F"/>
    <w:rsid w:val="2562B63B"/>
    <w:rsid w:val="256341DD"/>
    <w:rsid w:val="2563F1C8"/>
    <w:rsid w:val="2564C98F"/>
    <w:rsid w:val="2566901F"/>
    <w:rsid w:val="25674EAB"/>
    <w:rsid w:val="2568AB74"/>
    <w:rsid w:val="256A4FB0"/>
    <w:rsid w:val="256CB6D4"/>
    <w:rsid w:val="256F1562"/>
    <w:rsid w:val="256F2E46"/>
    <w:rsid w:val="256F9773"/>
    <w:rsid w:val="2570A8CF"/>
    <w:rsid w:val="2570B88B"/>
    <w:rsid w:val="2572C73A"/>
    <w:rsid w:val="2573978B"/>
    <w:rsid w:val="25759650"/>
    <w:rsid w:val="2578311E"/>
    <w:rsid w:val="25790854"/>
    <w:rsid w:val="257A0178"/>
    <w:rsid w:val="257B8D05"/>
    <w:rsid w:val="257C33D5"/>
    <w:rsid w:val="257CEC43"/>
    <w:rsid w:val="25803D8F"/>
    <w:rsid w:val="25827063"/>
    <w:rsid w:val="2582FD4D"/>
    <w:rsid w:val="25865FD8"/>
    <w:rsid w:val="2587234A"/>
    <w:rsid w:val="25898384"/>
    <w:rsid w:val="2589EC0D"/>
    <w:rsid w:val="258B1B1C"/>
    <w:rsid w:val="258B8010"/>
    <w:rsid w:val="258E8425"/>
    <w:rsid w:val="2593B0C9"/>
    <w:rsid w:val="25947330"/>
    <w:rsid w:val="25974E93"/>
    <w:rsid w:val="2597B518"/>
    <w:rsid w:val="25984BBF"/>
    <w:rsid w:val="2598B886"/>
    <w:rsid w:val="259A87AD"/>
    <w:rsid w:val="259DFA5F"/>
    <w:rsid w:val="259F64AD"/>
    <w:rsid w:val="259FA112"/>
    <w:rsid w:val="259FA90C"/>
    <w:rsid w:val="259FD31D"/>
    <w:rsid w:val="25A2B52E"/>
    <w:rsid w:val="25A6D0EC"/>
    <w:rsid w:val="25A761DD"/>
    <w:rsid w:val="25AA7FEC"/>
    <w:rsid w:val="25AAA85E"/>
    <w:rsid w:val="25AE4F0F"/>
    <w:rsid w:val="25AEC9D1"/>
    <w:rsid w:val="25B1DED0"/>
    <w:rsid w:val="25B6793B"/>
    <w:rsid w:val="25B7E018"/>
    <w:rsid w:val="25B7FFBF"/>
    <w:rsid w:val="25BDC9C1"/>
    <w:rsid w:val="25BDE188"/>
    <w:rsid w:val="25C1359D"/>
    <w:rsid w:val="25C17E7D"/>
    <w:rsid w:val="25C35371"/>
    <w:rsid w:val="25C4F84E"/>
    <w:rsid w:val="25C56888"/>
    <w:rsid w:val="25C6FC1F"/>
    <w:rsid w:val="25CADBDF"/>
    <w:rsid w:val="25D513B6"/>
    <w:rsid w:val="25D547EE"/>
    <w:rsid w:val="25D5BF97"/>
    <w:rsid w:val="25D6ADF7"/>
    <w:rsid w:val="25D73AA4"/>
    <w:rsid w:val="25D753B0"/>
    <w:rsid w:val="25D90BE0"/>
    <w:rsid w:val="25DC530D"/>
    <w:rsid w:val="25DD9FDE"/>
    <w:rsid w:val="25E12451"/>
    <w:rsid w:val="25E22F51"/>
    <w:rsid w:val="25E6373E"/>
    <w:rsid w:val="25E7A487"/>
    <w:rsid w:val="25E9CCC8"/>
    <w:rsid w:val="25EA34E0"/>
    <w:rsid w:val="25EBFE43"/>
    <w:rsid w:val="25EC8770"/>
    <w:rsid w:val="25EC87B3"/>
    <w:rsid w:val="25EC9EE1"/>
    <w:rsid w:val="25F03F6F"/>
    <w:rsid w:val="25F31970"/>
    <w:rsid w:val="25F38EEF"/>
    <w:rsid w:val="25F4370F"/>
    <w:rsid w:val="25F77E40"/>
    <w:rsid w:val="25F7C8AC"/>
    <w:rsid w:val="25F7F311"/>
    <w:rsid w:val="25F95E56"/>
    <w:rsid w:val="25FA425C"/>
    <w:rsid w:val="25FEF9E4"/>
    <w:rsid w:val="25FF0E0A"/>
    <w:rsid w:val="26024CE4"/>
    <w:rsid w:val="2602FA5A"/>
    <w:rsid w:val="26030E36"/>
    <w:rsid w:val="2605B083"/>
    <w:rsid w:val="260A85F1"/>
    <w:rsid w:val="260AFBBC"/>
    <w:rsid w:val="260D21FE"/>
    <w:rsid w:val="260D3FEB"/>
    <w:rsid w:val="260F7E2B"/>
    <w:rsid w:val="2611EE38"/>
    <w:rsid w:val="261372C5"/>
    <w:rsid w:val="2614A37B"/>
    <w:rsid w:val="261C1C29"/>
    <w:rsid w:val="261C1C7A"/>
    <w:rsid w:val="261CD3D6"/>
    <w:rsid w:val="261DE008"/>
    <w:rsid w:val="261DEA2B"/>
    <w:rsid w:val="261F2D0A"/>
    <w:rsid w:val="2621C434"/>
    <w:rsid w:val="2623009D"/>
    <w:rsid w:val="26247189"/>
    <w:rsid w:val="26257EBB"/>
    <w:rsid w:val="2626CE2D"/>
    <w:rsid w:val="262B0CC3"/>
    <w:rsid w:val="262C8245"/>
    <w:rsid w:val="262E5831"/>
    <w:rsid w:val="26318103"/>
    <w:rsid w:val="26329751"/>
    <w:rsid w:val="26364B16"/>
    <w:rsid w:val="26365F2C"/>
    <w:rsid w:val="263776AF"/>
    <w:rsid w:val="263A1F4B"/>
    <w:rsid w:val="263A9316"/>
    <w:rsid w:val="263A95B3"/>
    <w:rsid w:val="263ACC64"/>
    <w:rsid w:val="263B7912"/>
    <w:rsid w:val="263C22FF"/>
    <w:rsid w:val="263CBD00"/>
    <w:rsid w:val="263F60E1"/>
    <w:rsid w:val="263F6B67"/>
    <w:rsid w:val="26416A70"/>
    <w:rsid w:val="26443E1E"/>
    <w:rsid w:val="2648387F"/>
    <w:rsid w:val="264A71CD"/>
    <w:rsid w:val="264EDB9D"/>
    <w:rsid w:val="2654AD69"/>
    <w:rsid w:val="26557513"/>
    <w:rsid w:val="26560CCB"/>
    <w:rsid w:val="26561253"/>
    <w:rsid w:val="265A1F4B"/>
    <w:rsid w:val="265AFE23"/>
    <w:rsid w:val="265D3F03"/>
    <w:rsid w:val="265E74CE"/>
    <w:rsid w:val="265F1988"/>
    <w:rsid w:val="26631111"/>
    <w:rsid w:val="2663E406"/>
    <w:rsid w:val="2669015A"/>
    <w:rsid w:val="266AB98A"/>
    <w:rsid w:val="266E49D9"/>
    <w:rsid w:val="266F7717"/>
    <w:rsid w:val="2671AC98"/>
    <w:rsid w:val="267239A5"/>
    <w:rsid w:val="26739650"/>
    <w:rsid w:val="2673BE44"/>
    <w:rsid w:val="26765D40"/>
    <w:rsid w:val="2677829C"/>
    <w:rsid w:val="2677D156"/>
    <w:rsid w:val="267F3453"/>
    <w:rsid w:val="2680DBE6"/>
    <w:rsid w:val="2681211D"/>
    <w:rsid w:val="2681D680"/>
    <w:rsid w:val="26828D6E"/>
    <w:rsid w:val="2682AA16"/>
    <w:rsid w:val="26853ABA"/>
    <w:rsid w:val="26854A6D"/>
    <w:rsid w:val="268653AC"/>
    <w:rsid w:val="2688111C"/>
    <w:rsid w:val="26899F7C"/>
    <w:rsid w:val="268A4DC2"/>
    <w:rsid w:val="268A5ACC"/>
    <w:rsid w:val="268A8002"/>
    <w:rsid w:val="268C3181"/>
    <w:rsid w:val="268C36C5"/>
    <w:rsid w:val="268C7E51"/>
    <w:rsid w:val="2691D3A9"/>
    <w:rsid w:val="26927E6D"/>
    <w:rsid w:val="2694908A"/>
    <w:rsid w:val="26972BB2"/>
    <w:rsid w:val="26986A1A"/>
    <w:rsid w:val="2699785A"/>
    <w:rsid w:val="269A8944"/>
    <w:rsid w:val="269CF510"/>
    <w:rsid w:val="26A31DE5"/>
    <w:rsid w:val="26AD903A"/>
    <w:rsid w:val="26ADB48D"/>
    <w:rsid w:val="26AE52C0"/>
    <w:rsid w:val="26B2E4E1"/>
    <w:rsid w:val="26B32032"/>
    <w:rsid w:val="26B36363"/>
    <w:rsid w:val="26B3CF5C"/>
    <w:rsid w:val="26BF8083"/>
    <w:rsid w:val="26C17CA9"/>
    <w:rsid w:val="26C41A89"/>
    <w:rsid w:val="26C691A9"/>
    <w:rsid w:val="26C7DFF3"/>
    <w:rsid w:val="26CD8432"/>
    <w:rsid w:val="26CF4527"/>
    <w:rsid w:val="26D01DFA"/>
    <w:rsid w:val="26D027A8"/>
    <w:rsid w:val="26D6C149"/>
    <w:rsid w:val="26D6C6EB"/>
    <w:rsid w:val="26DF9BAB"/>
    <w:rsid w:val="26E0B248"/>
    <w:rsid w:val="26E30B81"/>
    <w:rsid w:val="26EA4E2C"/>
    <w:rsid w:val="26EC0F59"/>
    <w:rsid w:val="26ED15E4"/>
    <w:rsid w:val="26EF1A49"/>
    <w:rsid w:val="26F0F860"/>
    <w:rsid w:val="26F1CBF3"/>
    <w:rsid w:val="26F4DA12"/>
    <w:rsid w:val="26F5A801"/>
    <w:rsid w:val="26F61189"/>
    <w:rsid w:val="26FAB7DC"/>
    <w:rsid w:val="26FBDB30"/>
    <w:rsid w:val="27034B50"/>
    <w:rsid w:val="2705F320"/>
    <w:rsid w:val="2707DE1D"/>
    <w:rsid w:val="27087DF4"/>
    <w:rsid w:val="270B66BD"/>
    <w:rsid w:val="270BCC56"/>
    <w:rsid w:val="270C24C6"/>
    <w:rsid w:val="270D31E7"/>
    <w:rsid w:val="270FA880"/>
    <w:rsid w:val="27100735"/>
    <w:rsid w:val="271008A1"/>
    <w:rsid w:val="2710FD00"/>
    <w:rsid w:val="271102C4"/>
    <w:rsid w:val="2711B0BD"/>
    <w:rsid w:val="27133652"/>
    <w:rsid w:val="271474C0"/>
    <w:rsid w:val="271EEF1E"/>
    <w:rsid w:val="27205579"/>
    <w:rsid w:val="2720AD8C"/>
    <w:rsid w:val="27256DF3"/>
    <w:rsid w:val="272592AD"/>
    <w:rsid w:val="27265A44"/>
    <w:rsid w:val="2726ADDB"/>
    <w:rsid w:val="2727B8DB"/>
    <w:rsid w:val="27280AF8"/>
    <w:rsid w:val="272863B7"/>
    <w:rsid w:val="272C5EBB"/>
    <w:rsid w:val="272E0382"/>
    <w:rsid w:val="272F3CFC"/>
    <w:rsid w:val="27316C85"/>
    <w:rsid w:val="2731A6C0"/>
    <w:rsid w:val="2735D7B4"/>
    <w:rsid w:val="2735E00E"/>
    <w:rsid w:val="2735F765"/>
    <w:rsid w:val="273600B7"/>
    <w:rsid w:val="2738925F"/>
    <w:rsid w:val="273B4900"/>
    <w:rsid w:val="273D83B7"/>
    <w:rsid w:val="2747375F"/>
    <w:rsid w:val="27477086"/>
    <w:rsid w:val="27490392"/>
    <w:rsid w:val="274EC7E4"/>
    <w:rsid w:val="2752B434"/>
    <w:rsid w:val="27542FA9"/>
    <w:rsid w:val="2757140E"/>
    <w:rsid w:val="2757353F"/>
    <w:rsid w:val="275A3B99"/>
    <w:rsid w:val="275AD020"/>
    <w:rsid w:val="275DDFBC"/>
    <w:rsid w:val="275E6494"/>
    <w:rsid w:val="2763533D"/>
    <w:rsid w:val="2768E811"/>
    <w:rsid w:val="276AF4B0"/>
    <w:rsid w:val="2770ACFC"/>
    <w:rsid w:val="277156CD"/>
    <w:rsid w:val="27733555"/>
    <w:rsid w:val="2776C5A8"/>
    <w:rsid w:val="277825C1"/>
    <w:rsid w:val="27784495"/>
    <w:rsid w:val="277D34E6"/>
    <w:rsid w:val="277DFE55"/>
    <w:rsid w:val="277EB994"/>
    <w:rsid w:val="2788600B"/>
    <w:rsid w:val="2789F15D"/>
    <w:rsid w:val="2789F585"/>
    <w:rsid w:val="278C3D9F"/>
    <w:rsid w:val="2790AE62"/>
    <w:rsid w:val="27969C76"/>
    <w:rsid w:val="27984C57"/>
    <w:rsid w:val="279BB62E"/>
    <w:rsid w:val="279E29C8"/>
    <w:rsid w:val="279FFDCA"/>
    <w:rsid w:val="27A2C9BF"/>
    <w:rsid w:val="27A3BDFE"/>
    <w:rsid w:val="27A490AE"/>
    <w:rsid w:val="27A62690"/>
    <w:rsid w:val="27A67394"/>
    <w:rsid w:val="27A86444"/>
    <w:rsid w:val="27A9FA28"/>
    <w:rsid w:val="27AB9948"/>
    <w:rsid w:val="27ACC635"/>
    <w:rsid w:val="27AE292A"/>
    <w:rsid w:val="27B02501"/>
    <w:rsid w:val="27B55B8E"/>
    <w:rsid w:val="27B67A3B"/>
    <w:rsid w:val="27B8F4DA"/>
    <w:rsid w:val="27BC1DB4"/>
    <w:rsid w:val="27BD170C"/>
    <w:rsid w:val="27BE630F"/>
    <w:rsid w:val="27BF8F69"/>
    <w:rsid w:val="27C0CB32"/>
    <w:rsid w:val="27C34683"/>
    <w:rsid w:val="27C56805"/>
    <w:rsid w:val="27C5AA2C"/>
    <w:rsid w:val="27C5FA04"/>
    <w:rsid w:val="27C93CA2"/>
    <w:rsid w:val="27CA653F"/>
    <w:rsid w:val="27CFCD21"/>
    <w:rsid w:val="27D330D3"/>
    <w:rsid w:val="27D4C698"/>
    <w:rsid w:val="27D78373"/>
    <w:rsid w:val="27D8F560"/>
    <w:rsid w:val="27D9E153"/>
    <w:rsid w:val="27DCCAB2"/>
    <w:rsid w:val="27DDCC79"/>
    <w:rsid w:val="27E05935"/>
    <w:rsid w:val="27E13D84"/>
    <w:rsid w:val="27E17451"/>
    <w:rsid w:val="27E27963"/>
    <w:rsid w:val="27E28752"/>
    <w:rsid w:val="27E85527"/>
    <w:rsid w:val="27EA74D8"/>
    <w:rsid w:val="27F21ADF"/>
    <w:rsid w:val="27F3C9EE"/>
    <w:rsid w:val="27F5EB6D"/>
    <w:rsid w:val="27F61F13"/>
    <w:rsid w:val="27F93478"/>
    <w:rsid w:val="27FBB9ED"/>
    <w:rsid w:val="27FC0409"/>
    <w:rsid w:val="27FE3D5A"/>
    <w:rsid w:val="28012547"/>
    <w:rsid w:val="2802DA73"/>
    <w:rsid w:val="280408CE"/>
    <w:rsid w:val="280651C6"/>
    <w:rsid w:val="280BC729"/>
    <w:rsid w:val="280D0ECB"/>
    <w:rsid w:val="28130E26"/>
    <w:rsid w:val="28132458"/>
    <w:rsid w:val="2813CC7D"/>
    <w:rsid w:val="28177FEC"/>
    <w:rsid w:val="2817D6FE"/>
    <w:rsid w:val="281CF5E9"/>
    <w:rsid w:val="281EC83C"/>
    <w:rsid w:val="2826FDB5"/>
    <w:rsid w:val="2827AEE3"/>
    <w:rsid w:val="2829BE85"/>
    <w:rsid w:val="282C262E"/>
    <w:rsid w:val="282E9C95"/>
    <w:rsid w:val="282F3137"/>
    <w:rsid w:val="283155A0"/>
    <w:rsid w:val="28347AD2"/>
    <w:rsid w:val="2837BC40"/>
    <w:rsid w:val="283A165F"/>
    <w:rsid w:val="283B7068"/>
    <w:rsid w:val="283C834E"/>
    <w:rsid w:val="283E3DC1"/>
    <w:rsid w:val="2840DA70"/>
    <w:rsid w:val="28415804"/>
    <w:rsid w:val="284237D9"/>
    <w:rsid w:val="284936BE"/>
    <w:rsid w:val="284CF347"/>
    <w:rsid w:val="284F7E25"/>
    <w:rsid w:val="28527636"/>
    <w:rsid w:val="2854DDB1"/>
    <w:rsid w:val="285A6992"/>
    <w:rsid w:val="285BAEB0"/>
    <w:rsid w:val="285C1436"/>
    <w:rsid w:val="285DE458"/>
    <w:rsid w:val="285F692C"/>
    <w:rsid w:val="286091D7"/>
    <w:rsid w:val="28633FAD"/>
    <w:rsid w:val="2866EA2E"/>
    <w:rsid w:val="28676D85"/>
    <w:rsid w:val="28691957"/>
    <w:rsid w:val="28692249"/>
    <w:rsid w:val="286979B6"/>
    <w:rsid w:val="2869DF8D"/>
    <w:rsid w:val="286FCA61"/>
    <w:rsid w:val="2873FAC9"/>
    <w:rsid w:val="28792468"/>
    <w:rsid w:val="28792D5D"/>
    <w:rsid w:val="2879395F"/>
    <w:rsid w:val="2879792D"/>
    <w:rsid w:val="287A3EA9"/>
    <w:rsid w:val="287BD911"/>
    <w:rsid w:val="287D3BEB"/>
    <w:rsid w:val="28840E0A"/>
    <w:rsid w:val="28850BBB"/>
    <w:rsid w:val="2885F059"/>
    <w:rsid w:val="28868507"/>
    <w:rsid w:val="2889A824"/>
    <w:rsid w:val="288A0BD5"/>
    <w:rsid w:val="288A8B6E"/>
    <w:rsid w:val="288C10F8"/>
    <w:rsid w:val="288EE853"/>
    <w:rsid w:val="28922672"/>
    <w:rsid w:val="2892AE7E"/>
    <w:rsid w:val="2892EDC4"/>
    <w:rsid w:val="289515EC"/>
    <w:rsid w:val="28958389"/>
    <w:rsid w:val="2896E1FD"/>
    <w:rsid w:val="2897F171"/>
    <w:rsid w:val="2898F51C"/>
    <w:rsid w:val="2899C762"/>
    <w:rsid w:val="289ABB5C"/>
    <w:rsid w:val="28A16F36"/>
    <w:rsid w:val="28A1805F"/>
    <w:rsid w:val="28A2835E"/>
    <w:rsid w:val="28A81BDB"/>
    <w:rsid w:val="28A8AB26"/>
    <w:rsid w:val="28AB3F06"/>
    <w:rsid w:val="28ABCF5C"/>
    <w:rsid w:val="28AD39FF"/>
    <w:rsid w:val="28AE6A27"/>
    <w:rsid w:val="28B1A187"/>
    <w:rsid w:val="28B2B670"/>
    <w:rsid w:val="28B6B61C"/>
    <w:rsid w:val="28B6D002"/>
    <w:rsid w:val="28B8AB60"/>
    <w:rsid w:val="28B9FB2A"/>
    <w:rsid w:val="28BAADC8"/>
    <w:rsid w:val="28BC6797"/>
    <w:rsid w:val="28BC907D"/>
    <w:rsid w:val="28C0F49E"/>
    <w:rsid w:val="28C39E61"/>
    <w:rsid w:val="28C58756"/>
    <w:rsid w:val="28C5ADA3"/>
    <w:rsid w:val="28C5F65A"/>
    <w:rsid w:val="28C7EB4D"/>
    <w:rsid w:val="28CAC02D"/>
    <w:rsid w:val="28CB43B0"/>
    <w:rsid w:val="28CC5B78"/>
    <w:rsid w:val="28CF1943"/>
    <w:rsid w:val="28CF8C06"/>
    <w:rsid w:val="28CFC910"/>
    <w:rsid w:val="28D50EB9"/>
    <w:rsid w:val="28D5526F"/>
    <w:rsid w:val="28D69180"/>
    <w:rsid w:val="28D6D1BF"/>
    <w:rsid w:val="28DA4CE2"/>
    <w:rsid w:val="28DCF802"/>
    <w:rsid w:val="28DCFC6F"/>
    <w:rsid w:val="28DD32BA"/>
    <w:rsid w:val="28DD35C2"/>
    <w:rsid w:val="28E07BFA"/>
    <w:rsid w:val="28E0B979"/>
    <w:rsid w:val="28E28D3C"/>
    <w:rsid w:val="28E469A8"/>
    <w:rsid w:val="28E84F62"/>
    <w:rsid w:val="28EB65B7"/>
    <w:rsid w:val="28EB6B64"/>
    <w:rsid w:val="28EC11D1"/>
    <w:rsid w:val="28EC2691"/>
    <w:rsid w:val="28ED30AF"/>
    <w:rsid w:val="28F48A90"/>
    <w:rsid w:val="28F74191"/>
    <w:rsid w:val="28F7501D"/>
    <w:rsid w:val="28F93D39"/>
    <w:rsid w:val="28FA89E5"/>
    <w:rsid w:val="28FC11C8"/>
    <w:rsid w:val="28FEFB61"/>
    <w:rsid w:val="28FF37E4"/>
    <w:rsid w:val="2900F4AE"/>
    <w:rsid w:val="2902CE4F"/>
    <w:rsid w:val="2903E331"/>
    <w:rsid w:val="2908647F"/>
    <w:rsid w:val="290922C1"/>
    <w:rsid w:val="290AE60F"/>
    <w:rsid w:val="290D5E6B"/>
    <w:rsid w:val="290F51F9"/>
    <w:rsid w:val="29128193"/>
    <w:rsid w:val="29134592"/>
    <w:rsid w:val="2914B4F5"/>
    <w:rsid w:val="291609AD"/>
    <w:rsid w:val="291629FA"/>
    <w:rsid w:val="291B96F6"/>
    <w:rsid w:val="291BA68E"/>
    <w:rsid w:val="291D98DB"/>
    <w:rsid w:val="291DF0C0"/>
    <w:rsid w:val="29201A6C"/>
    <w:rsid w:val="29204266"/>
    <w:rsid w:val="29274FB7"/>
    <w:rsid w:val="292A8683"/>
    <w:rsid w:val="292C364A"/>
    <w:rsid w:val="292E57FF"/>
    <w:rsid w:val="29351858"/>
    <w:rsid w:val="29360B47"/>
    <w:rsid w:val="2937A83F"/>
    <w:rsid w:val="2938E2E0"/>
    <w:rsid w:val="293A3212"/>
    <w:rsid w:val="293C4955"/>
    <w:rsid w:val="293D6B48"/>
    <w:rsid w:val="29400F2A"/>
    <w:rsid w:val="294150B3"/>
    <w:rsid w:val="2943028A"/>
    <w:rsid w:val="294370B7"/>
    <w:rsid w:val="29440270"/>
    <w:rsid w:val="29449D12"/>
    <w:rsid w:val="2944EF6F"/>
    <w:rsid w:val="29486DDD"/>
    <w:rsid w:val="29490C23"/>
    <w:rsid w:val="294DC1A2"/>
    <w:rsid w:val="294E201A"/>
    <w:rsid w:val="295049B1"/>
    <w:rsid w:val="2951CF67"/>
    <w:rsid w:val="2952D21F"/>
    <w:rsid w:val="2954AE3C"/>
    <w:rsid w:val="29553F6A"/>
    <w:rsid w:val="2956ED41"/>
    <w:rsid w:val="29570ADC"/>
    <w:rsid w:val="2958D709"/>
    <w:rsid w:val="295B13B2"/>
    <w:rsid w:val="295E2643"/>
    <w:rsid w:val="29608490"/>
    <w:rsid w:val="2963511F"/>
    <w:rsid w:val="296978AD"/>
    <w:rsid w:val="2969E74C"/>
    <w:rsid w:val="296A4D3D"/>
    <w:rsid w:val="296C7697"/>
    <w:rsid w:val="296DC41C"/>
    <w:rsid w:val="296E4BA5"/>
    <w:rsid w:val="2970F8FF"/>
    <w:rsid w:val="29737A5F"/>
    <w:rsid w:val="29740E93"/>
    <w:rsid w:val="2977B793"/>
    <w:rsid w:val="2977DD40"/>
    <w:rsid w:val="29783FBC"/>
    <w:rsid w:val="297A1E35"/>
    <w:rsid w:val="297AB851"/>
    <w:rsid w:val="297B8325"/>
    <w:rsid w:val="2980AD99"/>
    <w:rsid w:val="2982A7C1"/>
    <w:rsid w:val="2982D56B"/>
    <w:rsid w:val="29868720"/>
    <w:rsid w:val="29868D25"/>
    <w:rsid w:val="298AB477"/>
    <w:rsid w:val="298B1B4F"/>
    <w:rsid w:val="298C2A21"/>
    <w:rsid w:val="298FEB19"/>
    <w:rsid w:val="299379C4"/>
    <w:rsid w:val="299A98B9"/>
    <w:rsid w:val="299C4E64"/>
    <w:rsid w:val="299E0D13"/>
    <w:rsid w:val="299F93B3"/>
    <w:rsid w:val="29A10855"/>
    <w:rsid w:val="29A1F45C"/>
    <w:rsid w:val="29A3B5E9"/>
    <w:rsid w:val="29A4C87A"/>
    <w:rsid w:val="29A81E92"/>
    <w:rsid w:val="29A9400A"/>
    <w:rsid w:val="29AA30A1"/>
    <w:rsid w:val="29AB711E"/>
    <w:rsid w:val="29ACFCBE"/>
    <w:rsid w:val="29AE9323"/>
    <w:rsid w:val="29AEF3F0"/>
    <w:rsid w:val="29AF5E4A"/>
    <w:rsid w:val="29B35F5E"/>
    <w:rsid w:val="29B4AD71"/>
    <w:rsid w:val="29BDE2A5"/>
    <w:rsid w:val="29C036D3"/>
    <w:rsid w:val="29C137CF"/>
    <w:rsid w:val="29C1395F"/>
    <w:rsid w:val="29C1FAC8"/>
    <w:rsid w:val="29C2A7A5"/>
    <w:rsid w:val="29C3235A"/>
    <w:rsid w:val="29C3BF05"/>
    <w:rsid w:val="29C600C1"/>
    <w:rsid w:val="29C77207"/>
    <w:rsid w:val="29C9B730"/>
    <w:rsid w:val="29CB08D1"/>
    <w:rsid w:val="29CC3F1F"/>
    <w:rsid w:val="29CE52B2"/>
    <w:rsid w:val="29D2EABE"/>
    <w:rsid w:val="29D4F5A9"/>
    <w:rsid w:val="29D58785"/>
    <w:rsid w:val="29D85459"/>
    <w:rsid w:val="29D8B633"/>
    <w:rsid w:val="29E021A8"/>
    <w:rsid w:val="29E38805"/>
    <w:rsid w:val="29E7D79D"/>
    <w:rsid w:val="29E916DE"/>
    <w:rsid w:val="29E94752"/>
    <w:rsid w:val="29EBD1F1"/>
    <w:rsid w:val="29EE86FC"/>
    <w:rsid w:val="29F0162F"/>
    <w:rsid w:val="29F3FDD7"/>
    <w:rsid w:val="29F42D1D"/>
    <w:rsid w:val="29F5869C"/>
    <w:rsid w:val="29F827EF"/>
    <w:rsid w:val="29F82C2A"/>
    <w:rsid w:val="29FB5EE6"/>
    <w:rsid w:val="29FD92EF"/>
    <w:rsid w:val="29FF7217"/>
    <w:rsid w:val="2A015F0E"/>
    <w:rsid w:val="2A02E58F"/>
    <w:rsid w:val="2A038F5B"/>
    <w:rsid w:val="2A03BA03"/>
    <w:rsid w:val="2A050B78"/>
    <w:rsid w:val="2A054843"/>
    <w:rsid w:val="2A06FFD0"/>
    <w:rsid w:val="2A07139B"/>
    <w:rsid w:val="2A0780ED"/>
    <w:rsid w:val="2A0805E0"/>
    <w:rsid w:val="2A080A19"/>
    <w:rsid w:val="2A08CF87"/>
    <w:rsid w:val="2A0AD744"/>
    <w:rsid w:val="2A0B09E2"/>
    <w:rsid w:val="2A0B90AF"/>
    <w:rsid w:val="2A0CBC72"/>
    <w:rsid w:val="2A0D5ED2"/>
    <w:rsid w:val="2A0F00FF"/>
    <w:rsid w:val="2A11A7ED"/>
    <w:rsid w:val="2A150B19"/>
    <w:rsid w:val="2A1A43ED"/>
    <w:rsid w:val="2A1B887B"/>
    <w:rsid w:val="2A1EB011"/>
    <w:rsid w:val="2A1EDB43"/>
    <w:rsid w:val="2A20EBD5"/>
    <w:rsid w:val="2A21257F"/>
    <w:rsid w:val="2A21EB5E"/>
    <w:rsid w:val="2A241146"/>
    <w:rsid w:val="2A27A41F"/>
    <w:rsid w:val="2A2ADC01"/>
    <w:rsid w:val="2A2CAC3E"/>
    <w:rsid w:val="2A2D5EFC"/>
    <w:rsid w:val="2A30647B"/>
    <w:rsid w:val="2A35DE7B"/>
    <w:rsid w:val="2A35FA14"/>
    <w:rsid w:val="2A39F94D"/>
    <w:rsid w:val="2A462E0D"/>
    <w:rsid w:val="2A4A7821"/>
    <w:rsid w:val="2A4BB673"/>
    <w:rsid w:val="2A4EAA1A"/>
    <w:rsid w:val="2A502418"/>
    <w:rsid w:val="2A51DF85"/>
    <w:rsid w:val="2A5247EF"/>
    <w:rsid w:val="2A5574E8"/>
    <w:rsid w:val="2A594F0D"/>
    <w:rsid w:val="2A5DFB06"/>
    <w:rsid w:val="2A61E874"/>
    <w:rsid w:val="2A621887"/>
    <w:rsid w:val="2A635730"/>
    <w:rsid w:val="2A639762"/>
    <w:rsid w:val="2A67E05C"/>
    <w:rsid w:val="2A68135F"/>
    <w:rsid w:val="2A6929F4"/>
    <w:rsid w:val="2A6B6059"/>
    <w:rsid w:val="2A6E003C"/>
    <w:rsid w:val="2A6EBADE"/>
    <w:rsid w:val="2A7274A0"/>
    <w:rsid w:val="2A765508"/>
    <w:rsid w:val="2A7DE0E1"/>
    <w:rsid w:val="2A7DF283"/>
    <w:rsid w:val="2A7F5697"/>
    <w:rsid w:val="2A8092E5"/>
    <w:rsid w:val="2A818700"/>
    <w:rsid w:val="2A828AF7"/>
    <w:rsid w:val="2A850E37"/>
    <w:rsid w:val="2A854DFD"/>
    <w:rsid w:val="2A8826F6"/>
    <w:rsid w:val="2A887B7A"/>
    <w:rsid w:val="2A88D9EC"/>
    <w:rsid w:val="2A88FBA4"/>
    <w:rsid w:val="2A8A41D8"/>
    <w:rsid w:val="2A8B69FE"/>
    <w:rsid w:val="2A8E2F0D"/>
    <w:rsid w:val="2A9118C0"/>
    <w:rsid w:val="2A95363A"/>
    <w:rsid w:val="2A984D7E"/>
    <w:rsid w:val="2A991E53"/>
    <w:rsid w:val="2A9D4373"/>
    <w:rsid w:val="2AA135ED"/>
    <w:rsid w:val="2AA3C0EB"/>
    <w:rsid w:val="2AA4BC3A"/>
    <w:rsid w:val="2AA4F808"/>
    <w:rsid w:val="2AA596EA"/>
    <w:rsid w:val="2AAA716D"/>
    <w:rsid w:val="2AAAF77C"/>
    <w:rsid w:val="2AACD544"/>
    <w:rsid w:val="2AADCAA4"/>
    <w:rsid w:val="2AAEBB26"/>
    <w:rsid w:val="2AB104CB"/>
    <w:rsid w:val="2AB1D85F"/>
    <w:rsid w:val="2AB33E9F"/>
    <w:rsid w:val="2AB39A9A"/>
    <w:rsid w:val="2AB4E57B"/>
    <w:rsid w:val="2AB605C5"/>
    <w:rsid w:val="2AB67529"/>
    <w:rsid w:val="2AB6A7EC"/>
    <w:rsid w:val="2AB9E338"/>
    <w:rsid w:val="2ABCADA4"/>
    <w:rsid w:val="2ABD968E"/>
    <w:rsid w:val="2AC2A6CE"/>
    <w:rsid w:val="2AC716AA"/>
    <w:rsid w:val="2ACB1B0C"/>
    <w:rsid w:val="2ACB3DE5"/>
    <w:rsid w:val="2ACB826E"/>
    <w:rsid w:val="2ACC02BF"/>
    <w:rsid w:val="2ACC2E0E"/>
    <w:rsid w:val="2ACC44BE"/>
    <w:rsid w:val="2ACD864F"/>
    <w:rsid w:val="2ACEE6A8"/>
    <w:rsid w:val="2AD1C34E"/>
    <w:rsid w:val="2AD21392"/>
    <w:rsid w:val="2AD72A29"/>
    <w:rsid w:val="2AD8ACAD"/>
    <w:rsid w:val="2AD9D297"/>
    <w:rsid w:val="2ADDC5FC"/>
    <w:rsid w:val="2AE078A7"/>
    <w:rsid w:val="2AE0E47B"/>
    <w:rsid w:val="2AE2EF4E"/>
    <w:rsid w:val="2AE6708B"/>
    <w:rsid w:val="2AE79C9B"/>
    <w:rsid w:val="2AE7BD30"/>
    <w:rsid w:val="2AE8591E"/>
    <w:rsid w:val="2AE90EDA"/>
    <w:rsid w:val="2AEA2D58"/>
    <w:rsid w:val="2AED2C4F"/>
    <w:rsid w:val="2AEF246A"/>
    <w:rsid w:val="2AF49B00"/>
    <w:rsid w:val="2AFA176E"/>
    <w:rsid w:val="2AFC8E44"/>
    <w:rsid w:val="2AFD77E3"/>
    <w:rsid w:val="2AFDFC9F"/>
    <w:rsid w:val="2AFE58C1"/>
    <w:rsid w:val="2AFEBDFF"/>
    <w:rsid w:val="2AFFAB44"/>
    <w:rsid w:val="2B02A78A"/>
    <w:rsid w:val="2B05B23E"/>
    <w:rsid w:val="2B0A3A73"/>
    <w:rsid w:val="2B0A59EB"/>
    <w:rsid w:val="2B0D9D80"/>
    <w:rsid w:val="2B10D3E5"/>
    <w:rsid w:val="2B10E69B"/>
    <w:rsid w:val="2B112818"/>
    <w:rsid w:val="2B15C15F"/>
    <w:rsid w:val="2B15FC48"/>
    <w:rsid w:val="2B16EB17"/>
    <w:rsid w:val="2B1751D4"/>
    <w:rsid w:val="2B17AF96"/>
    <w:rsid w:val="2B17C3A5"/>
    <w:rsid w:val="2B18E56D"/>
    <w:rsid w:val="2B1A276E"/>
    <w:rsid w:val="2B1A856D"/>
    <w:rsid w:val="2B1A86D3"/>
    <w:rsid w:val="2B1A9FA7"/>
    <w:rsid w:val="2B1AC8E1"/>
    <w:rsid w:val="2B1B0FA9"/>
    <w:rsid w:val="2B2222AF"/>
    <w:rsid w:val="2B2234CC"/>
    <w:rsid w:val="2B24D4FB"/>
    <w:rsid w:val="2B256018"/>
    <w:rsid w:val="2B261957"/>
    <w:rsid w:val="2B267DFB"/>
    <w:rsid w:val="2B29AA7F"/>
    <w:rsid w:val="2B2B3E67"/>
    <w:rsid w:val="2B2D58E0"/>
    <w:rsid w:val="2B304705"/>
    <w:rsid w:val="2B3203CC"/>
    <w:rsid w:val="2B37ECB7"/>
    <w:rsid w:val="2B3862E7"/>
    <w:rsid w:val="2B3A411C"/>
    <w:rsid w:val="2B3A7DFA"/>
    <w:rsid w:val="2B3DFA4D"/>
    <w:rsid w:val="2B3E2D50"/>
    <w:rsid w:val="2B3F0055"/>
    <w:rsid w:val="2B3F85AD"/>
    <w:rsid w:val="2B413D64"/>
    <w:rsid w:val="2B41DA93"/>
    <w:rsid w:val="2B4608AE"/>
    <w:rsid w:val="2B47B9D3"/>
    <w:rsid w:val="2B4B33E2"/>
    <w:rsid w:val="2B4B4410"/>
    <w:rsid w:val="2B4FC99B"/>
    <w:rsid w:val="2B51D993"/>
    <w:rsid w:val="2B524E17"/>
    <w:rsid w:val="2B532B2A"/>
    <w:rsid w:val="2B571CF9"/>
    <w:rsid w:val="2B5E8944"/>
    <w:rsid w:val="2B5FEB9B"/>
    <w:rsid w:val="2B60FB24"/>
    <w:rsid w:val="2B65DD99"/>
    <w:rsid w:val="2B6AF339"/>
    <w:rsid w:val="2B6B45A7"/>
    <w:rsid w:val="2B6B5CC1"/>
    <w:rsid w:val="2B6DCF11"/>
    <w:rsid w:val="2B6ECA8C"/>
    <w:rsid w:val="2B6F3475"/>
    <w:rsid w:val="2B701BC2"/>
    <w:rsid w:val="2B71EE69"/>
    <w:rsid w:val="2B740955"/>
    <w:rsid w:val="2B7A0291"/>
    <w:rsid w:val="2B7A2AB9"/>
    <w:rsid w:val="2B7BB655"/>
    <w:rsid w:val="2B7D01F0"/>
    <w:rsid w:val="2B800E45"/>
    <w:rsid w:val="2B80D801"/>
    <w:rsid w:val="2B8129CB"/>
    <w:rsid w:val="2B817242"/>
    <w:rsid w:val="2B8190A7"/>
    <w:rsid w:val="2B82495E"/>
    <w:rsid w:val="2B8388E8"/>
    <w:rsid w:val="2B88179E"/>
    <w:rsid w:val="2B88BEC8"/>
    <w:rsid w:val="2B893F81"/>
    <w:rsid w:val="2B89563D"/>
    <w:rsid w:val="2B8AF849"/>
    <w:rsid w:val="2B8B860C"/>
    <w:rsid w:val="2B8C4100"/>
    <w:rsid w:val="2B8D48BE"/>
    <w:rsid w:val="2B8F4BED"/>
    <w:rsid w:val="2B960246"/>
    <w:rsid w:val="2B9698CB"/>
    <w:rsid w:val="2B9722CE"/>
    <w:rsid w:val="2B97EFEC"/>
    <w:rsid w:val="2B9B7D66"/>
    <w:rsid w:val="2B9C1554"/>
    <w:rsid w:val="2BA112CB"/>
    <w:rsid w:val="2BA38FCF"/>
    <w:rsid w:val="2BA8843A"/>
    <w:rsid w:val="2BA8B225"/>
    <w:rsid w:val="2BA90A5F"/>
    <w:rsid w:val="2BA9E8CA"/>
    <w:rsid w:val="2BAC1AE9"/>
    <w:rsid w:val="2BADC240"/>
    <w:rsid w:val="2BB0FEAC"/>
    <w:rsid w:val="2BB15882"/>
    <w:rsid w:val="2BB2469D"/>
    <w:rsid w:val="2BB5BC6C"/>
    <w:rsid w:val="2BB6D55F"/>
    <w:rsid w:val="2BB6ED0C"/>
    <w:rsid w:val="2BBAD339"/>
    <w:rsid w:val="2BBBDF72"/>
    <w:rsid w:val="2BBC71A8"/>
    <w:rsid w:val="2BBFD126"/>
    <w:rsid w:val="2BBFF8AD"/>
    <w:rsid w:val="2BC90249"/>
    <w:rsid w:val="2BCA53CC"/>
    <w:rsid w:val="2BCAD05F"/>
    <w:rsid w:val="2BCDFE94"/>
    <w:rsid w:val="2BCE9A33"/>
    <w:rsid w:val="2BD4A4B7"/>
    <w:rsid w:val="2BD64BCF"/>
    <w:rsid w:val="2BD95799"/>
    <w:rsid w:val="2BDDF029"/>
    <w:rsid w:val="2BE24E0A"/>
    <w:rsid w:val="2BE44B62"/>
    <w:rsid w:val="2BE83B6B"/>
    <w:rsid w:val="2BE94A95"/>
    <w:rsid w:val="2BEB6298"/>
    <w:rsid w:val="2BEC3336"/>
    <w:rsid w:val="2BEE5682"/>
    <w:rsid w:val="2BF324D8"/>
    <w:rsid w:val="2BF4A40F"/>
    <w:rsid w:val="2BF62EA2"/>
    <w:rsid w:val="2BF99CF9"/>
    <w:rsid w:val="2BFCD270"/>
    <w:rsid w:val="2BFD5131"/>
    <w:rsid w:val="2BFE88D5"/>
    <w:rsid w:val="2BFE9A66"/>
    <w:rsid w:val="2C00DBC0"/>
    <w:rsid w:val="2C02ABFD"/>
    <w:rsid w:val="2C0383D8"/>
    <w:rsid w:val="2C05ACEA"/>
    <w:rsid w:val="2C071428"/>
    <w:rsid w:val="2C08E5A9"/>
    <w:rsid w:val="2C0C3F55"/>
    <w:rsid w:val="2C0C7039"/>
    <w:rsid w:val="2C0E706D"/>
    <w:rsid w:val="2C0EE8DC"/>
    <w:rsid w:val="2C0F5367"/>
    <w:rsid w:val="2C16306D"/>
    <w:rsid w:val="2C18FA0C"/>
    <w:rsid w:val="2C1A71AA"/>
    <w:rsid w:val="2C205908"/>
    <w:rsid w:val="2C216C6A"/>
    <w:rsid w:val="2C2286D4"/>
    <w:rsid w:val="2C26CDBB"/>
    <w:rsid w:val="2C28D4D9"/>
    <w:rsid w:val="2C296FFE"/>
    <w:rsid w:val="2C2B60B2"/>
    <w:rsid w:val="2C2DBE33"/>
    <w:rsid w:val="2C2F5D2B"/>
    <w:rsid w:val="2C309BA9"/>
    <w:rsid w:val="2C30DDFB"/>
    <w:rsid w:val="2C34CC27"/>
    <w:rsid w:val="2C35B935"/>
    <w:rsid w:val="2C37EA41"/>
    <w:rsid w:val="2C384CE0"/>
    <w:rsid w:val="2C3A3F4F"/>
    <w:rsid w:val="2C3B73C7"/>
    <w:rsid w:val="2C3FEC4A"/>
    <w:rsid w:val="2C4061AF"/>
    <w:rsid w:val="2C4075C8"/>
    <w:rsid w:val="2C40782F"/>
    <w:rsid w:val="2C430D7E"/>
    <w:rsid w:val="2C4528DB"/>
    <w:rsid w:val="2C465BF3"/>
    <w:rsid w:val="2C487348"/>
    <w:rsid w:val="2C4CEB8F"/>
    <w:rsid w:val="2C4E194A"/>
    <w:rsid w:val="2C4E4E6F"/>
    <w:rsid w:val="2C4EC8BE"/>
    <w:rsid w:val="2C5111C1"/>
    <w:rsid w:val="2C51736E"/>
    <w:rsid w:val="2C54A5FD"/>
    <w:rsid w:val="2C54ADF4"/>
    <w:rsid w:val="2C55BD4A"/>
    <w:rsid w:val="2C59074D"/>
    <w:rsid w:val="2C59972B"/>
    <w:rsid w:val="2C5BC19B"/>
    <w:rsid w:val="2C5C3C5B"/>
    <w:rsid w:val="2C5CC73F"/>
    <w:rsid w:val="2C613035"/>
    <w:rsid w:val="2C613303"/>
    <w:rsid w:val="2C619357"/>
    <w:rsid w:val="2C62D073"/>
    <w:rsid w:val="2C651ECB"/>
    <w:rsid w:val="2C653B45"/>
    <w:rsid w:val="2C665C2F"/>
    <w:rsid w:val="2C6689DB"/>
    <w:rsid w:val="2C6867E9"/>
    <w:rsid w:val="2C6DDF6B"/>
    <w:rsid w:val="2C6F939D"/>
    <w:rsid w:val="2C702598"/>
    <w:rsid w:val="2C71A75E"/>
    <w:rsid w:val="2C75CBB2"/>
    <w:rsid w:val="2C778B34"/>
    <w:rsid w:val="2C788AEB"/>
    <w:rsid w:val="2C791BBE"/>
    <w:rsid w:val="2C79AD96"/>
    <w:rsid w:val="2C7B1206"/>
    <w:rsid w:val="2C7F7E48"/>
    <w:rsid w:val="2C801058"/>
    <w:rsid w:val="2C829506"/>
    <w:rsid w:val="2C8437F3"/>
    <w:rsid w:val="2C87B096"/>
    <w:rsid w:val="2C87BE74"/>
    <w:rsid w:val="2C88A958"/>
    <w:rsid w:val="2C88F6EC"/>
    <w:rsid w:val="2C8A3BDE"/>
    <w:rsid w:val="2C8A9F0E"/>
    <w:rsid w:val="2C8BFB54"/>
    <w:rsid w:val="2C8C3885"/>
    <w:rsid w:val="2C8C89A4"/>
    <w:rsid w:val="2C8E3399"/>
    <w:rsid w:val="2C8F2BE1"/>
    <w:rsid w:val="2C8FFC1E"/>
    <w:rsid w:val="2C90C53C"/>
    <w:rsid w:val="2C958AFF"/>
    <w:rsid w:val="2C95FCAE"/>
    <w:rsid w:val="2C969861"/>
    <w:rsid w:val="2C9A77C2"/>
    <w:rsid w:val="2C9BDD2C"/>
    <w:rsid w:val="2C9C8A0B"/>
    <w:rsid w:val="2CA2C0E8"/>
    <w:rsid w:val="2CA2CF17"/>
    <w:rsid w:val="2CA6DA4F"/>
    <w:rsid w:val="2CA7FCAA"/>
    <w:rsid w:val="2CA8CDEF"/>
    <w:rsid w:val="2CA917AC"/>
    <w:rsid w:val="2CA92F40"/>
    <w:rsid w:val="2CAFEE07"/>
    <w:rsid w:val="2CB8AFC5"/>
    <w:rsid w:val="2CB90011"/>
    <w:rsid w:val="2CB9955D"/>
    <w:rsid w:val="2CBAD4D7"/>
    <w:rsid w:val="2CBBB1E4"/>
    <w:rsid w:val="2CC05957"/>
    <w:rsid w:val="2CC1D71D"/>
    <w:rsid w:val="2CC25053"/>
    <w:rsid w:val="2CC833D0"/>
    <w:rsid w:val="2CCBC195"/>
    <w:rsid w:val="2CCBD5FA"/>
    <w:rsid w:val="2CCCA33A"/>
    <w:rsid w:val="2CCE5055"/>
    <w:rsid w:val="2CCF4521"/>
    <w:rsid w:val="2CD3D058"/>
    <w:rsid w:val="2CD75B1C"/>
    <w:rsid w:val="2CD852D6"/>
    <w:rsid w:val="2CD8F169"/>
    <w:rsid w:val="2CDA3340"/>
    <w:rsid w:val="2CDAC5DE"/>
    <w:rsid w:val="2CDB696D"/>
    <w:rsid w:val="2CDCA675"/>
    <w:rsid w:val="2CDD233C"/>
    <w:rsid w:val="2CE12C4C"/>
    <w:rsid w:val="2CE12CA6"/>
    <w:rsid w:val="2CE18388"/>
    <w:rsid w:val="2CE71471"/>
    <w:rsid w:val="2CE77FA9"/>
    <w:rsid w:val="2CE973CC"/>
    <w:rsid w:val="2CEA4C02"/>
    <w:rsid w:val="2CEC5970"/>
    <w:rsid w:val="2CEDCE45"/>
    <w:rsid w:val="2CEEAD0F"/>
    <w:rsid w:val="2CF175D3"/>
    <w:rsid w:val="2CF1883B"/>
    <w:rsid w:val="2CF2F599"/>
    <w:rsid w:val="2CF967B4"/>
    <w:rsid w:val="2CF9DFB8"/>
    <w:rsid w:val="2CFA2E4C"/>
    <w:rsid w:val="2CFB8D83"/>
    <w:rsid w:val="2CFC1B69"/>
    <w:rsid w:val="2CFC529B"/>
    <w:rsid w:val="2CFCD90F"/>
    <w:rsid w:val="2D01D176"/>
    <w:rsid w:val="2D037578"/>
    <w:rsid w:val="2D04C148"/>
    <w:rsid w:val="2D05984D"/>
    <w:rsid w:val="2D060C5C"/>
    <w:rsid w:val="2D07DC99"/>
    <w:rsid w:val="2D081957"/>
    <w:rsid w:val="2D10ADE3"/>
    <w:rsid w:val="2D11BEA0"/>
    <w:rsid w:val="2D129D64"/>
    <w:rsid w:val="2D161EE4"/>
    <w:rsid w:val="2D17CA1F"/>
    <w:rsid w:val="2D188B81"/>
    <w:rsid w:val="2D19D80D"/>
    <w:rsid w:val="2D1A233E"/>
    <w:rsid w:val="2D1BC41C"/>
    <w:rsid w:val="2D1C58AA"/>
    <w:rsid w:val="2D1EE36F"/>
    <w:rsid w:val="2D203F3A"/>
    <w:rsid w:val="2D2431CD"/>
    <w:rsid w:val="2D249668"/>
    <w:rsid w:val="2D2497D2"/>
    <w:rsid w:val="2D25269E"/>
    <w:rsid w:val="2D2547FD"/>
    <w:rsid w:val="2D2563BC"/>
    <w:rsid w:val="2D263C7B"/>
    <w:rsid w:val="2D26A1AA"/>
    <w:rsid w:val="2D2A5D9E"/>
    <w:rsid w:val="2D2AB5DD"/>
    <w:rsid w:val="2D2AC4AB"/>
    <w:rsid w:val="2D2B450D"/>
    <w:rsid w:val="2D2B6965"/>
    <w:rsid w:val="2D2C59F3"/>
    <w:rsid w:val="2D2DE5B4"/>
    <w:rsid w:val="2D2E1401"/>
    <w:rsid w:val="2D338196"/>
    <w:rsid w:val="2D349883"/>
    <w:rsid w:val="2D3A26A4"/>
    <w:rsid w:val="2D3DFADE"/>
    <w:rsid w:val="2D3EC9DD"/>
    <w:rsid w:val="2D407B88"/>
    <w:rsid w:val="2D411D6B"/>
    <w:rsid w:val="2D420CA0"/>
    <w:rsid w:val="2D430F42"/>
    <w:rsid w:val="2D438659"/>
    <w:rsid w:val="2D439B26"/>
    <w:rsid w:val="2D46E93E"/>
    <w:rsid w:val="2D47CA77"/>
    <w:rsid w:val="2D4B575B"/>
    <w:rsid w:val="2D4EF965"/>
    <w:rsid w:val="2D4F5021"/>
    <w:rsid w:val="2D50207E"/>
    <w:rsid w:val="2D5443D8"/>
    <w:rsid w:val="2D557D3A"/>
    <w:rsid w:val="2D55A6EC"/>
    <w:rsid w:val="2D5D1CF7"/>
    <w:rsid w:val="2D5D7A85"/>
    <w:rsid w:val="2D5DD1DE"/>
    <w:rsid w:val="2D60FC5D"/>
    <w:rsid w:val="2D61C8F2"/>
    <w:rsid w:val="2D620259"/>
    <w:rsid w:val="2D65C339"/>
    <w:rsid w:val="2D65E098"/>
    <w:rsid w:val="2D6631B2"/>
    <w:rsid w:val="2D66BD0D"/>
    <w:rsid w:val="2D68F6ED"/>
    <w:rsid w:val="2D69EAC2"/>
    <w:rsid w:val="2D6A0A9B"/>
    <w:rsid w:val="2D6ABD29"/>
    <w:rsid w:val="2D6DA083"/>
    <w:rsid w:val="2D6E1D5D"/>
    <w:rsid w:val="2D6EC183"/>
    <w:rsid w:val="2D6F41B2"/>
    <w:rsid w:val="2D707F11"/>
    <w:rsid w:val="2D7418C7"/>
    <w:rsid w:val="2D76FF00"/>
    <w:rsid w:val="2D776262"/>
    <w:rsid w:val="2D7A3779"/>
    <w:rsid w:val="2D7B329C"/>
    <w:rsid w:val="2D7F0A0E"/>
    <w:rsid w:val="2D894241"/>
    <w:rsid w:val="2D89BBC7"/>
    <w:rsid w:val="2D8B507C"/>
    <w:rsid w:val="2D8B9A28"/>
    <w:rsid w:val="2D8E5511"/>
    <w:rsid w:val="2D8E6022"/>
    <w:rsid w:val="2D914479"/>
    <w:rsid w:val="2D94425D"/>
    <w:rsid w:val="2D972396"/>
    <w:rsid w:val="2D972DF7"/>
    <w:rsid w:val="2D996F71"/>
    <w:rsid w:val="2D9B3FAD"/>
    <w:rsid w:val="2D9FD4AE"/>
    <w:rsid w:val="2DA18921"/>
    <w:rsid w:val="2DA4F608"/>
    <w:rsid w:val="2DA652A2"/>
    <w:rsid w:val="2DA90E21"/>
    <w:rsid w:val="2DAA625E"/>
    <w:rsid w:val="2DAA7C48"/>
    <w:rsid w:val="2DADC020"/>
    <w:rsid w:val="2DAE1DC6"/>
    <w:rsid w:val="2DB0AADE"/>
    <w:rsid w:val="2DB419C9"/>
    <w:rsid w:val="2DB4CFB5"/>
    <w:rsid w:val="2DB6B254"/>
    <w:rsid w:val="2DB6B45D"/>
    <w:rsid w:val="2DBC3969"/>
    <w:rsid w:val="2DBF4463"/>
    <w:rsid w:val="2DC0A68F"/>
    <w:rsid w:val="2DC2FCCE"/>
    <w:rsid w:val="2DC35C7C"/>
    <w:rsid w:val="2DC3968E"/>
    <w:rsid w:val="2DC4DC15"/>
    <w:rsid w:val="2DCA10A4"/>
    <w:rsid w:val="2DCA5772"/>
    <w:rsid w:val="2DCCC7DB"/>
    <w:rsid w:val="2DD14FB4"/>
    <w:rsid w:val="2DD4E397"/>
    <w:rsid w:val="2DD53D9C"/>
    <w:rsid w:val="2DDA86F7"/>
    <w:rsid w:val="2DDE57CE"/>
    <w:rsid w:val="2DE07491"/>
    <w:rsid w:val="2DE16C8B"/>
    <w:rsid w:val="2DE18676"/>
    <w:rsid w:val="2DE24CB7"/>
    <w:rsid w:val="2DE46B6B"/>
    <w:rsid w:val="2DE5DD05"/>
    <w:rsid w:val="2DE8C1FA"/>
    <w:rsid w:val="2DEB43E0"/>
    <w:rsid w:val="2DEBC9FB"/>
    <w:rsid w:val="2DF112DE"/>
    <w:rsid w:val="2DF2693B"/>
    <w:rsid w:val="2DF5C252"/>
    <w:rsid w:val="2DF77CF8"/>
    <w:rsid w:val="2DFC6E8F"/>
    <w:rsid w:val="2DFC93E8"/>
    <w:rsid w:val="2DFEE5D8"/>
    <w:rsid w:val="2DFF1298"/>
    <w:rsid w:val="2E027E72"/>
    <w:rsid w:val="2E0726B0"/>
    <w:rsid w:val="2E075E8D"/>
    <w:rsid w:val="2E091718"/>
    <w:rsid w:val="2E091C76"/>
    <w:rsid w:val="2E094012"/>
    <w:rsid w:val="2E0B6219"/>
    <w:rsid w:val="2E0BBD67"/>
    <w:rsid w:val="2E0E2B0B"/>
    <w:rsid w:val="2E104D6F"/>
    <w:rsid w:val="2E1194BA"/>
    <w:rsid w:val="2E13B6FF"/>
    <w:rsid w:val="2E16B5E3"/>
    <w:rsid w:val="2E181126"/>
    <w:rsid w:val="2E1A6B14"/>
    <w:rsid w:val="2E1AF549"/>
    <w:rsid w:val="2E1D8C59"/>
    <w:rsid w:val="2E1F30C3"/>
    <w:rsid w:val="2E1F55C9"/>
    <w:rsid w:val="2E1F5DF2"/>
    <w:rsid w:val="2E1FCA07"/>
    <w:rsid w:val="2E208094"/>
    <w:rsid w:val="2E20A804"/>
    <w:rsid w:val="2E2216CD"/>
    <w:rsid w:val="2E2BBEF7"/>
    <w:rsid w:val="2E2CC047"/>
    <w:rsid w:val="2E30C06E"/>
    <w:rsid w:val="2E313DE4"/>
    <w:rsid w:val="2E372DED"/>
    <w:rsid w:val="2E3A2669"/>
    <w:rsid w:val="2E3E71FE"/>
    <w:rsid w:val="2E469585"/>
    <w:rsid w:val="2E47B7BE"/>
    <w:rsid w:val="2E4857DB"/>
    <w:rsid w:val="2E4C7065"/>
    <w:rsid w:val="2E4EF953"/>
    <w:rsid w:val="2E52CB86"/>
    <w:rsid w:val="2E5B607C"/>
    <w:rsid w:val="2E61047F"/>
    <w:rsid w:val="2E64C1C2"/>
    <w:rsid w:val="2E66742D"/>
    <w:rsid w:val="2E688B16"/>
    <w:rsid w:val="2E68C9ED"/>
    <w:rsid w:val="2E6C81D7"/>
    <w:rsid w:val="2E6FA9D5"/>
    <w:rsid w:val="2E6FD483"/>
    <w:rsid w:val="2E7046E6"/>
    <w:rsid w:val="2E70930D"/>
    <w:rsid w:val="2E733101"/>
    <w:rsid w:val="2E7350B7"/>
    <w:rsid w:val="2E75049F"/>
    <w:rsid w:val="2E76DD47"/>
    <w:rsid w:val="2E778616"/>
    <w:rsid w:val="2E77DFA7"/>
    <w:rsid w:val="2E7893C6"/>
    <w:rsid w:val="2E7958FA"/>
    <w:rsid w:val="2E7AE10E"/>
    <w:rsid w:val="2E7C8B14"/>
    <w:rsid w:val="2E7D82A1"/>
    <w:rsid w:val="2E7DD0BC"/>
    <w:rsid w:val="2E7E3B27"/>
    <w:rsid w:val="2E7E70D8"/>
    <w:rsid w:val="2E7F9920"/>
    <w:rsid w:val="2E80A0D0"/>
    <w:rsid w:val="2E80D811"/>
    <w:rsid w:val="2E813DE2"/>
    <w:rsid w:val="2E821C7E"/>
    <w:rsid w:val="2E8931CA"/>
    <w:rsid w:val="2E8A7811"/>
    <w:rsid w:val="2E8D2DC4"/>
    <w:rsid w:val="2E8D58E3"/>
    <w:rsid w:val="2E8E1AFF"/>
    <w:rsid w:val="2E92C06F"/>
    <w:rsid w:val="2E9442BD"/>
    <w:rsid w:val="2E94F33B"/>
    <w:rsid w:val="2E98BA7D"/>
    <w:rsid w:val="2E99581B"/>
    <w:rsid w:val="2E9B3BB0"/>
    <w:rsid w:val="2EA17EB7"/>
    <w:rsid w:val="2EA2904B"/>
    <w:rsid w:val="2EA36C00"/>
    <w:rsid w:val="2EA3C619"/>
    <w:rsid w:val="2EA47310"/>
    <w:rsid w:val="2EA4FF97"/>
    <w:rsid w:val="2EA5BEBE"/>
    <w:rsid w:val="2EA92255"/>
    <w:rsid w:val="2EAB5290"/>
    <w:rsid w:val="2EAC87EA"/>
    <w:rsid w:val="2EACD435"/>
    <w:rsid w:val="2EB17016"/>
    <w:rsid w:val="2EB1F7F2"/>
    <w:rsid w:val="2EB500C8"/>
    <w:rsid w:val="2EB82E6E"/>
    <w:rsid w:val="2EB99F92"/>
    <w:rsid w:val="2EBC28DD"/>
    <w:rsid w:val="2EC0F6FF"/>
    <w:rsid w:val="2EC0F89D"/>
    <w:rsid w:val="2EC1334A"/>
    <w:rsid w:val="2EC270B5"/>
    <w:rsid w:val="2EC4C315"/>
    <w:rsid w:val="2EC71BDD"/>
    <w:rsid w:val="2EC989DD"/>
    <w:rsid w:val="2ECAED4B"/>
    <w:rsid w:val="2ECC2973"/>
    <w:rsid w:val="2ECD4730"/>
    <w:rsid w:val="2ECF57AC"/>
    <w:rsid w:val="2ED1E017"/>
    <w:rsid w:val="2ED1FAA2"/>
    <w:rsid w:val="2ED38D7A"/>
    <w:rsid w:val="2ED3FACB"/>
    <w:rsid w:val="2ED4C552"/>
    <w:rsid w:val="2ED88E98"/>
    <w:rsid w:val="2ED8B505"/>
    <w:rsid w:val="2ED8CDB5"/>
    <w:rsid w:val="2ED984FD"/>
    <w:rsid w:val="2EDBA2A3"/>
    <w:rsid w:val="2EDD2952"/>
    <w:rsid w:val="2EDD4F73"/>
    <w:rsid w:val="2EDEDB85"/>
    <w:rsid w:val="2EDF45C2"/>
    <w:rsid w:val="2EE339F2"/>
    <w:rsid w:val="2EE400A7"/>
    <w:rsid w:val="2EE53BBD"/>
    <w:rsid w:val="2EE8BAB1"/>
    <w:rsid w:val="2EE8E17F"/>
    <w:rsid w:val="2EEA1445"/>
    <w:rsid w:val="2EED18C2"/>
    <w:rsid w:val="2EED7C3C"/>
    <w:rsid w:val="2EED902B"/>
    <w:rsid w:val="2EEDEBE1"/>
    <w:rsid w:val="2EEF1279"/>
    <w:rsid w:val="2EF04337"/>
    <w:rsid w:val="2EF27DF3"/>
    <w:rsid w:val="2EF2AD0D"/>
    <w:rsid w:val="2EF3AA53"/>
    <w:rsid w:val="2EF6FC5B"/>
    <w:rsid w:val="2EFB9872"/>
    <w:rsid w:val="2EFC5AD5"/>
    <w:rsid w:val="2EFCDEBE"/>
    <w:rsid w:val="2EFD0BD8"/>
    <w:rsid w:val="2EFD1B3D"/>
    <w:rsid w:val="2EFF306C"/>
    <w:rsid w:val="2F01CEE0"/>
    <w:rsid w:val="2F044650"/>
    <w:rsid w:val="2F061CCC"/>
    <w:rsid w:val="2F082AFD"/>
    <w:rsid w:val="2F084804"/>
    <w:rsid w:val="2F09EEED"/>
    <w:rsid w:val="2F0D7B08"/>
    <w:rsid w:val="2F0DF75C"/>
    <w:rsid w:val="2F145BB1"/>
    <w:rsid w:val="2F1747F8"/>
    <w:rsid w:val="2F19756F"/>
    <w:rsid w:val="2F1B3A8C"/>
    <w:rsid w:val="2F1F068E"/>
    <w:rsid w:val="2F1F7EB0"/>
    <w:rsid w:val="2F20AC24"/>
    <w:rsid w:val="2F249422"/>
    <w:rsid w:val="2F26B409"/>
    <w:rsid w:val="2F276DAF"/>
    <w:rsid w:val="2F2BF1DA"/>
    <w:rsid w:val="2F2D3DC9"/>
    <w:rsid w:val="2F2DB51A"/>
    <w:rsid w:val="2F2F5663"/>
    <w:rsid w:val="2F2F6AF0"/>
    <w:rsid w:val="2F2FB356"/>
    <w:rsid w:val="2F316C29"/>
    <w:rsid w:val="2F334BE1"/>
    <w:rsid w:val="2F3361DF"/>
    <w:rsid w:val="2F33891A"/>
    <w:rsid w:val="2F347ECC"/>
    <w:rsid w:val="2F3A5370"/>
    <w:rsid w:val="2F3A9187"/>
    <w:rsid w:val="2F3A94B3"/>
    <w:rsid w:val="2F3AB876"/>
    <w:rsid w:val="2F3CC3FC"/>
    <w:rsid w:val="2F3E8F13"/>
    <w:rsid w:val="2F45B09C"/>
    <w:rsid w:val="2F46744D"/>
    <w:rsid w:val="2F4B6B37"/>
    <w:rsid w:val="2F4C1A21"/>
    <w:rsid w:val="2F4D38E3"/>
    <w:rsid w:val="2F4F5660"/>
    <w:rsid w:val="2F563966"/>
    <w:rsid w:val="2F57B977"/>
    <w:rsid w:val="2F57D226"/>
    <w:rsid w:val="2F5C591A"/>
    <w:rsid w:val="2F5CECEC"/>
    <w:rsid w:val="2F5E1B59"/>
    <w:rsid w:val="2F5FD2C7"/>
    <w:rsid w:val="2F653226"/>
    <w:rsid w:val="2F657063"/>
    <w:rsid w:val="2F6792F2"/>
    <w:rsid w:val="2F6CB8F2"/>
    <w:rsid w:val="2F6FD4A6"/>
    <w:rsid w:val="2F76567C"/>
    <w:rsid w:val="2F792872"/>
    <w:rsid w:val="2F803F37"/>
    <w:rsid w:val="2F8258F9"/>
    <w:rsid w:val="2F83530C"/>
    <w:rsid w:val="2F83ABEC"/>
    <w:rsid w:val="2F871A17"/>
    <w:rsid w:val="2F873D8C"/>
    <w:rsid w:val="2F88A343"/>
    <w:rsid w:val="2F88A965"/>
    <w:rsid w:val="2F896943"/>
    <w:rsid w:val="2F8BEE02"/>
    <w:rsid w:val="2F8C7A55"/>
    <w:rsid w:val="2F8EF88C"/>
    <w:rsid w:val="2F8EFD0C"/>
    <w:rsid w:val="2F8F6419"/>
    <w:rsid w:val="2F8FC41E"/>
    <w:rsid w:val="2F91755C"/>
    <w:rsid w:val="2F92D44E"/>
    <w:rsid w:val="2F934D59"/>
    <w:rsid w:val="2F937A89"/>
    <w:rsid w:val="2F9661F5"/>
    <w:rsid w:val="2F96BB99"/>
    <w:rsid w:val="2F976D1E"/>
    <w:rsid w:val="2F98B25C"/>
    <w:rsid w:val="2F9D3CDA"/>
    <w:rsid w:val="2FA0C5BE"/>
    <w:rsid w:val="2FA0C60A"/>
    <w:rsid w:val="2FA34402"/>
    <w:rsid w:val="2FA3B64F"/>
    <w:rsid w:val="2FA79463"/>
    <w:rsid w:val="2FAA5539"/>
    <w:rsid w:val="2FAD94D0"/>
    <w:rsid w:val="2FAE656C"/>
    <w:rsid w:val="2FAFE4FF"/>
    <w:rsid w:val="2FB1CC37"/>
    <w:rsid w:val="2FB7B09B"/>
    <w:rsid w:val="2FB7D4B4"/>
    <w:rsid w:val="2FB8741E"/>
    <w:rsid w:val="2FBA8418"/>
    <w:rsid w:val="2FBAB302"/>
    <w:rsid w:val="2FC0A8A1"/>
    <w:rsid w:val="2FC387EE"/>
    <w:rsid w:val="2FC57E14"/>
    <w:rsid w:val="2FC5BD95"/>
    <w:rsid w:val="2FC9318C"/>
    <w:rsid w:val="2FCEF2D2"/>
    <w:rsid w:val="2FCFE8FC"/>
    <w:rsid w:val="2FCFFB78"/>
    <w:rsid w:val="2FD05705"/>
    <w:rsid w:val="2FD227C0"/>
    <w:rsid w:val="2FD23F1F"/>
    <w:rsid w:val="2FD25CB2"/>
    <w:rsid w:val="2FD27306"/>
    <w:rsid w:val="2FD41B5A"/>
    <w:rsid w:val="2FD48023"/>
    <w:rsid w:val="2FD50F4E"/>
    <w:rsid w:val="2FD5F281"/>
    <w:rsid w:val="2FD72A70"/>
    <w:rsid w:val="2FD806A2"/>
    <w:rsid w:val="2FDCDB5A"/>
    <w:rsid w:val="2FE21FB6"/>
    <w:rsid w:val="2FE316A7"/>
    <w:rsid w:val="2FE382A3"/>
    <w:rsid w:val="2FE58396"/>
    <w:rsid w:val="2FE5DEEE"/>
    <w:rsid w:val="2FE663DB"/>
    <w:rsid w:val="2FE699CC"/>
    <w:rsid w:val="2FE8C54B"/>
    <w:rsid w:val="2FE8CEE7"/>
    <w:rsid w:val="2FE9E8AD"/>
    <w:rsid w:val="2FE9F9D5"/>
    <w:rsid w:val="2FEAB81B"/>
    <w:rsid w:val="2FEB19F2"/>
    <w:rsid w:val="2FEBD75E"/>
    <w:rsid w:val="2FEE19ED"/>
    <w:rsid w:val="2FEE491C"/>
    <w:rsid w:val="2FEF6CD5"/>
    <w:rsid w:val="2FF2155F"/>
    <w:rsid w:val="2FF350B5"/>
    <w:rsid w:val="2FF41825"/>
    <w:rsid w:val="2FF4B005"/>
    <w:rsid w:val="2FF586BD"/>
    <w:rsid w:val="2FF70A10"/>
    <w:rsid w:val="2FF76275"/>
    <w:rsid w:val="2FF7CAF6"/>
    <w:rsid w:val="2FFA3929"/>
    <w:rsid w:val="2FFD782D"/>
    <w:rsid w:val="300015CD"/>
    <w:rsid w:val="3001A109"/>
    <w:rsid w:val="3002F398"/>
    <w:rsid w:val="300341FE"/>
    <w:rsid w:val="30035488"/>
    <w:rsid w:val="30043CCF"/>
    <w:rsid w:val="3004C847"/>
    <w:rsid w:val="300802EA"/>
    <w:rsid w:val="3008C418"/>
    <w:rsid w:val="300AE256"/>
    <w:rsid w:val="300B9DE0"/>
    <w:rsid w:val="300C4B86"/>
    <w:rsid w:val="30122345"/>
    <w:rsid w:val="301536D1"/>
    <w:rsid w:val="3016C61C"/>
    <w:rsid w:val="301CEF97"/>
    <w:rsid w:val="301D4196"/>
    <w:rsid w:val="3020B382"/>
    <w:rsid w:val="3020B869"/>
    <w:rsid w:val="30231F4B"/>
    <w:rsid w:val="30239545"/>
    <w:rsid w:val="3023AE51"/>
    <w:rsid w:val="30244C90"/>
    <w:rsid w:val="3027FD16"/>
    <w:rsid w:val="3029FE1B"/>
    <w:rsid w:val="302E4454"/>
    <w:rsid w:val="303066AC"/>
    <w:rsid w:val="3038CD5F"/>
    <w:rsid w:val="303911FC"/>
    <w:rsid w:val="303E76BA"/>
    <w:rsid w:val="303F2F9E"/>
    <w:rsid w:val="30416601"/>
    <w:rsid w:val="30418934"/>
    <w:rsid w:val="3046192A"/>
    <w:rsid w:val="304A5394"/>
    <w:rsid w:val="304B4322"/>
    <w:rsid w:val="304C88A8"/>
    <w:rsid w:val="304C8E8B"/>
    <w:rsid w:val="304CBE51"/>
    <w:rsid w:val="304D242C"/>
    <w:rsid w:val="304EEC54"/>
    <w:rsid w:val="304FAE56"/>
    <w:rsid w:val="30526E87"/>
    <w:rsid w:val="30527B74"/>
    <w:rsid w:val="3052D655"/>
    <w:rsid w:val="3055624A"/>
    <w:rsid w:val="30562FAE"/>
    <w:rsid w:val="30569DE1"/>
    <w:rsid w:val="3057CEA6"/>
    <w:rsid w:val="3057D8DE"/>
    <w:rsid w:val="305A0542"/>
    <w:rsid w:val="30618698"/>
    <w:rsid w:val="3061EFFE"/>
    <w:rsid w:val="30668664"/>
    <w:rsid w:val="30668FC8"/>
    <w:rsid w:val="306A3C98"/>
    <w:rsid w:val="306B90E8"/>
    <w:rsid w:val="306C0143"/>
    <w:rsid w:val="3076561D"/>
    <w:rsid w:val="3079C634"/>
    <w:rsid w:val="307B4035"/>
    <w:rsid w:val="307B4AA9"/>
    <w:rsid w:val="307D2CD0"/>
    <w:rsid w:val="307FE862"/>
    <w:rsid w:val="3080FCFB"/>
    <w:rsid w:val="30812A76"/>
    <w:rsid w:val="3082989C"/>
    <w:rsid w:val="30839BE0"/>
    <w:rsid w:val="3089278B"/>
    <w:rsid w:val="3089EEAD"/>
    <w:rsid w:val="308C69F6"/>
    <w:rsid w:val="308C952D"/>
    <w:rsid w:val="308D168E"/>
    <w:rsid w:val="309B3E80"/>
    <w:rsid w:val="309C9050"/>
    <w:rsid w:val="309DCF29"/>
    <w:rsid w:val="309E44B5"/>
    <w:rsid w:val="309F81D2"/>
    <w:rsid w:val="30A08C7D"/>
    <w:rsid w:val="30A3550A"/>
    <w:rsid w:val="30A45C15"/>
    <w:rsid w:val="30A7BAC2"/>
    <w:rsid w:val="30A7D1FA"/>
    <w:rsid w:val="30A80C65"/>
    <w:rsid w:val="30AB677F"/>
    <w:rsid w:val="30ABB2C1"/>
    <w:rsid w:val="30AC972C"/>
    <w:rsid w:val="30AC9890"/>
    <w:rsid w:val="30ADB856"/>
    <w:rsid w:val="30AECE15"/>
    <w:rsid w:val="30B32A99"/>
    <w:rsid w:val="30B3A5FD"/>
    <w:rsid w:val="30B56FE3"/>
    <w:rsid w:val="30B6677C"/>
    <w:rsid w:val="30B6D6A3"/>
    <w:rsid w:val="30B7B0BC"/>
    <w:rsid w:val="30BB7FCB"/>
    <w:rsid w:val="30BBEC39"/>
    <w:rsid w:val="30BCDAC0"/>
    <w:rsid w:val="30BD8C7E"/>
    <w:rsid w:val="30BD99B7"/>
    <w:rsid w:val="30C0D81F"/>
    <w:rsid w:val="30C257E9"/>
    <w:rsid w:val="30C2FBC1"/>
    <w:rsid w:val="30C3023A"/>
    <w:rsid w:val="30C410F0"/>
    <w:rsid w:val="30C64531"/>
    <w:rsid w:val="30C6F4BE"/>
    <w:rsid w:val="30C79041"/>
    <w:rsid w:val="30C97B5C"/>
    <w:rsid w:val="30CB8CD6"/>
    <w:rsid w:val="30CBD5C0"/>
    <w:rsid w:val="30CE7B62"/>
    <w:rsid w:val="30CF279C"/>
    <w:rsid w:val="30D1F0B3"/>
    <w:rsid w:val="30D226D1"/>
    <w:rsid w:val="30D2DD5A"/>
    <w:rsid w:val="30D40E40"/>
    <w:rsid w:val="30D7E6A0"/>
    <w:rsid w:val="30D9F5C7"/>
    <w:rsid w:val="30DBE9A2"/>
    <w:rsid w:val="30DC7CB7"/>
    <w:rsid w:val="30DD438B"/>
    <w:rsid w:val="30DEA24C"/>
    <w:rsid w:val="30E462AC"/>
    <w:rsid w:val="30E93477"/>
    <w:rsid w:val="30EC20E6"/>
    <w:rsid w:val="30EEC074"/>
    <w:rsid w:val="30F88B3A"/>
    <w:rsid w:val="30F9A0A2"/>
    <w:rsid w:val="30FB94E0"/>
    <w:rsid w:val="30FE4F5C"/>
    <w:rsid w:val="30FEF7F8"/>
    <w:rsid w:val="3100ED5A"/>
    <w:rsid w:val="3103055D"/>
    <w:rsid w:val="31046D58"/>
    <w:rsid w:val="310CD3CB"/>
    <w:rsid w:val="310D29A7"/>
    <w:rsid w:val="310E69DE"/>
    <w:rsid w:val="310EED10"/>
    <w:rsid w:val="310EFF35"/>
    <w:rsid w:val="310F195A"/>
    <w:rsid w:val="311005C2"/>
    <w:rsid w:val="3110875C"/>
    <w:rsid w:val="3113A08F"/>
    <w:rsid w:val="3114B96E"/>
    <w:rsid w:val="3115B863"/>
    <w:rsid w:val="3116E275"/>
    <w:rsid w:val="31182C9F"/>
    <w:rsid w:val="311AC1F1"/>
    <w:rsid w:val="311B8F60"/>
    <w:rsid w:val="311FA839"/>
    <w:rsid w:val="3120B1BB"/>
    <w:rsid w:val="31213FE5"/>
    <w:rsid w:val="31217A67"/>
    <w:rsid w:val="31234AA1"/>
    <w:rsid w:val="31240684"/>
    <w:rsid w:val="312514D5"/>
    <w:rsid w:val="31259B86"/>
    <w:rsid w:val="3126EFBB"/>
    <w:rsid w:val="3127A8C8"/>
    <w:rsid w:val="312A9C70"/>
    <w:rsid w:val="312DD5BD"/>
    <w:rsid w:val="3131C6BF"/>
    <w:rsid w:val="313EA68B"/>
    <w:rsid w:val="313EE74C"/>
    <w:rsid w:val="3140EE8D"/>
    <w:rsid w:val="31434643"/>
    <w:rsid w:val="314364C4"/>
    <w:rsid w:val="31441C9B"/>
    <w:rsid w:val="31447C92"/>
    <w:rsid w:val="3145A199"/>
    <w:rsid w:val="314661F7"/>
    <w:rsid w:val="31468544"/>
    <w:rsid w:val="314D5117"/>
    <w:rsid w:val="31504104"/>
    <w:rsid w:val="3150AC65"/>
    <w:rsid w:val="315164D9"/>
    <w:rsid w:val="3156F0CF"/>
    <w:rsid w:val="3157F89C"/>
    <w:rsid w:val="3158E37A"/>
    <w:rsid w:val="315FBDDF"/>
    <w:rsid w:val="31657EE7"/>
    <w:rsid w:val="3165C973"/>
    <w:rsid w:val="31674BCA"/>
    <w:rsid w:val="3168B05C"/>
    <w:rsid w:val="3169D6F8"/>
    <w:rsid w:val="317212E4"/>
    <w:rsid w:val="3177D141"/>
    <w:rsid w:val="3178B34E"/>
    <w:rsid w:val="317A4DEC"/>
    <w:rsid w:val="317D66F6"/>
    <w:rsid w:val="3180E864"/>
    <w:rsid w:val="31819B43"/>
    <w:rsid w:val="318240AF"/>
    <w:rsid w:val="3183236B"/>
    <w:rsid w:val="31879FE4"/>
    <w:rsid w:val="31885EF5"/>
    <w:rsid w:val="318A2BA4"/>
    <w:rsid w:val="318B550F"/>
    <w:rsid w:val="318F0BF9"/>
    <w:rsid w:val="318FEB21"/>
    <w:rsid w:val="31901477"/>
    <w:rsid w:val="3191571E"/>
    <w:rsid w:val="31939011"/>
    <w:rsid w:val="3194B125"/>
    <w:rsid w:val="31973921"/>
    <w:rsid w:val="31991E55"/>
    <w:rsid w:val="319A6587"/>
    <w:rsid w:val="319D7BC7"/>
    <w:rsid w:val="319EA54D"/>
    <w:rsid w:val="319F1F40"/>
    <w:rsid w:val="319F2CF2"/>
    <w:rsid w:val="31A00D30"/>
    <w:rsid w:val="31A1F928"/>
    <w:rsid w:val="31A32FFB"/>
    <w:rsid w:val="31A698DE"/>
    <w:rsid w:val="31AA6048"/>
    <w:rsid w:val="31ACAA57"/>
    <w:rsid w:val="31ACD053"/>
    <w:rsid w:val="31B34707"/>
    <w:rsid w:val="31B57037"/>
    <w:rsid w:val="31B73736"/>
    <w:rsid w:val="31B908EA"/>
    <w:rsid w:val="31B9E92B"/>
    <w:rsid w:val="31BB326C"/>
    <w:rsid w:val="31BF2264"/>
    <w:rsid w:val="31BF39F3"/>
    <w:rsid w:val="31BF8724"/>
    <w:rsid w:val="31BF9847"/>
    <w:rsid w:val="31C3D042"/>
    <w:rsid w:val="31C6069B"/>
    <w:rsid w:val="31C80D5D"/>
    <w:rsid w:val="31D3E719"/>
    <w:rsid w:val="31D5D1E6"/>
    <w:rsid w:val="31DBCED9"/>
    <w:rsid w:val="31DCBDDC"/>
    <w:rsid w:val="31DCC4DC"/>
    <w:rsid w:val="31E02302"/>
    <w:rsid w:val="31E4F726"/>
    <w:rsid w:val="31E86D35"/>
    <w:rsid w:val="31EA3838"/>
    <w:rsid w:val="31EB3C97"/>
    <w:rsid w:val="31EC787E"/>
    <w:rsid w:val="31ED211A"/>
    <w:rsid w:val="31EEB0B6"/>
    <w:rsid w:val="31F4DA0E"/>
    <w:rsid w:val="31F5B7F3"/>
    <w:rsid w:val="31FA0F4C"/>
    <w:rsid w:val="31FD102A"/>
    <w:rsid w:val="31FD850E"/>
    <w:rsid w:val="320612C0"/>
    <w:rsid w:val="32087579"/>
    <w:rsid w:val="3209152E"/>
    <w:rsid w:val="320CAEB1"/>
    <w:rsid w:val="320D9A6D"/>
    <w:rsid w:val="3217CE57"/>
    <w:rsid w:val="32184A91"/>
    <w:rsid w:val="321889AF"/>
    <w:rsid w:val="321CDED2"/>
    <w:rsid w:val="3220BCAD"/>
    <w:rsid w:val="3221DD55"/>
    <w:rsid w:val="3223D7BA"/>
    <w:rsid w:val="32264F67"/>
    <w:rsid w:val="3226E742"/>
    <w:rsid w:val="322706B8"/>
    <w:rsid w:val="322D67FA"/>
    <w:rsid w:val="322F82B8"/>
    <w:rsid w:val="322FD64E"/>
    <w:rsid w:val="3230C20D"/>
    <w:rsid w:val="3230DA03"/>
    <w:rsid w:val="32327CE2"/>
    <w:rsid w:val="32366DC2"/>
    <w:rsid w:val="3236D0B2"/>
    <w:rsid w:val="323AC0CA"/>
    <w:rsid w:val="323F4023"/>
    <w:rsid w:val="32409E07"/>
    <w:rsid w:val="32459BFE"/>
    <w:rsid w:val="324B4257"/>
    <w:rsid w:val="324C53B2"/>
    <w:rsid w:val="324E831E"/>
    <w:rsid w:val="324F6033"/>
    <w:rsid w:val="3253321D"/>
    <w:rsid w:val="3253861C"/>
    <w:rsid w:val="3255C221"/>
    <w:rsid w:val="3258BE14"/>
    <w:rsid w:val="32593555"/>
    <w:rsid w:val="325A2957"/>
    <w:rsid w:val="325BB690"/>
    <w:rsid w:val="325E5D0F"/>
    <w:rsid w:val="325ED782"/>
    <w:rsid w:val="325F5AD9"/>
    <w:rsid w:val="325FACB7"/>
    <w:rsid w:val="3260844B"/>
    <w:rsid w:val="3264DA0A"/>
    <w:rsid w:val="326578C9"/>
    <w:rsid w:val="326AD0DF"/>
    <w:rsid w:val="326C94C1"/>
    <w:rsid w:val="326E4824"/>
    <w:rsid w:val="326E5041"/>
    <w:rsid w:val="326E97F0"/>
    <w:rsid w:val="326EF805"/>
    <w:rsid w:val="326F4737"/>
    <w:rsid w:val="326FBD1D"/>
    <w:rsid w:val="32710459"/>
    <w:rsid w:val="32721F60"/>
    <w:rsid w:val="327320A4"/>
    <w:rsid w:val="3276771A"/>
    <w:rsid w:val="3277C98F"/>
    <w:rsid w:val="3279114D"/>
    <w:rsid w:val="327BCD3B"/>
    <w:rsid w:val="327D7F29"/>
    <w:rsid w:val="328543AA"/>
    <w:rsid w:val="32854E21"/>
    <w:rsid w:val="3285ACF9"/>
    <w:rsid w:val="3285FAB6"/>
    <w:rsid w:val="3288CEFF"/>
    <w:rsid w:val="32897BBD"/>
    <w:rsid w:val="328A4ADB"/>
    <w:rsid w:val="328C81A6"/>
    <w:rsid w:val="328CA8C3"/>
    <w:rsid w:val="328D6E9A"/>
    <w:rsid w:val="328E16CB"/>
    <w:rsid w:val="3290283C"/>
    <w:rsid w:val="3290692B"/>
    <w:rsid w:val="3290F5AB"/>
    <w:rsid w:val="3290F938"/>
    <w:rsid w:val="3294AB36"/>
    <w:rsid w:val="329701A2"/>
    <w:rsid w:val="32977389"/>
    <w:rsid w:val="32987EBD"/>
    <w:rsid w:val="329B19ED"/>
    <w:rsid w:val="329C60D6"/>
    <w:rsid w:val="329CEDE8"/>
    <w:rsid w:val="329D8FC9"/>
    <w:rsid w:val="32A175D7"/>
    <w:rsid w:val="32A48216"/>
    <w:rsid w:val="32A74479"/>
    <w:rsid w:val="32A77E21"/>
    <w:rsid w:val="32A7C3EA"/>
    <w:rsid w:val="32A7FA75"/>
    <w:rsid w:val="32AA173A"/>
    <w:rsid w:val="32AC21A7"/>
    <w:rsid w:val="32ADA1BF"/>
    <w:rsid w:val="32AFE580"/>
    <w:rsid w:val="32B038D1"/>
    <w:rsid w:val="32B2F301"/>
    <w:rsid w:val="32B562B6"/>
    <w:rsid w:val="32B8ACFE"/>
    <w:rsid w:val="32BF450E"/>
    <w:rsid w:val="32C023B6"/>
    <w:rsid w:val="32C4CD0B"/>
    <w:rsid w:val="32C61849"/>
    <w:rsid w:val="32C7804C"/>
    <w:rsid w:val="32CB3683"/>
    <w:rsid w:val="32CCA0B3"/>
    <w:rsid w:val="32D08B98"/>
    <w:rsid w:val="32D124BE"/>
    <w:rsid w:val="32D26741"/>
    <w:rsid w:val="32D494EF"/>
    <w:rsid w:val="32DA7247"/>
    <w:rsid w:val="32DC3375"/>
    <w:rsid w:val="32DC6A0F"/>
    <w:rsid w:val="32DD56B0"/>
    <w:rsid w:val="32DE4AC9"/>
    <w:rsid w:val="32DF6C41"/>
    <w:rsid w:val="32E20522"/>
    <w:rsid w:val="32E32578"/>
    <w:rsid w:val="32E3EF73"/>
    <w:rsid w:val="32E4DD3B"/>
    <w:rsid w:val="32E50426"/>
    <w:rsid w:val="32EFA589"/>
    <w:rsid w:val="32F17C65"/>
    <w:rsid w:val="32F1F5FD"/>
    <w:rsid w:val="32F4B94B"/>
    <w:rsid w:val="32F94E25"/>
    <w:rsid w:val="32FB28B0"/>
    <w:rsid w:val="32FEF2A1"/>
    <w:rsid w:val="3300B1CD"/>
    <w:rsid w:val="33021FC8"/>
    <w:rsid w:val="3303213E"/>
    <w:rsid w:val="3306A318"/>
    <w:rsid w:val="3306ED01"/>
    <w:rsid w:val="33088344"/>
    <w:rsid w:val="3309291F"/>
    <w:rsid w:val="33132511"/>
    <w:rsid w:val="33154493"/>
    <w:rsid w:val="33163833"/>
    <w:rsid w:val="33176768"/>
    <w:rsid w:val="3318C28D"/>
    <w:rsid w:val="331977E7"/>
    <w:rsid w:val="3319BFA8"/>
    <w:rsid w:val="331ADE7A"/>
    <w:rsid w:val="331C0D6B"/>
    <w:rsid w:val="331CDB88"/>
    <w:rsid w:val="331F79F6"/>
    <w:rsid w:val="3320E9BB"/>
    <w:rsid w:val="33231642"/>
    <w:rsid w:val="33247D6C"/>
    <w:rsid w:val="3325336C"/>
    <w:rsid w:val="33263BF2"/>
    <w:rsid w:val="3326FF6B"/>
    <w:rsid w:val="332A31BC"/>
    <w:rsid w:val="332BE4D8"/>
    <w:rsid w:val="332E4D2D"/>
    <w:rsid w:val="332E9672"/>
    <w:rsid w:val="332F5A08"/>
    <w:rsid w:val="33318068"/>
    <w:rsid w:val="3334B31D"/>
    <w:rsid w:val="3336B0B5"/>
    <w:rsid w:val="33376425"/>
    <w:rsid w:val="3337C86E"/>
    <w:rsid w:val="3337E089"/>
    <w:rsid w:val="333C83D5"/>
    <w:rsid w:val="333C8A4C"/>
    <w:rsid w:val="333C97E7"/>
    <w:rsid w:val="333E917B"/>
    <w:rsid w:val="33408512"/>
    <w:rsid w:val="33451934"/>
    <w:rsid w:val="33457188"/>
    <w:rsid w:val="33478175"/>
    <w:rsid w:val="3347BB2F"/>
    <w:rsid w:val="3348855B"/>
    <w:rsid w:val="3348D987"/>
    <w:rsid w:val="334A483C"/>
    <w:rsid w:val="334AF2B3"/>
    <w:rsid w:val="334CA294"/>
    <w:rsid w:val="3350096A"/>
    <w:rsid w:val="3350C326"/>
    <w:rsid w:val="33526BC5"/>
    <w:rsid w:val="33536980"/>
    <w:rsid w:val="33537F57"/>
    <w:rsid w:val="3353EBCD"/>
    <w:rsid w:val="3355B77E"/>
    <w:rsid w:val="3356D311"/>
    <w:rsid w:val="335A5AC7"/>
    <w:rsid w:val="335BAF4A"/>
    <w:rsid w:val="335C9A08"/>
    <w:rsid w:val="335CE785"/>
    <w:rsid w:val="335F3DF9"/>
    <w:rsid w:val="335FFFDA"/>
    <w:rsid w:val="3361D004"/>
    <w:rsid w:val="3363059A"/>
    <w:rsid w:val="33638B17"/>
    <w:rsid w:val="3366B2BB"/>
    <w:rsid w:val="3367ECCF"/>
    <w:rsid w:val="3368A19A"/>
    <w:rsid w:val="336A1BD7"/>
    <w:rsid w:val="336AAC93"/>
    <w:rsid w:val="336B425B"/>
    <w:rsid w:val="336FACD8"/>
    <w:rsid w:val="33719254"/>
    <w:rsid w:val="3376073D"/>
    <w:rsid w:val="337686A9"/>
    <w:rsid w:val="337694EF"/>
    <w:rsid w:val="3376C461"/>
    <w:rsid w:val="337828B4"/>
    <w:rsid w:val="33786BE1"/>
    <w:rsid w:val="33799F35"/>
    <w:rsid w:val="337CAA4C"/>
    <w:rsid w:val="337DB9CD"/>
    <w:rsid w:val="337EE76E"/>
    <w:rsid w:val="3380B161"/>
    <w:rsid w:val="33858B54"/>
    <w:rsid w:val="3385CD1F"/>
    <w:rsid w:val="33861095"/>
    <w:rsid w:val="3386A650"/>
    <w:rsid w:val="3387D441"/>
    <w:rsid w:val="33886361"/>
    <w:rsid w:val="338D60D3"/>
    <w:rsid w:val="338EC9A3"/>
    <w:rsid w:val="33900631"/>
    <w:rsid w:val="33946822"/>
    <w:rsid w:val="3396E6CA"/>
    <w:rsid w:val="339E0490"/>
    <w:rsid w:val="339E603F"/>
    <w:rsid w:val="33A27AB9"/>
    <w:rsid w:val="33A594F4"/>
    <w:rsid w:val="33A9B436"/>
    <w:rsid w:val="33AA943C"/>
    <w:rsid w:val="33ABF3E2"/>
    <w:rsid w:val="33ADAD08"/>
    <w:rsid w:val="33B21810"/>
    <w:rsid w:val="33B46617"/>
    <w:rsid w:val="33B48CDA"/>
    <w:rsid w:val="33B550EF"/>
    <w:rsid w:val="33B5C455"/>
    <w:rsid w:val="33B64840"/>
    <w:rsid w:val="33B68EDC"/>
    <w:rsid w:val="33BE74FF"/>
    <w:rsid w:val="33BF6202"/>
    <w:rsid w:val="33C2798B"/>
    <w:rsid w:val="33C6596C"/>
    <w:rsid w:val="33C68667"/>
    <w:rsid w:val="33C75DB7"/>
    <w:rsid w:val="33C87DB9"/>
    <w:rsid w:val="33CCB70D"/>
    <w:rsid w:val="33CE9AE8"/>
    <w:rsid w:val="33CFC4D0"/>
    <w:rsid w:val="33D065C6"/>
    <w:rsid w:val="33D3A546"/>
    <w:rsid w:val="33D47014"/>
    <w:rsid w:val="33D9837E"/>
    <w:rsid w:val="33DAABC4"/>
    <w:rsid w:val="33DCB220"/>
    <w:rsid w:val="33DF400F"/>
    <w:rsid w:val="33E1207F"/>
    <w:rsid w:val="33E1A935"/>
    <w:rsid w:val="33E47F2F"/>
    <w:rsid w:val="33E53C55"/>
    <w:rsid w:val="33E5AEDF"/>
    <w:rsid w:val="33E63376"/>
    <w:rsid w:val="33ED1425"/>
    <w:rsid w:val="33EEA226"/>
    <w:rsid w:val="33EF6B6F"/>
    <w:rsid w:val="33F3B739"/>
    <w:rsid w:val="33F6873E"/>
    <w:rsid w:val="33F7526D"/>
    <w:rsid w:val="33F7FBE7"/>
    <w:rsid w:val="33F8CB68"/>
    <w:rsid w:val="33F916FE"/>
    <w:rsid w:val="33F9C960"/>
    <w:rsid w:val="33FF6017"/>
    <w:rsid w:val="340020D4"/>
    <w:rsid w:val="340212A8"/>
    <w:rsid w:val="340267BA"/>
    <w:rsid w:val="3406A140"/>
    <w:rsid w:val="34095C83"/>
    <w:rsid w:val="340E2AB2"/>
    <w:rsid w:val="340EB307"/>
    <w:rsid w:val="341256CD"/>
    <w:rsid w:val="3417810E"/>
    <w:rsid w:val="3418059C"/>
    <w:rsid w:val="34181BBF"/>
    <w:rsid w:val="3419072A"/>
    <w:rsid w:val="341BD98E"/>
    <w:rsid w:val="34235FCB"/>
    <w:rsid w:val="3423E4A1"/>
    <w:rsid w:val="34243CF1"/>
    <w:rsid w:val="3426DD9C"/>
    <w:rsid w:val="3427FFED"/>
    <w:rsid w:val="34281C6F"/>
    <w:rsid w:val="342C24D1"/>
    <w:rsid w:val="342D52C2"/>
    <w:rsid w:val="342F70E4"/>
    <w:rsid w:val="343CB627"/>
    <w:rsid w:val="343E8471"/>
    <w:rsid w:val="343F99AC"/>
    <w:rsid w:val="343FA23B"/>
    <w:rsid w:val="343FDDA0"/>
    <w:rsid w:val="343FE5B4"/>
    <w:rsid w:val="34403D91"/>
    <w:rsid w:val="3444E33C"/>
    <w:rsid w:val="3445ECEF"/>
    <w:rsid w:val="344B31AC"/>
    <w:rsid w:val="344FF67C"/>
    <w:rsid w:val="3450F221"/>
    <w:rsid w:val="345122EF"/>
    <w:rsid w:val="34529128"/>
    <w:rsid w:val="34533AB4"/>
    <w:rsid w:val="3454108B"/>
    <w:rsid w:val="3454FCD8"/>
    <w:rsid w:val="3455AE51"/>
    <w:rsid w:val="345806E2"/>
    <w:rsid w:val="34591746"/>
    <w:rsid w:val="3459C36D"/>
    <w:rsid w:val="345C0A68"/>
    <w:rsid w:val="345D6687"/>
    <w:rsid w:val="345D7862"/>
    <w:rsid w:val="345DBD03"/>
    <w:rsid w:val="345DF0E0"/>
    <w:rsid w:val="345FDF52"/>
    <w:rsid w:val="3461E1C4"/>
    <w:rsid w:val="3463A4E3"/>
    <w:rsid w:val="3464DC0A"/>
    <w:rsid w:val="34652A5C"/>
    <w:rsid w:val="34652DB2"/>
    <w:rsid w:val="34666BDF"/>
    <w:rsid w:val="34683EBC"/>
    <w:rsid w:val="346A60B3"/>
    <w:rsid w:val="346D575E"/>
    <w:rsid w:val="346D6CD3"/>
    <w:rsid w:val="346FB741"/>
    <w:rsid w:val="34703167"/>
    <w:rsid w:val="3470A3E1"/>
    <w:rsid w:val="34720AC3"/>
    <w:rsid w:val="347571CE"/>
    <w:rsid w:val="3475A964"/>
    <w:rsid w:val="3476C5FD"/>
    <w:rsid w:val="34781E70"/>
    <w:rsid w:val="3478992F"/>
    <w:rsid w:val="347A56AF"/>
    <w:rsid w:val="347C70C1"/>
    <w:rsid w:val="347D0DC4"/>
    <w:rsid w:val="347E8872"/>
    <w:rsid w:val="3482E032"/>
    <w:rsid w:val="34835E62"/>
    <w:rsid w:val="3489472F"/>
    <w:rsid w:val="348AF0B4"/>
    <w:rsid w:val="348E3210"/>
    <w:rsid w:val="34919560"/>
    <w:rsid w:val="3491B387"/>
    <w:rsid w:val="3499DF70"/>
    <w:rsid w:val="3499EDFA"/>
    <w:rsid w:val="349A1C55"/>
    <w:rsid w:val="349DFFB7"/>
    <w:rsid w:val="34A3461D"/>
    <w:rsid w:val="34A35F52"/>
    <w:rsid w:val="34A480D2"/>
    <w:rsid w:val="34A4DE54"/>
    <w:rsid w:val="34A536F2"/>
    <w:rsid w:val="34AAADC1"/>
    <w:rsid w:val="34B179A7"/>
    <w:rsid w:val="34B286D3"/>
    <w:rsid w:val="34B3BEBB"/>
    <w:rsid w:val="34B3D534"/>
    <w:rsid w:val="34B43470"/>
    <w:rsid w:val="34B51DF8"/>
    <w:rsid w:val="34B53A1F"/>
    <w:rsid w:val="34B67D0F"/>
    <w:rsid w:val="34B78ABE"/>
    <w:rsid w:val="34B860CC"/>
    <w:rsid w:val="34B954CF"/>
    <w:rsid w:val="34B9A880"/>
    <w:rsid w:val="34BA7C9B"/>
    <w:rsid w:val="34BC3E39"/>
    <w:rsid w:val="34BEA443"/>
    <w:rsid w:val="34BEE9E8"/>
    <w:rsid w:val="34BF3F77"/>
    <w:rsid w:val="34BF7DE8"/>
    <w:rsid w:val="34BFA1C2"/>
    <w:rsid w:val="34C6B701"/>
    <w:rsid w:val="34C7B539"/>
    <w:rsid w:val="34C7C79B"/>
    <w:rsid w:val="34C8A880"/>
    <w:rsid w:val="34CC2B11"/>
    <w:rsid w:val="34CEA24D"/>
    <w:rsid w:val="34CF66C5"/>
    <w:rsid w:val="34CFCC98"/>
    <w:rsid w:val="34D0CC28"/>
    <w:rsid w:val="34D799F8"/>
    <w:rsid w:val="34D893EF"/>
    <w:rsid w:val="34D8AF2E"/>
    <w:rsid w:val="34D98CA3"/>
    <w:rsid w:val="34D9AA66"/>
    <w:rsid w:val="34DE49ED"/>
    <w:rsid w:val="34DF14AE"/>
    <w:rsid w:val="34E0C900"/>
    <w:rsid w:val="34E33151"/>
    <w:rsid w:val="34E41295"/>
    <w:rsid w:val="34E4B0A0"/>
    <w:rsid w:val="34E70A0B"/>
    <w:rsid w:val="34E77BBD"/>
    <w:rsid w:val="34E858E6"/>
    <w:rsid w:val="34EB6918"/>
    <w:rsid w:val="34EF0752"/>
    <w:rsid w:val="34EF0D43"/>
    <w:rsid w:val="34EF17B1"/>
    <w:rsid w:val="34F09B0D"/>
    <w:rsid w:val="34F0B2B9"/>
    <w:rsid w:val="34F261CD"/>
    <w:rsid w:val="34F50778"/>
    <w:rsid w:val="34F8023E"/>
    <w:rsid w:val="34F82CB8"/>
    <w:rsid w:val="34FA15D8"/>
    <w:rsid w:val="34FB584F"/>
    <w:rsid w:val="34FEB84D"/>
    <w:rsid w:val="35031EB7"/>
    <w:rsid w:val="3504F4E0"/>
    <w:rsid w:val="3508A740"/>
    <w:rsid w:val="35091B85"/>
    <w:rsid w:val="3509C2F2"/>
    <w:rsid w:val="350DAC61"/>
    <w:rsid w:val="350E0F78"/>
    <w:rsid w:val="350F14E3"/>
    <w:rsid w:val="3510D134"/>
    <w:rsid w:val="35132FDB"/>
    <w:rsid w:val="35146CDA"/>
    <w:rsid w:val="351556CB"/>
    <w:rsid w:val="351BBD26"/>
    <w:rsid w:val="351CB5D9"/>
    <w:rsid w:val="35204F43"/>
    <w:rsid w:val="3520E7F0"/>
    <w:rsid w:val="35227A7D"/>
    <w:rsid w:val="352340E8"/>
    <w:rsid w:val="352490E6"/>
    <w:rsid w:val="3527383D"/>
    <w:rsid w:val="352A7E5F"/>
    <w:rsid w:val="352D4C20"/>
    <w:rsid w:val="352D8F15"/>
    <w:rsid w:val="35323725"/>
    <w:rsid w:val="3533414D"/>
    <w:rsid w:val="3536461F"/>
    <w:rsid w:val="3536A596"/>
    <w:rsid w:val="3536E9B3"/>
    <w:rsid w:val="353834DE"/>
    <w:rsid w:val="353B1BD1"/>
    <w:rsid w:val="353B1F32"/>
    <w:rsid w:val="353E92CE"/>
    <w:rsid w:val="35418FE4"/>
    <w:rsid w:val="354490C3"/>
    <w:rsid w:val="3547092B"/>
    <w:rsid w:val="3548EBC5"/>
    <w:rsid w:val="354A3E8E"/>
    <w:rsid w:val="354B36D7"/>
    <w:rsid w:val="354BA1FB"/>
    <w:rsid w:val="354D24EC"/>
    <w:rsid w:val="354E1D4D"/>
    <w:rsid w:val="354F6680"/>
    <w:rsid w:val="354F6F19"/>
    <w:rsid w:val="3550154E"/>
    <w:rsid w:val="355096FB"/>
    <w:rsid w:val="3550F36E"/>
    <w:rsid w:val="35511D11"/>
    <w:rsid w:val="35536F83"/>
    <w:rsid w:val="3559970F"/>
    <w:rsid w:val="355AD8EA"/>
    <w:rsid w:val="355B485C"/>
    <w:rsid w:val="35623683"/>
    <w:rsid w:val="35655A8C"/>
    <w:rsid w:val="3567F121"/>
    <w:rsid w:val="3568197D"/>
    <w:rsid w:val="356D4B15"/>
    <w:rsid w:val="35772F4A"/>
    <w:rsid w:val="357991FB"/>
    <w:rsid w:val="357B2821"/>
    <w:rsid w:val="357CA5AF"/>
    <w:rsid w:val="357DD10D"/>
    <w:rsid w:val="357F2130"/>
    <w:rsid w:val="3581EF8E"/>
    <w:rsid w:val="358371AA"/>
    <w:rsid w:val="35849D30"/>
    <w:rsid w:val="3587693D"/>
    <w:rsid w:val="3588E2C5"/>
    <w:rsid w:val="35891F35"/>
    <w:rsid w:val="358A0A0F"/>
    <w:rsid w:val="358A571F"/>
    <w:rsid w:val="358BE50A"/>
    <w:rsid w:val="358F8133"/>
    <w:rsid w:val="35909CCA"/>
    <w:rsid w:val="35920CD8"/>
    <w:rsid w:val="3592293F"/>
    <w:rsid w:val="35930258"/>
    <w:rsid w:val="35942F1A"/>
    <w:rsid w:val="35958F03"/>
    <w:rsid w:val="3596A0FC"/>
    <w:rsid w:val="3596B607"/>
    <w:rsid w:val="35989F3F"/>
    <w:rsid w:val="359A6571"/>
    <w:rsid w:val="359A7FB9"/>
    <w:rsid w:val="359BB7DE"/>
    <w:rsid w:val="359CD899"/>
    <w:rsid w:val="35A15C9D"/>
    <w:rsid w:val="35A311FE"/>
    <w:rsid w:val="35A39687"/>
    <w:rsid w:val="35A4A200"/>
    <w:rsid w:val="35A5D473"/>
    <w:rsid w:val="35A5F2C5"/>
    <w:rsid w:val="35A904CC"/>
    <w:rsid w:val="35AA3D26"/>
    <w:rsid w:val="35ABC426"/>
    <w:rsid w:val="35ADDAB2"/>
    <w:rsid w:val="35AEF078"/>
    <w:rsid w:val="35AFFF9F"/>
    <w:rsid w:val="35B0A50F"/>
    <w:rsid w:val="35B22AE0"/>
    <w:rsid w:val="35B247F1"/>
    <w:rsid w:val="35B37F9A"/>
    <w:rsid w:val="35B64D2D"/>
    <w:rsid w:val="35B65E07"/>
    <w:rsid w:val="35B6887E"/>
    <w:rsid w:val="35B71F0F"/>
    <w:rsid w:val="35B7D110"/>
    <w:rsid w:val="35BB3DB4"/>
    <w:rsid w:val="35BB4110"/>
    <w:rsid w:val="35C00F46"/>
    <w:rsid w:val="35C03B71"/>
    <w:rsid w:val="35C07F3D"/>
    <w:rsid w:val="35C088DE"/>
    <w:rsid w:val="35C1CE40"/>
    <w:rsid w:val="35C2207E"/>
    <w:rsid w:val="35C44648"/>
    <w:rsid w:val="35C61D59"/>
    <w:rsid w:val="35C97FDE"/>
    <w:rsid w:val="35CA224B"/>
    <w:rsid w:val="35CA5648"/>
    <w:rsid w:val="35CFA611"/>
    <w:rsid w:val="35D2AD42"/>
    <w:rsid w:val="35D2EB9C"/>
    <w:rsid w:val="35D43575"/>
    <w:rsid w:val="35D8B9EC"/>
    <w:rsid w:val="35DC4262"/>
    <w:rsid w:val="35DE44CC"/>
    <w:rsid w:val="35DEF199"/>
    <w:rsid w:val="35E0F18E"/>
    <w:rsid w:val="35E10115"/>
    <w:rsid w:val="35E2A43F"/>
    <w:rsid w:val="35E3F87F"/>
    <w:rsid w:val="35E4FF98"/>
    <w:rsid w:val="35E5A4A9"/>
    <w:rsid w:val="35E8114D"/>
    <w:rsid w:val="35E8FDA1"/>
    <w:rsid w:val="35EA5C25"/>
    <w:rsid w:val="35EB820B"/>
    <w:rsid w:val="35ECB9BB"/>
    <w:rsid w:val="35F16548"/>
    <w:rsid w:val="35F2121D"/>
    <w:rsid w:val="35F21FB2"/>
    <w:rsid w:val="35F24713"/>
    <w:rsid w:val="35F38827"/>
    <w:rsid w:val="35F525A2"/>
    <w:rsid w:val="35F5A23C"/>
    <w:rsid w:val="35F8049D"/>
    <w:rsid w:val="35FAA358"/>
    <w:rsid w:val="35FDC9D4"/>
    <w:rsid w:val="36032E83"/>
    <w:rsid w:val="3605FA75"/>
    <w:rsid w:val="3608263F"/>
    <w:rsid w:val="3609DA61"/>
    <w:rsid w:val="360A21C7"/>
    <w:rsid w:val="360A8161"/>
    <w:rsid w:val="360B8756"/>
    <w:rsid w:val="360D4A56"/>
    <w:rsid w:val="360FEB8D"/>
    <w:rsid w:val="3615C59D"/>
    <w:rsid w:val="36168B56"/>
    <w:rsid w:val="3616DB68"/>
    <w:rsid w:val="3618D672"/>
    <w:rsid w:val="361B08C5"/>
    <w:rsid w:val="361C1C4E"/>
    <w:rsid w:val="361CCF5D"/>
    <w:rsid w:val="361E7537"/>
    <w:rsid w:val="36213122"/>
    <w:rsid w:val="36249665"/>
    <w:rsid w:val="3625CE00"/>
    <w:rsid w:val="362663CB"/>
    <w:rsid w:val="362AAC34"/>
    <w:rsid w:val="362BD6D5"/>
    <w:rsid w:val="362CCDF1"/>
    <w:rsid w:val="3632E97B"/>
    <w:rsid w:val="36355926"/>
    <w:rsid w:val="363B5953"/>
    <w:rsid w:val="363C8D69"/>
    <w:rsid w:val="363DE31D"/>
    <w:rsid w:val="363F9508"/>
    <w:rsid w:val="364756CE"/>
    <w:rsid w:val="36475BEA"/>
    <w:rsid w:val="364B7DB7"/>
    <w:rsid w:val="364BE264"/>
    <w:rsid w:val="364C549B"/>
    <w:rsid w:val="36548FD0"/>
    <w:rsid w:val="36562757"/>
    <w:rsid w:val="365869A3"/>
    <w:rsid w:val="3659406E"/>
    <w:rsid w:val="365B8532"/>
    <w:rsid w:val="365F2FA9"/>
    <w:rsid w:val="365FC4DC"/>
    <w:rsid w:val="36612989"/>
    <w:rsid w:val="36640099"/>
    <w:rsid w:val="36649811"/>
    <w:rsid w:val="3665B6BF"/>
    <w:rsid w:val="366A7F2E"/>
    <w:rsid w:val="366A9616"/>
    <w:rsid w:val="36707C31"/>
    <w:rsid w:val="3671CEBE"/>
    <w:rsid w:val="367312F6"/>
    <w:rsid w:val="3675D666"/>
    <w:rsid w:val="36782C0D"/>
    <w:rsid w:val="367A4C76"/>
    <w:rsid w:val="367A7606"/>
    <w:rsid w:val="367BAD4E"/>
    <w:rsid w:val="367CC09F"/>
    <w:rsid w:val="367F40EC"/>
    <w:rsid w:val="368336D0"/>
    <w:rsid w:val="3684DE2A"/>
    <w:rsid w:val="368A9532"/>
    <w:rsid w:val="368DBFD0"/>
    <w:rsid w:val="368F9C5C"/>
    <w:rsid w:val="368FFA36"/>
    <w:rsid w:val="3699518B"/>
    <w:rsid w:val="369B261E"/>
    <w:rsid w:val="369D2A26"/>
    <w:rsid w:val="369F62B0"/>
    <w:rsid w:val="369FA5A5"/>
    <w:rsid w:val="36A1ABD6"/>
    <w:rsid w:val="36A3424E"/>
    <w:rsid w:val="36A384CA"/>
    <w:rsid w:val="36A484CF"/>
    <w:rsid w:val="36A51DAC"/>
    <w:rsid w:val="36A93BB6"/>
    <w:rsid w:val="36A956E3"/>
    <w:rsid w:val="36AFAE7B"/>
    <w:rsid w:val="36B02E84"/>
    <w:rsid w:val="36B20B5A"/>
    <w:rsid w:val="36B6F40F"/>
    <w:rsid w:val="36B7416C"/>
    <w:rsid w:val="36B7B240"/>
    <w:rsid w:val="36B886F7"/>
    <w:rsid w:val="36BBAAD4"/>
    <w:rsid w:val="36BDD20B"/>
    <w:rsid w:val="36BEF6B5"/>
    <w:rsid w:val="36C1D448"/>
    <w:rsid w:val="36C346C2"/>
    <w:rsid w:val="36C914A2"/>
    <w:rsid w:val="36CC4374"/>
    <w:rsid w:val="36CC5AE3"/>
    <w:rsid w:val="36CD0B2E"/>
    <w:rsid w:val="36D2751C"/>
    <w:rsid w:val="36D796B7"/>
    <w:rsid w:val="36D8C862"/>
    <w:rsid w:val="36D9822D"/>
    <w:rsid w:val="36DED4D1"/>
    <w:rsid w:val="36DFCCF6"/>
    <w:rsid w:val="36E4535A"/>
    <w:rsid w:val="36E53A10"/>
    <w:rsid w:val="36E6B864"/>
    <w:rsid w:val="36EDCC6C"/>
    <w:rsid w:val="36EF1548"/>
    <w:rsid w:val="36F3A313"/>
    <w:rsid w:val="36F4E8E9"/>
    <w:rsid w:val="36FA311E"/>
    <w:rsid w:val="36FB18B1"/>
    <w:rsid w:val="36FB71D6"/>
    <w:rsid w:val="3700E1DE"/>
    <w:rsid w:val="370744A1"/>
    <w:rsid w:val="3707540B"/>
    <w:rsid w:val="370E5D9D"/>
    <w:rsid w:val="37113359"/>
    <w:rsid w:val="37136E5E"/>
    <w:rsid w:val="37143887"/>
    <w:rsid w:val="37149ABB"/>
    <w:rsid w:val="3714DDA2"/>
    <w:rsid w:val="3715C349"/>
    <w:rsid w:val="37166D70"/>
    <w:rsid w:val="3717623C"/>
    <w:rsid w:val="3719274F"/>
    <w:rsid w:val="371C2B49"/>
    <w:rsid w:val="371CED29"/>
    <w:rsid w:val="371DC6ED"/>
    <w:rsid w:val="371E2142"/>
    <w:rsid w:val="3722FB9A"/>
    <w:rsid w:val="37271238"/>
    <w:rsid w:val="37272FF1"/>
    <w:rsid w:val="3728B6A8"/>
    <w:rsid w:val="372B9B32"/>
    <w:rsid w:val="372C4E67"/>
    <w:rsid w:val="372E6BEF"/>
    <w:rsid w:val="372E7153"/>
    <w:rsid w:val="372EC2C6"/>
    <w:rsid w:val="3733FC40"/>
    <w:rsid w:val="37341030"/>
    <w:rsid w:val="373CD080"/>
    <w:rsid w:val="373CE28D"/>
    <w:rsid w:val="373E9AA0"/>
    <w:rsid w:val="373EF023"/>
    <w:rsid w:val="373F7C1D"/>
    <w:rsid w:val="373FD6F6"/>
    <w:rsid w:val="37400E62"/>
    <w:rsid w:val="37424859"/>
    <w:rsid w:val="37495168"/>
    <w:rsid w:val="374A0E6F"/>
    <w:rsid w:val="374A44BE"/>
    <w:rsid w:val="3750065A"/>
    <w:rsid w:val="37511AF4"/>
    <w:rsid w:val="37532C6E"/>
    <w:rsid w:val="3753A862"/>
    <w:rsid w:val="3755286C"/>
    <w:rsid w:val="3755D135"/>
    <w:rsid w:val="37573F69"/>
    <w:rsid w:val="375B1644"/>
    <w:rsid w:val="375B3F47"/>
    <w:rsid w:val="3763AF68"/>
    <w:rsid w:val="3763D3A8"/>
    <w:rsid w:val="37647CA4"/>
    <w:rsid w:val="37690C0D"/>
    <w:rsid w:val="37692B95"/>
    <w:rsid w:val="3769769C"/>
    <w:rsid w:val="376AC86A"/>
    <w:rsid w:val="376B250B"/>
    <w:rsid w:val="376B2829"/>
    <w:rsid w:val="376CC170"/>
    <w:rsid w:val="376D76F6"/>
    <w:rsid w:val="376DC6F0"/>
    <w:rsid w:val="3773C95C"/>
    <w:rsid w:val="377644AA"/>
    <w:rsid w:val="3777DFE0"/>
    <w:rsid w:val="37788DFE"/>
    <w:rsid w:val="37789AA6"/>
    <w:rsid w:val="377A1804"/>
    <w:rsid w:val="377DD984"/>
    <w:rsid w:val="377F644A"/>
    <w:rsid w:val="37822771"/>
    <w:rsid w:val="3783091E"/>
    <w:rsid w:val="37845883"/>
    <w:rsid w:val="378A9AE3"/>
    <w:rsid w:val="378CF7B2"/>
    <w:rsid w:val="378D0AE9"/>
    <w:rsid w:val="37914DD9"/>
    <w:rsid w:val="37918AFA"/>
    <w:rsid w:val="379195E7"/>
    <w:rsid w:val="37938E9A"/>
    <w:rsid w:val="37939AD7"/>
    <w:rsid w:val="37983A94"/>
    <w:rsid w:val="3798A3F4"/>
    <w:rsid w:val="37998ED4"/>
    <w:rsid w:val="379D90FA"/>
    <w:rsid w:val="37A4527E"/>
    <w:rsid w:val="37A526FE"/>
    <w:rsid w:val="37A8286D"/>
    <w:rsid w:val="37A844A3"/>
    <w:rsid w:val="37A96D7B"/>
    <w:rsid w:val="37AC0391"/>
    <w:rsid w:val="37AC46C0"/>
    <w:rsid w:val="37AD6265"/>
    <w:rsid w:val="37ADEB0A"/>
    <w:rsid w:val="37B24660"/>
    <w:rsid w:val="37B2579F"/>
    <w:rsid w:val="37B328CF"/>
    <w:rsid w:val="37B7522A"/>
    <w:rsid w:val="37B75EA2"/>
    <w:rsid w:val="37B7AAEB"/>
    <w:rsid w:val="37B95907"/>
    <w:rsid w:val="37BB2A3A"/>
    <w:rsid w:val="37BC046A"/>
    <w:rsid w:val="37BD1689"/>
    <w:rsid w:val="37BEEDB6"/>
    <w:rsid w:val="37C030F7"/>
    <w:rsid w:val="37C0A0E2"/>
    <w:rsid w:val="37C230C6"/>
    <w:rsid w:val="37C2DF20"/>
    <w:rsid w:val="37C4B3D4"/>
    <w:rsid w:val="37C6D212"/>
    <w:rsid w:val="37C71692"/>
    <w:rsid w:val="37C7A1EE"/>
    <w:rsid w:val="37C9F55E"/>
    <w:rsid w:val="37CD068B"/>
    <w:rsid w:val="37CDFAFC"/>
    <w:rsid w:val="37D2C167"/>
    <w:rsid w:val="37D5E1F8"/>
    <w:rsid w:val="37D662BE"/>
    <w:rsid w:val="37DA9CCD"/>
    <w:rsid w:val="37DCA217"/>
    <w:rsid w:val="37DD017D"/>
    <w:rsid w:val="37DE41DF"/>
    <w:rsid w:val="37DFB3B7"/>
    <w:rsid w:val="37E1F6E1"/>
    <w:rsid w:val="37E4DA5D"/>
    <w:rsid w:val="37E8DEA7"/>
    <w:rsid w:val="37EDCBC0"/>
    <w:rsid w:val="37F0AEC4"/>
    <w:rsid w:val="37F0FF8E"/>
    <w:rsid w:val="37F28801"/>
    <w:rsid w:val="37F5A3BB"/>
    <w:rsid w:val="37F5FBD4"/>
    <w:rsid w:val="37F90138"/>
    <w:rsid w:val="37F9B8CD"/>
    <w:rsid w:val="37FA40A9"/>
    <w:rsid w:val="37FD24AD"/>
    <w:rsid w:val="37FE5684"/>
    <w:rsid w:val="38022C36"/>
    <w:rsid w:val="3802B484"/>
    <w:rsid w:val="380386A3"/>
    <w:rsid w:val="38074FB8"/>
    <w:rsid w:val="380C338D"/>
    <w:rsid w:val="380D5EC6"/>
    <w:rsid w:val="380D8D0B"/>
    <w:rsid w:val="381B35D7"/>
    <w:rsid w:val="381B7C3C"/>
    <w:rsid w:val="381CAF30"/>
    <w:rsid w:val="381F1D88"/>
    <w:rsid w:val="381F9E18"/>
    <w:rsid w:val="381FBB3A"/>
    <w:rsid w:val="38214824"/>
    <w:rsid w:val="38214EBE"/>
    <w:rsid w:val="3821F1AB"/>
    <w:rsid w:val="38228DF2"/>
    <w:rsid w:val="3822EC51"/>
    <w:rsid w:val="3823A4A6"/>
    <w:rsid w:val="3824AC51"/>
    <w:rsid w:val="3826E43B"/>
    <w:rsid w:val="382A13F1"/>
    <w:rsid w:val="382D7974"/>
    <w:rsid w:val="382E65D9"/>
    <w:rsid w:val="38332360"/>
    <w:rsid w:val="3833366F"/>
    <w:rsid w:val="3835B891"/>
    <w:rsid w:val="383A13B9"/>
    <w:rsid w:val="383CC758"/>
    <w:rsid w:val="383E573C"/>
    <w:rsid w:val="38453355"/>
    <w:rsid w:val="3845D69C"/>
    <w:rsid w:val="38510350"/>
    <w:rsid w:val="38513BE9"/>
    <w:rsid w:val="3853008B"/>
    <w:rsid w:val="38554049"/>
    <w:rsid w:val="3855537B"/>
    <w:rsid w:val="38556E49"/>
    <w:rsid w:val="38587950"/>
    <w:rsid w:val="385D6DC0"/>
    <w:rsid w:val="385D7B3B"/>
    <w:rsid w:val="385FBC80"/>
    <w:rsid w:val="3863C998"/>
    <w:rsid w:val="3864672E"/>
    <w:rsid w:val="38649D3E"/>
    <w:rsid w:val="38652CCA"/>
    <w:rsid w:val="38664050"/>
    <w:rsid w:val="38675D2F"/>
    <w:rsid w:val="386BA2D3"/>
    <w:rsid w:val="386D3857"/>
    <w:rsid w:val="386F308B"/>
    <w:rsid w:val="386F7BDF"/>
    <w:rsid w:val="387131F4"/>
    <w:rsid w:val="3873CF44"/>
    <w:rsid w:val="38746AD9"/>
    <w:rsid w:val="3875DD5F"/>
    <w:rsid w:val="38764B17"/>
    <w:rsid w:val="387A85EE"/>
    <w:rsid w:val="387CF7C2"/>
    <w:rsid w:val="387D5B2E"/>
    <w:rsid w:val="387D922D"/>
    <w:rsid w:val="387D9811"/>
    <w:rsid w:val="388117C4"/>
    <w:rsid w:val="38823A91"/>
    <w:rsid w:val="3882690D"/>
    <w:rsid w:val="38834FB9"/>
    <w:rsid w:val="3885ABEA"/>
    <w:rsid w:val="3886C5D2"/>
    <w:rsid w:val="3888966F"/>
    <w:rsid w:val="3888A088"/>
    <w:rsid w:val="38900766"/>
    <w:rsid w:val="3890E759"/>
    <w:rsid w:val="38910264"/>
    <w:rsid w:val="38945DCE"/>
    <w:rsid w:val="3895F863"/>
    <w:rsid w:val="3899E2D1"/>
    <w:rsid w:val="38A0C80D"/>
    <w:rsid w:val="38A1095F"/>
    <w:rsid w:val="38A5D326"/>
    <w:rsid w:val="38A708F4"/>
    <w:rsid w:val="38A8A29A"/>
    <w:rsid w:val="38A8C57E"/>
    <w:rsid w:val="38A98242"/>
    <w:rsid w:val="38AB0D8D"/>
    <w:rsid w:val="38AEEE1C"/>
    <w:rsid w:val="38B071AF"/>
    <w:rsid w:val="38B1F737"/>
    <w:rsid w:val="38B2EBC6"/>
    <w:rsid w:val="38B3A1C4"/>
    <w:rsid w:val="38B3EDA9"/>
    <w:rsid w:val="38B450DA"/>
    <w:rsid w:val="38B4C970"/>
    <w:rsid w:val="38B8BD8A"/>
    <w:rsid w:val="38BA8AF1"/>
    <w:rsid w:val="38BD6294"/>
    <w:rsid w:val="38BDA82F"/>
    <w:rsid w:val="38BDDBC7"/>
    <w:rsid w:val="38BDE3AE"/>
    <w:rsid w:val="38BF876C"/>
    <w:rsid w:val="38C09A7B"/>
    <w:rsid w:val="38C1747F"/>
    <w:rsid w:val="38C58842"/>
    <w:rsid w:val="38C70DB1"/>
    <w:rsid w:val="38CC3AEB"/>
    <w:rsid w:val="38CC56E9"/>
    <w:rsid w:val="38CEBF56"/>
    <w:rsid w:val="38CF3278"/>
    <w:rsid w:val="38D05995"/>
    <w:rsid w:val="38D685A6"/>
    <w:rsid w:val="38D9B14E"/>
    <w:rsid w:val="38DC5F5E"/>
    <w:rsid w:val="38DD4417"/>
    <w:rsid w:val="38DD443F"/>
    <w:rsid w:val="38E2D36B"/>
    <w:rsid w:val="38E3FCC7"/>
    <w:rsid w:val="38E5FC7E"/>
    <w:rsid w:val="38E60323"/>
    <w:rsid w:val="38EC6E0F"/>
    <w:rsid w:val="38F11466"/>
    <w:rsid w:val="38F18EFE"/>
    <w:rsid w:val="38F2553E"/>
    <w:rsid w:val="38F2D377"/>
    <w:rsid w:val="38F2DC1F"/>
    <w:rsid w:val="38F46544"/>
    <w:rsid w:val="38F47740"/>
    <w:rsid w:val="38FA12AA"/>
    <w:rsid w:val="38FC08AF"/>
    <w:rsid w:val="38FCEE20"/>
    <w:rsid w:val="38FEB108"/>
    <w:rsid w:val="38FF50E6"/>
    <w:rsid w:val="39029BD6"/>
    <w:rsid w:val="3903C570"/>
    <w:rsid w:val="3907FC9C"/>
    <w:rsid w:val="39089B78"/>
    <w:rsid w:val="390B0FAD"/>
    <w:rsid w:val="390C0184"/>
    <w:rsid w:val="390D4386"/>
    <w:rsid w:val="390E4C37"/>
    <w:rsid w:val="3910B095"/>
    <w:rsid w:val="3912B140"/>
    <w:rsid w:val="39153738"/>
    <w:rsid w:val="3915A426"/>
    <w:rsid w:val="3919F292"/>
    <w:rsid w:val="391B4585"/>
    <w:rsid w:val="391F454C"/>
    <w:rsid w:val="391FA418"/>
    <w:rsid w:val="3920669A"/>
    <w:rsid w:val="3920D4E0"/>
    <w:rsid w:val="39239A3A"/>
    <w:rsid w:val="3925D2ED"/>
    <w:rsid w:val="39261009"/>
    <w:rsid w:val="39266B44"/>
    <w:rsid w:val="39268764"/>
    <w:rsid w:val="3926CEA8"/>
    <w:rsid w:val="3926E5BA"/>
    <w:rsid w:val="3927CDCF"/>
    <w:rsid w:val="39281ACB"/>
    <w:rsid w:val="392916B9"/>
    <w:rsid w:val="392DEE34"/>
    <w:rsid w:val="392F2934"/>
    <w:rsid w:val="3931355D"/>
    <w:rsid w:val="39357943"/>
    <w:rsid w:val="3937BE9A"/>
    <w:rsid w:val="3938B127"/>
    <w:rsid w:val="393A45DD"/>
    <w:rsid w:val="393EA9BE"/>
    <w:rsid w:val="393F037F"/>
    <w:rsid w:val="39410837"/>
    <w:rsid w:val="3945FB57"/>
    <w:rsid w:val="394661E9"/>
    <w:rsid w:val="39476940"/>
    <w:rsid w:val="3948AA0F"/>
    <w:rsid w:val="394A75A4"/>
    <w:rsid w:val="394AC7C1"/>
    <w:rsid w:val="394D0E7B"/>
    <w:rsid w:val="394F5835"/>
    <w:rsid w:val="3952666B"/>
    <w:rsid w:val="3955C848"/>
    <w:rsid w:val="39596761"/>
    <w:rsid w:val="395BC7ED"/>
    <w:rsid w:val="395F5C2D"/>
    <w:rsid w:val="3962259C"/>
    <w:rsid w:val="396271D0"/>
    <w:rsid w:val="39637AA4"/>
    <w:rsid w:val="3966A1B1"/>
    <w:rsid w:val="39671004"/>
    <w:rsid w:val="3967814E"/>
    <w:rsid w:val="39693334"/>
    <w:rsid w:val="396BE38C"/>
    <w:rsid w:val="396DE037"/>
    <w:rsid w:val="396DF9A8"/>
    <w:rsid w:val="39710FB1"/>
    <w:rsid w:val="39739186"/>
    <w:rsid w:val="39749EB5"/>
    <w:rsid w:val="3976F245"/>
    <w:rsid w:val="3977298A"/>
    <w:rsid w:val="397768AF"/>
    <w:rsid w:val="397A661A"/>
    <w:rsid w:val="397CEAB3"/>
    <w:rsid w:val="397E9968"/>
    <w:rsid w:val="3980EA0D"/>
    <w:rsid w:val="398615BE"/>
    <w:rsid w:val="3986C618"/>
    <w:rsid w:val="398B864A"/>
    <w:rsid w:val="3990F409"/>
    <w:rsid w:val="399548B8"/>
    <w:rsid w:val="39991628"/>
    <w:rsid w:val="399F7A79"/>
    <w:rsid w:val="39A06DC7"/>
    <w:rsid w:val="39A528AD"/>
    <w:rsid w:val="39A569D6"/>
    <w:rsid w:val="39A73EE3"/>
    <w:rsid w:val="39A7FA97"/>
    <w:rsid w:val="39A8571D"/>
    <w:rsid w:val="39AA8B34"/>
    <w:rsid w:val="39AB333F"/>
    <w:rsid w:val="39ADA3DA"/>
    <w:rsid w:val="39AF94F8"/>
    <w:rsid w:val="39B1B3DF"/>
    <w:rsid w:val="39B28D46"/>
    <w:rsid w:val="39B641D9"/>
    <w:rsid w:val="39B7A777"/>
    <w:rsid w:val="39BAF2C3"/>
    <w:rsid w:val="39BBFDC2"/>
    <w:rsid w:val="39BC2842"/>
    <w:rsid w:val="39C00902"/>
    <w:rsid w:val="39C35635"/>
    <w:rsid w:val="39C43A6E"/>
    <w:rsid w:val="39C56957"/>
    <w:rsid w:val="39C864D5"/>
    <w:rsid w:val="39CB36CA"/>
    <w:rsid w:val="39CC0678"/>
    <w:rsid w:val="39CE929C"/>
    <w:rsid w:val="39CE9428"/>
    <w:rsid w:val="39D073F3"/>
    <w:rsid w:val="39D1F088"/>
    <w:rsid w:val="39D4CC52"/>
    <w:rsid w:val="39D5B12B"/>
    <w:rsid w:val="39D5BFD8"/>
    <w:rsid w:val="39DA4291"/>
    <w:rsid w:val="39DAA7DB"/>
    <w:rsid w:val="39DF54B0"/>
    <w:rsid w:val="39E0C54F"/>
    <w:rsid w:val="39E1D9B4"/>
    <w:rsid w:val="39E3302D"/>
    <w:rsid w:val="39E5658A"/>
    <w:rsid w:val="39E85DC2"/>
    <w:rsid w:val="39EA534A"/>
    <w:rsid w:val="39ED7FB7"/>
    <w:rsid w:val="39EE35D3"/>
    <w:rsid w:val="39EEBB60"/>
    <w:rsid w:val="39F4ABA4"/>
    <w:rsid w:val="39F8B53A"/>
    <w:rsid w:val="39F8FD5F"/>
    <w:rsid w:val="39FB6FA7"/>
    <w:rsid w:val="39FDA210"/>
    <w:rsid w:val="39FEDFB5"/>
    <w:rsid w:val="3A050CF9"/>
    <w:rsid w:val="3A0566F9"/>
    <w:rsid w:val="3A06D0A3"/>
    <w:rsid w:val="3A07114B"/>
    <w:rsid w:val="3A085DF0"/>
    <w:rsid w:val="3A0FEC09"/>
    <w:rsid w:val="3A10E308"/>
    <w:rsid w:val="3A1277FF"/>
    <w:rsid w:val="3A12C6EA"/>
    <w:rsid w:val="3A185647"/>
    <w:rsid w:val="3A1A74DA"/>
    <w:rsid w:val="3A1E0C25"/>
    <w:rsid w:val="3A1EAF03"/>
    <w:rsid w:val="3A201E86"/>
    <w:rsid w:val="3A225795"/>
    <w:rsid w:val="3A232AD1"/>
    <w:rsid w:val="3A239538"/>
    <w:rsid w:val="3A26727F"/>
    <w:rsid w:val="3A292F6C"/>
    <w:rsid w:val="3A2AE142"/>
    <w:rsid w:val="3A2C1CD0"/>
    <w:rsid w:val="3A2D44AA"/>
    <w:rsid w:val="3A2E035C"/>
    <w:rsid w:val="3A30391C"/>
    <w:rsid w:val="3A39EAF3"/>
    <w:rsid w:val="3A3C8891"/>
    <w:rsid w:val="3A3E69E7"/>
    <w:rsid w:val="3A4416A3"/>
    <w:rsid w:val="3A471F66"/>
    <w:rsid w:val="3A482CFC"/>
    <w:rsid w:val="3A48A463"/>
    <w:rsid w:val="3A4A1A51"/>
    <w:rsid w:val="3A4A7B61"/>
    <w:rsid w:val="3A4CA065"/>
    <w:rsid w:val="3A4CCBEC"/>
    <w:rsid w:val="3A4D84A6"/>
    <w:rsid w:val="3A516138"/>
    <w:rsid w:val="3A52D475"/>
    <w:rsid w:val="3A57B164"/>
    <w:rsid w:val="3A5981CA"/>
    <w:rsid w:val="3A5E8E0D"/>
    <w:rsid w:val="3A60576A"/>
    <w:rsid w:val="3A6146E6"/>
    <w:rsid w:val="3A639C43"/>
    <w:rsid w:val="3A641B48"/>
    <w:rsid w:val="3A6758D1"/>
    <w:rsid w:val="3A6B7413"/>
    <w:rsid w:val="3A6E090C"/>
    <w:rsid w:val="3A70359A"/>
    <w:rsid w:val="3A741ED0"/>
    <w:rsid w:val="3A74AA73"/>
    <w:rsid w:val="3A76C06C"/>
    <w:rsid w:val="3A76F690"/>
    <w:rsid w:val="3A77B890"/>
    <w:rsid w:val="3A7988B7"/>
    <w:rsid w:val="3A798B02"/>
    <w:rsid w:val="3A7AD2E2"/>
    <w:rsid w:val="3A7BB25E"/>
    <w:rsid w:val="3A7C30D9"/>
    <w:rsid w:val="3A7F161C"/>
    <w:rsid w:val="3A7FAA0F"/>
    <w:rsid w:val="3A813068"/>
    <w:rsid w:val="3A81C1D2"/>
    <w:rsid w:val="3A860076"/>
    <w:rsid w:val="3A87297E"/>
    <w:rsid w:val="3A8A093E"/>
    <w:rsid w:val="3AA1D516"/>
    <w:rsid w:val="3AA45FD0"/>
    <w:rsid w:val="3AA726CA"/>
    <w:rsid w:val="3AA8E5BC"/>
    <w:rsid w:val="3AA9340C"/>
    <w:rsid w:val="3AAA430D"/>
    <w:rsid w:val="3AAA62A3"/>
    <w:rsid w:val="3AB06441"/>
    <w:rsid w:val="3AB1BC73"/>
    <w:rsid w:val="3AB1F976"/>
    <w:rsid w:val="3AB5F475"/>
    <w:rsid w:val="3ABAA3EB"/>
    <w:rsid w:val="3ABB67B3"/>
    <w:rsid w:val="3ABC74BC"/>
    <w:rsid w:val="3ABE87D2"/>
    <w:rsid w:val="3ABFA1AE"/>
    <w:rsid w:val="3ABFBE15"/>
    <w:rsid w:val="3AC2B61B"/>
    <w:rsid w:val="3AC78B8B"/>
    <w:rsid w:val="3AC885DD"/>
    <w:rsid w:val="3ACC2D36"/>
    <w:rsid w:val="3ACD9C95"/>
    <w:rsid w:val="3ACDB736"/>
    <w:rsid w:val="3AD35143"/>
    <w:rsid w:val="3AD4B93C"/>
    <w:rsid w:val="3AD5080D"/>
    <w:rsid w:val="3AD72F5D"/>
    <w:rsid w:val="3ADB47F9"/>
    <w:rsid w:val="3ADC4541"/>
    <w:rsid w:val="3ADCD942"/>
    <w:rsid w:val="3ADE0F7F"/>
    <w:rsid w:val="3ADEBB01"/>
    <w:rsid w:val="3AE1042C"/>
    <w:rsid w:val="3AE2C856"/>
    <w:rsid w:val="3AE2E13A"/>
    <w:rsid w:val="3AE3290C"/>
    <w:rsid w:val="3AE49751"/>
    <w:rsid w:val="3AE4B169"/>
    <w:rsid w:val="3AE57DAC"/>
    <w:rsid w:val="3AE64D6D"/>
    <w:rsid w:val="3AE8E8F1"/>
    <w:rsid w:val="3AE93A8C"/>
    <w:rsid w:val="3AEF8BFC"/>
    <w:rsid w:val="3AF0A7CD"/>
    <w:rsid w:val="3AF11763"/>
    <w:rsid w:val="3AF16466"/>
    <w:rsid w:val="3AF87B2A"/>
    <w:rsid w:val="3AFAB194"/>
    <w:rsid w:val="3AFADF75"/>
    <w:rsid w:val="3AFC2E68"/>
    <w:rsid w:val="3AFDBFD8"/>
    <w:rsid w:val="3AFE5F4A"/>
    <w:rsid w:val="3AFF48F9"/>
    <w:rsid w:val="3AFFA3EE"/>
    <w:rsid w:val="3B01A4D1"/>
    <w:rsid w:val="3B050FC0"/>
    <w:rsid w:val="3B06109B"/>
    <w:rsid w:val="3B07F55D"/>
    <w:rsid w:val="3B0983EC"/>
    <w:rsid w:val="3B0BD8ED"/>
    <w:rsid w:val="3B0D3CEC"/>
    <w:rsid w:val="3B0DAE80"/>
    <w:rsid w:val="3B0EB3F2"/>
    <w:rsid w:val="3B0FC9FD"/>
    <w:rsid w:val="3B13C5CC"/>
    <w:rsid w:val="3B148D1C"/>
    <w:rsid w:val="3B14B9B8"/>
    <w:rsid w:val="3B16E810"/>
    <w:rsid w:val="3B18568B"/>
    <w:rsid w:val="3B18CD73"/>
    <w:rsid w:val="3B19CE4D"/>
    <w:rsid w:val="3B1C8792"/>
    <w:rsid w:val="3B1F7C54"/>
    <w:rsid w:val="3B23510B"/>
    <w:rsid w:val="3B26807F"/>
    <w:rsid w:val="3B26D1B1"/>
    <w:rsid w:val="3B27CDBE"/>
    <w:rsid w:val="3B28A2F3"/>
    <w:rsid w:val="3B292D30"/>
    <w:rsid w:val="3B2A74AA"/>
    <w:rsid w:val="3B2D2A4A"/>
    <w:rsid w:val="3B30F67D"/>
    <w:rsid w:val="3B320DC5"/>
    <w:rsid w:val="3B33BE89"/>
    <w:rsid w:val="3B384487"/>
    <w:rsid w:val="3B38F4CB"/>
    <w:rsid w:val="3B3ACDF9"/>
    <w:rsid w:val="3B3B1775"/>
    <w:rsid w:val="3B3DC445"/>
    <w:rsid w:val="3B3E41EB"/>
    <w:rsid w:val="3B40633B"/>
    <w:rsid w:val="3B40DB86"/>
    <w:rsid w:val="3B41403C"/>
    <w:rsid w:val="3B468699"/>
    <w:rsid w:val="3B4A0148"/>
    <w:rsid w:val="3B4C7856"/>
    <w:rsid w:val="3B4D0E4E"/>
    <w:rsid w:val="3B5003F0"/>
    <w:rsid w:val="3B500854"/>
    <w:rsid w:val="3B517407"/>
    <w:rsid w:val="3B5322F0"/>
    <w:rsid w:val="3B5568F3"/>
    <w:rsid w:val="3B5593A6"/>
    <w:rsid w:val="3B55F2B0"/>
    <w:rsid w:val="3B568BB4"/>
    <w:rsid w:val="3B57E7E5"/>
    <w:rsid w:val="3B58CCCA"/>
    <w:rsid w:val="3B5FD3AD"/>
    <w:rsid w:val="3B642081"/>
    <w:rsid w:val="3B67FF01"/>
    <w:rsid w:val="3B69C17B"/>
    <w:rsid w:val="3B6AFD34"/>
    <w:rsid w:val="3B6D45EB"/>
    <w:rsid w:val="3B6DCE7C"/>
    <w:rsid w:val="3B6F3348"/>
    <w:rsid w:val="3B6F481B"/>
    <w:rsid w:val="3B7284D5"/>
    <w:rsid w:val="3B733CF7"/>
    <w:rsid w:val="3B739EE4"/>
    <w:rsid w:val="3B75EEDF"/>
    <w:rsid w:val="3B7643C8"/>
    <w:rsid w:val="3B76B8C8"/>
    <w:rsid w:val="3B7946A1"/>
    <w:rsid w:val="3B7AA783"/>
    <w:rsid w:val="3B7ADE36"/>
    <w:rsid w:val="3B7B88F5"/>
    <w:rsid w:val="3B7CBB9C"/>
    <w:rsid w:val="3B7FE98C"/>
    <w:rsid w:val="3B80562C"/>
    <w:rsid w:val="3B858870"/>
    <w:rsid w:val="3B872BE0"/>
    <w:rsid w:val="3B89B000"/>
    <w:rsid w:val="3B8A5D83"/>
    <w:rsid w:val="3B8C4169"/>
    <w:rsid w:val="3B9547DF"/>
    <w:rsid w:val="3B96CAC7"/>
    <w:rsid w:val="3B9705F2"/>
    <w:rsid w:val="3B98A6DE"/>
    <w:rsid w:val="3B9B7B80"/>
    <w:rsid w:val="3B9DD3D6"/>
    <w:rsid w:val="3B9EF968"/>
    <w:rsid w:val="3BA20CFF"/>
    <w:rsid w:val="3BA2240E"/>
    <w:rsid w:val="3BA2DC10"/>
    <w:rsid w:val="3BA421E5"/>
    <w:rsid w:val="3BA47D25"/>
    <w:rsid w:val="3BA630BF"/>
    <w:rsid w:val="3BA6E2A8"/>
    <w:rsid w:val="3BAD6409"/>
    <w:rsid w:val="3BB5B89E"/>
    <w:rsid w:val="3BB971C3"/>
    <w:rsid w:val="3BBA2CCF"/>
    <w:rsid w:val="3BBFFFC7"/>
    <w:rsid w:val="3BC059C6"/>
    <w:rsid w:val="3BC1C47F"/>
    <w:rsid w:val="3BC293C6"/>
    <w:rsid w:val="3BC36C5E"/>
    <w:rsid w:val="3BC47155"/>
    <w:rsid w:val="3BC5EB51"/>
    <w:rsid w:val="3BC68354"/>
    <w:rsid w:val="3BC6A4CD"/>
    <w:rsid w:val="3BCA518D"/>
    <w:rsid w:val="3BCF1B78"/>
    <w:rsid w:val="3BD13B62"/>
    <w:rsid w:val="3BD1698D"/>
    <w:rsid w:val="3BD4D1C0"/>
    <w:rsid w:val="3BD53B65"/>
    <w:rsid w:val="3BD55DC1"/>
    <w:rsid w:val="3BD86F4D"/>
    <w:rsid w:val="3BD9DEE8"/>
    <w:rsid w:val="3BDA03C7"/>
    <w:rsid w:val="3BDB8BBF"/>
    <w:rsid w:val="3BDD198D"/>
    <w:rsid w:val="3BDF37B8"/>
    <w:rsid w:val="3BDF83DB"/>
    <w:rsid w:val="3BE07EE9"/>
    <w:rsid w:val="3BE09A49"/>
    <w:rsid w:val="3BE54BE3"/>
    <w:rsid w:val="3BE590BC"/>
    <w:rsid w:val="3BE5CEC1"/>
    <w:rsid w:val="3BE6D208"/>
    <w:rsid w:val="3BE72EEB"/>
    <w:rsid w:val="3BE82F53"/>
    <w:rsid w:val="3BE91A72"/>
    <w:rsid w:val="3BED7B83"/>
    <w:rsid w:val="3BEE02E1"/>
    <w:rsid w:val="3BEFBE6F"/>
    <w:rsid w:val="3BF0DA48"/>
    <w:rsid w:val="3BF13DC5"/>
    <w:rsid w:val="3BF31EC0"/>
    <w:rsid w:val="3BF502E3"/>
    <w:rsid w:val="3BF53515"/>
    <w:rsid w:val="3BF6C6D4"/>
    <w:rsid w:val="3BFA308B"/>
    <w:rsid w:val="3BFD5477"/>
    <w:rsid w:val="3BFF6C98"/>
    <w:rsid w:val="3C01659B"/>
    <w:rsid w:val="3C02A719"/>
    <w:rsid w:val="3C03046D"/>
    <w:rsid w:val="3C0480B9"/>
    <w:rsid w:val="3C04833D"/>
    <w:rsid w:val="3C05686C"/>
    <w:rsid w:val="3C06C5CB"/>
    <w:rsid w:val="3C0E9853"/>
    <w:rsid w:val="3C0F1EBF"/>
    <w:rsid w:val="3C113642"/>
    <w:rsid w:val="3C1148D2"/>
    <w:rsid w:val="3C13579D"/>
    <w:rsid w:val="3C173397"/>
    <w:rsid w:val="3C17F862"/>
    <w:rsid w:val="3C1A1C5E"/>
    <w:rsid w:val="3C1EEC43"/>
    <w:rsid w:val="3C238588"/>
    <w:rsid w:val="3C2406C8"/>
    <w:rsid w:val="3C24E4DC"/>
    <w:rsid w:val="3C26E07F"/>
    <w:rsid w:val="3C27B535"/>
    <w:rsid w:val="3C29314C"/>
    <w:rsid w:val="3C29484C"/>
    <w:rsid w:val="3C31BA55"/>
    <w:rsid w:val="3C348AF5"/>
    <w:rsid w:val="3C35513F"/>
    <w:rsid w:val="3C37D395"/>
    <w:rsid w:val="3C3AA760"/>
    <w:rsid w:val="3C3B0A69"/>
    <w:rsid w:val="3C417D7B"/>
    <w:rsid w:val="3C4540CC"/>
    <w:rsid w:val="3C48029B"/>
    <w:rsid w:val="3C496FFA"/>
    <w:rsid w:val="3C497CFE"/>
    <w:rsid w:val="3C4B330A"/>
    <w:rsid w:val="3C4C54F8"/>
    <w:rsid w:val="3C4CF325"/>
    <w:rsid w:val="3C4D8451"/>
    <w:rsid w:val="3C539AD5"/>
    <w:rsid w:val="3C559BC8"/>
    <w:rsid w:val="3C564488"/>
    <w:rsid w:val="3C568AE5"/>
    <w:rsid w:val="3C568F32"/>
    <w:rsid w:val="3C57B28F"/>
    <w:rsid w:val="3C5B09B7"/>
    <w:rsid w:val="3C5C37E9"/>
    <w:rsid w:val="3C5D7469"/>
    <w:rsid w:val="3C625229"/>
    <w:rsid w:val="3C64B9F7"/>
    <w:rsid w:val="3C6B7DE2"/>
    <w:rsid w:val="3C6C5518"/>
    <w:rsid w:val="3C6C7383"/>
    <w:rsid w:val="3C72E005"/>
    <w:rsid w:val="3C7391D1"/>
    <w:rsid w:val="3C743B65"/>
    <w:rsid w:val="3C768B70"/>
    <w:rsid w:val="3C76ADF9"/>
    <w:rsid w:val="3C78740D"/>
    <w:rsid w:val="3C7A319F"/>
    <w:rsid w:val="3C7E6268"/>
    <w:rsid w:val="3C7EC133"/>
    <w:rsid w:val="3C809BE2"/>
    <w:rsid w:val="3C84F005"/>
    <w:rsid w:val="3C90CAFB"/>
    <w:rsid w:val="3C90D7C4"/>
    <w:rsid w:val="3C970351"/>
    <w:rsid w:val="3C97122D"/>
    <w:rsid w:val="3C9858F9"/>
    <w:rsid w:val="3C9D5FDE"/>
    <w:rsid w:val="3C9F9760"/>
    <w:rsid w:val="3CA41715"/>
    <w:rsid w:val="3CA7E920"/>
    <w:rsid w:val="3CA9AB7F"/>
    <w:rsid w:val="3CA9B213"/>
    <w:rsid w:val="3CACD817"/>
    <w:rsid w:val="3CB18156"/>
    <w:rsid w:val="3CB231AE"/>
    <w:rsid w:val="3CB533A5"/>
    <w:rsid w:val="3CB59FC3"/>
    <w:rsid w:val="3CB74E40"/>
    <w:rsid w:val="3CB86A4E"/>
    <w:rsid w:val="3CC05E23"/>
    <w:rsid w:val="3CC2F5E9"/>
    <w:rsid w:val="3CC5B6AB"/>
    <w:rsid w:val="3CC6797E"/>
    <w:rsid w:val="3CC70B1C"/>
    <w:rsid w:val="3CC896FB"/>
    <w:rsid w:val="3CC93987"/>
    <w:rsid w:val="3CC95BDF"/>
    <w:rsid w:val="3CCB1492"/>
    <w:rsid w:val="3CCC1C3F"/>
    <w:rsid w:val="3CCF475D"/>
    <w:rsid w:val="3CD004C7"/>
    <w:rsid w:val="3CD037E6"/>
    <w:rsid w:val="3CD19CEE"/>
    <w:rsid w:val="3CD4B47E"/>
    <w:rsid w:val="3CD6F37C"/>
    <w:rsid w:val="3CD6F3B1"/>
    <w:rsid w:val="3CD99A09"/>
    <w:rsid w:val="3CDB44A6"/>
    <w:rsid w:val="3CDC699C"/>
    <w:rsid w:val="3CDE2F66"/>
    <w:rsid w:val="3CE19DD6"/>
    <w:rsid w:val="3CE287F8"/>
    <w:rsid w:val="3CE97DBC"/>
    <w:rsid w:val="3CEA89C7"/>
    <w:rsid w:val="3CEEB6BC"/>
    <w:rsid w:val="3CF00D63"/>
    <w:rsid w:val="3CF3224B"/>
    <w:rsid w:val="3CF52F10"/>
    <w:rsid w:val="3CF54E2B"/>
    <w:rsid w:val="3CFA0553"/>
    <w:rsid w:val="3CFF24D1"/>
    <w:rsid w:val="3CFF3CA1"/>
    <w:rsid w:val="3D01156D"/>
    <w:rsid w:val="3D01D5B9"/>
    <w:rsid w:val="3D022065"/>
    <w:rsid w:val="3D04EBE3"/>
    <w:rsid w:val="3D06F868"/>
    <w:rsid w:val="3D08E7BE"/>
    <w:rsid w:val="3D0FDF36"/>
    <w:rsid w:val="3D1111E3"/>
    <w:rsid w:val="3D14298F"/>
    <w:rsid w:val="3D148225"/>
    <w:rsid w:val="3D192DD1"/>
    <w:rsid w:val="3D1BEB53"/>
    <w:rsid w:val="3D1E93A8"/>
    <w:rsid w:val="3D20C995"/>
    <w:rsid w:val="3D22220B"/>
    <w:rsid w:val="3D24C1D6"/>
    <w:rsid w:val="3D256A93"/>
    <w:rsid w:val="3D2669FA"/>
    <w:rsid w:val="3D269CB2"/>
    <w:rsid w:val="3D273E2E"/>
    <w:rsid w:val="3D277A00"/>
    <w:rsid w:val="3D2AEA3E"/>
    <w:rsid w:val="3D2B63B7"/>
    <w:rsid w:val="3D2B6CA7"/>
    <w:rsid w:val="3D3023E4"/>
    <w:rsid w:val="3D311B21"/>
    <w:rsid w:val="3D326909"/>
    <w:rsid w:val="3D338CBB"/>
    <w:rsid w:val="3D33E500"/>
    <w:rsid w:val="3D36668A"/>
    <w:rsid w:val="3D372881"/>
    <w:rsid w:val="3D37683B"/>
    <w:rsid w:val="3D3821D5"/>
    <w:rsid w:val="3D384DD7"/>
    <w:rsid w:val="3D38EA80"/>
    <w:rsid w:val="3D39E1D5"/>
    <w:rsid w:val="3D3B1B27"/>
    <w:rsid w:val="3D3B717D"/>
    <w:rsid w:val="3D3C5950"/>
    <w:rsid w:val="3D3FBCE2"/>
    <w:rsid w:val="3D4002CB"/>
    <w:rsid w:val="3D4003F2"/>
    <w:rsid w:val="3D40F9A4"/>
    <w:rsid w:val="3D4301E6"/>
    <w:rsid w:val="3D44B31D"/>
    <w:rsid w:val="3D44D7BF"/>
    <w:rsid w:val="3D45B208"/>
    <w:rsid w:val="3D492FA1"/>
    <w:rsid w:val="3D4C61A8"/>
    <w:rsid w:val="3D4CE3E1"/>
    <w:rsid w:val="3D4DC5CB"/>
    <w:rsid w:val="3D4F8AAD"/>
    <w:rsid w:val="3D529331"/>
    <w:rsid w:val="3D52E563"/>
    <w:rsid w:val="3D54647D"/>
    <w:rsid w:val="3D55D1FD"/>
    <w:rsid w:val="3D585462"/>
    <w:rsid w:val="3D59FE78"/>
    <w:rsid w:val="3D5AA065"/>
    <w:rsid w:val="3D5B0E78"/>
    <w:rsid w:val="3D5D6790"/>
    <w:rsid w:val="3D5F1D88"/>
    <w:rsid w:val="3D5F78D3"/>
    <w:rsid w:val="3D5FC431"/>
    <w:rsid w:val="3D5FD470"/>
    <w:rsid w:val="3D61FBCA"/>
    <w:rsid w:val="3D640D37"/>
    <w:rsid w:val="3D64D93E"/>
    <w:rsid w:val="3D6501C1"/>
    <w:rsid w:val="3D656367"/>
    <w:rsid w:val="3D661AC1"/>
    <w:rsid w:val="3D70BF1A"/>
    <w:rsid w:val="3D724CB0"/>
    <w:rsid w:val="3D79BF37"/>
    <w:rsid w:val="3D7BBB57"/>
    <w:rsid w:val="3D7DB479"/>
    <w:rsid w:val="3D7FB1CD"/>
    <w:rsid w:val="3D8099C6"/>
    <w:rsid w:val="3D81D2DA"/>
    <w:rsid w:val="3D85D9BD"/>
    <w:rsid w:val="3D8607DB"/>
    <w:rsid w:val="3D877E19"/>
    <w:rsid w:val="3D89B440"/>
    <w:rsid w:val="3D8C3CDB"/>
    <w:rsid w:val="3D92A7B1"/>
    <w:rsid w:val="3D9391F1"/>
    <w:rsid w:val="3D93B59B"/>
    <w:rsid w:val="3D945BD7"/>
    <w:rsid w:val="3D95A827"/>
    <w:rsid w:val="3D95D058"/>
    <w:rsid w:val="3D9B3A33"/>
    <w:rsid w:val="3D9B4817"/>
    <w:rsid w:val="3DA00D74"/>
    <w:rsid w:val="3DA27EE2"/>
    <w:rsid w:val="3DA5C554"/>
    <w:rsid w:val="3DA5F074"/>
    <w:rsid w:val="3DA6AFD7"/>
    <w:rsid w:val="3DA6B2CE"/>
    <w:rsid w:val="3DAA30D2"/>
    <w:rsid w:val="3DADD4CD"/>
    <w:rsid w:val="3DAE32ED"/>
    <w:rsid w:val="3DB2F940"/>
    <w:rsid w:val="3DB5EF2F"/>
    <w:rsid w:val="3DB7DAF3"/>
    <w:rsid w:val="3DB9239A"/>
    <w:rsid w:val="3DB94291"/>
    <w:rsid w:val="3DB97446"/>
    <w:rsid w:val="3DBA1B3F"/>
    <w:rsid w:val="3DBD53C5"/>
    <w:rsid w:val="3DBDF7AD"/>
    <w:rsid w:val="3DC12429"/>
    <w:rsid w:val="3DC4CB2D"/>
    <w:rsid w:val="3DC6B86C"/>
    <w:rsid w:val="3DC72872"/>
    <w:rsid w:val="3DC81F70"/>
    <w:rsid w:val="3DC9A9C9"/>
    <w:rsid w:val="3DCAB44E"/>
    <w:rsid w:val="3DCE0D33"/>
    <w:rsid w:val="3DD4DECB"/>
    <w:rsid w:val="3DD6A5CD"/>
    <w:rsid w:val="3DD71A4D"/>
    <w:rsid w:val="3DD72C13"/>
    <w:rsid w:val="3DD8C2A5"/>
    <w:rsid w:val="3DD9878B"/>
    <w:rsid w:val="3DDB30D1"/>
    <w:rsid w:val="3DDCC3BE"/>
    <w:rsid w:val="3DDDA942"/>
    <w:rsid w:val="3DDFBCA6"/>
    <w:rsid w:val="3DE0ACA4"/>
    <w:rsid w:val="3DE1306A"/>
    <w:rsid w:val="3DE3AC68"/>
    <w:rsid w:val="3DE4660C"/>
    <w:rsid w:val="3DE4A51C"/>
    <w:rsid w:val="3DE5BA9A"/>
    <w:rsid w:val="3DE5CB2A"/>
    <w:rsid w:val="3DE7A79F"/>
    <w:rsid w:val="3DE7F853"/>
    <w:rsid w:val="3DE996F1"/>
    <w:rsid w:val="3DEBB9F2"/>
    <w:rsid w:val="3DEC5357"/>
    <w:rsid w:val="3DEC9359"/>
    <w:rsid w:val="3DF0B856"/>
    <w:rsid w:val="3DF434D4"/>
    <w:rsid w:val="3DF51685"/>
    <w:rsid w:val="3DF768C4"/>
    <w:rsid w:val="3DFA6E4C"/>
    <w:rsid w:val="3DFD8EEF"/>
    <w:rsid w:val="3E002992"/>
    <w:rsid w:val="3E00AF90"/>
    <w:rsid w:val="3E01E512"/>
    <w:rsid w:val="3E0252FC"/>
    <w:rsid w:val="3E02C6B9"/>
    <w:rsid w:val="3E031448"/>
    <w:rsid w:val="3E0708CD"/>
    <w:rsid w:val="3E0715BB"/>
    <w:rsid w:val="3E0851A6"/>
    <w:rsid w:val="3E0A7037"/>
    <w:rsid w:val="3E0C0516"/>
    <w:rsid w:val="3E0C0AF6"/>
    <w:rsid w:val="3E0C0C3E"/>
    <w:rsid w:val="3E0CAA75"/>
    <w:rsid w:val="3E0D189B"/>
    <w:rsid w:val="3E0D946A"/>
    <w:rsid w:val="3E114361"/>
    <w:rsid w:val="3E114542"/>
    <w:rsid w:val="3E1168EE"/>
    <w:rsid w:val="3E1199C2"/>
    <w:rsid w:val="3E139DE8"/>
    <w:rsid w:val="3E178E58"/>
    <w:rsid w:val="3E1866AF"/>
    <w:rsid w:val="3E1F7EFE"/>
    <w:rsid w:val="3E1F947D"/>
    <w:rsid w:val="3E2478DD"/>
    <w:rsid w:val="3E2AFB9D"/>
    <w:rsid w:val="3E2B9A9D"/>
    <w:rsid w:val="3E2C8B85"/>
    <w:rsid w:val="3E2D4795"/>
    <w:rsid w:val="3E2DACA8"/>
    <w:rsid w:val="3E2E7B28"/>
    <w:rsid w:val="3E2EF908"/>
    <w:rsid w:val="3E326118"/>
    <w:rsid w:val="3E33D030"/>
    <w:rsid w:val="3E351493"/>
    <w:rsid w:val="3E37B432"/>
    <w:rsid w:val="3E3C1FDA"/>
    <w:rsid w:val="3E3CB3C6"/>
    <w:rsid w:val="3E3DE0C3"/>
    <w:rsid w:val="3E41297D"/>
    <w:rsid w:val="3E4207EC"/>
    <w:rsid w:val="3E42D7D5"/>
    <w:rsid w:val="3E43B697"/>
    <w:rsid w:val="3E4A52D0"/>
    <w:rsid w:val="3E4BAE4A"/>
    <w:rsid w:val="3E4CC775"/>
    <w:rsid w:val="3E4D32E1"/>
    <w:rsid w:val="3E4D7899"/>
    <w:rsid w:val="3E500E60"/>
    <w:rsid w:val="3E503B34"/>
    <w:rsid w:val="3E51AF6F"/>
    <w:rsid w:val="3E5368FF"/>
    <w:rsid w:val="3E54AC60"/>
    <w:rsid w:val="3E556444"/>
    <w:rsid w:val="3E562DD8"/>
    <w:rsid w:val="3E564BDB"/>
    <w:rsid w:val="3E577731"/>
    <w:rsid w:val="3E5C3558"/>
    <w:rsid w:val="3E5EF3A9"/>
    <w:rsid w:val="3E6083DC"/>
    <w:rsid w:val="3E626E98"/>
    <w:rsid w:val="3E632514"/>
    <w:rsid w:val="3E657537"/>
    <w:rsid w:val="3E65DC23"/>
    <w:rsid w:val="3E69CB4B"/>
    <w:rsid w:val="3E6C2C44"/>
    <w:rsid w:val="3E6E162F"/>
    <w:rsid w:val="3E7669D4"/>
    <w:rsid w:val="3E7679B2"/>
    <w:rsid w:val="3E77464B"/>
    <w:rsid w:val="3E794192"/>
    <w:rsid w:val="3E7F85F7"/>
    <w:rsid w:val="3E80D717"/>
    <w:rsid w:val="3E813729"/>
    <w:rsid w:val="3E828AAA"/>
    <w:rsid w:val="3E833A74"/>
    <w:rsid w:val="3E84F341"/>
    <w:rsid w:val="3E8803E5"/>
    <w:rsid w:val="3E899163"/>
    <w:rsid w:val="3E8AFBD5"/>
    <w:rsid w:val="3E8DE928"/>
    <w:rsid w:val="3E8F5385"/>
    <w:rsid w:val="3E8FAD2A"/>
    <w:rsid w:val="3E936AC7"/>
    <w:rsid w:val="3E93B84C"/>
    <w:rsid w:val="3E95A8D1"/>
    <w:rsid w:val="3E95C595"/>
    <w:rsid w:val="3E9A4CEF"/>
    <w:rsid w:val="3E9A5615"/>
    <w:rsid w:val="3E9B314B"/>
    <w:rsid w:val="3E9D14D3"/>
    <w:rsid w:val="3E9D456E"/>
    <w:rsid w:val="3E9EF8CA"/>
    <w:rsid w:val="3E9FA3A4"/>
    <w:rsid w:val="3EA14679"/>
    <w:rsid w:val="3EA3FAE2"/>
    <w:rsid w:val="3EA77313"/>
    <w:rsid w:val="3EA9A7CE"/>
    <w:rsid w:val="3EB0A2B1"/>
    <w:rsid w:val="3EB56AF1"/>
    <w:rsid w:val="3EB8E2AA"/>
    <w:rsid w:val="3EBAB8F9"/>
    <w:rsid w:val="3EBC8F5E"/>
    <w:rsid w:val="3EBDECC9"/>
    <w:rsid w:val="3EBF217C"/>
    <w:rsid w:val="3EC37A2E"/>
    <w:rsid w:val="3EC67F1B"/>
    <w:rsid w:val="3EC74432"/>
    <w:rsid w:val="3EC8E6DB"/>
    <w:rsid w:val="3ECC24F6"/>
    <w:rsid w:val="3ECE9FE8"/>
    <w:rsid w:val="3ED04A3F"/>
    <w:rsid w:val="3ED0B6C5"/>
    <w:rsid w:val="3ED27639"/>
    <w:rsid w:val="3ED2B0C7"/>
    <w:rsid w:val="3ED5261B"/>
    <w:rsid w:val="3ED8C611"/>
    <w:rsid w:val="3ED95054"/>
    <w:rsid w:val="3EDAA564"/>
    <w:rsid w:val="3EE04C0B"/>
    <w:rsid w:val="3EE0A33B"/>
    <w:rsid w:val="3EE0A3C2"/>
    <w:rsid w:val="3EE50E44"/>
    <w:rsid w:val="3EE75A96"/>
    <w:rsid w:val="3EE8EBAB"/>
    <w:rsid w:val="3EEA2EC7"/>
    <w:rsid w:val="3EEEDF01"/>
    <w:rsid w:val="3EEF10C9"/>
    <w:rsid w:val="3EEFF4A4"/>
    <w:rsid w:val="3EF15716"/>
    <w:rsid w:val="3EF1B6B8"/>
    <w:rsid w:val="3EF2E4D4"/>
    <w:rsid w:val="3EF3DB88"/>
    <w:rsid w:val="3EF5F19B"/>
    <w:rsid w:val="3EFD4986"/>
    <w:rsid w:val="3EFD9DB2"/>
    <w:rsid w:val="3F010A0B"/>
    <w:rsid w:val="3F02793D"/>
    <w:rsid w:val="3F02AAC3"/>
    <w:rsid w:val="3F037D23"/>
    <w:rsid w:val="3F03D467"/>
    <w:rsid w:val="3F04922E"/>
    <w:rsid w:val="3F0582F0"/>
    <w:rsid w:val="3F070055"/>
    <w:rsid w:val="3F0A413C"/>
    <w:rsid w:val="3F0D1369"/>
    <w:rsid w:val="3F0D2740"/>
    <w:rsid w:val="3F0FDB1E"/>
    <w:rsid w:val="3F0FE2A8"/>
    <w:rsid w:val="3F130333"/>
    <w:rsid w:val="3F159DF0"/>
    <w:rsid w:val="3F184281"/>
    <w:rsid w:val="3F1A3181"/>
    <w:rsid w:val="3F1A3BAD"/>
    <w:rsid w:val="3F1C14A1"/>
    <w:rsid w:val="3F1F2DD1"/>
    <w:rsid w:val="3F213D37"/>
    <w:rsid w:val="3F21B414"/>
    <w:rsid w:val="3F23E2A5"/>
    <w:rsid w:val="3F2408B9"/>
    <w:rsid w:val="3F2483B8"/>
    <w:rsid w:val="3F2641E2"/>
    <w:rsid w:val="3F28BCB7"/>
    <w:rsid w:val="3F2B106E"/>
    <w:rsid w:val="3F2B8380"/>
    <w:rsid w:val="3F2F3E52"/>
    <w:rsid w:val="3F2FE448"/>
    <w:rsid w:val="3F3163D4"/>
    <w:rsid w:val="3F337DFC"/>
    <w:rsid w:val="3F397FEC"/>
    <w:rsid w:val="3F39F5A0"/>
    <w:rsid w:val="3F3C637B"/>
    <w:rsid w:val="3F41CD99"/>
    <w:rsid w:val="3F42832F"/>
    <w:rsid w:val="3F439C2E"/>
    <w:rsid w:val="3F44856E"/>
    <w:rsid w:val="3F49FA46"/>
    <w:rsid w:val="3F4A06DD"/>
    <w:rsid w:val="3F4A5AEC"/>
    <w:rsid w:val="3F4C822F"/>
    <w:rsid w:val="3F4CE949"/>
    <w:rsid w:val="3F4DA2CB"/>
    <w:rsid w:val="3F4E8A6E"/>
    <w:rsid w:val="3F52BA8A"/>
    <w:rsid w:val="3F57B171"/>
    <w:rsid w:val="3F5961A0"/>
    <w:rsid w:val="3F5BB9D1"/>
    <w:rsid w:val="3F65BABD"/>
    <w:rsid w:val="3F660E38"/>
    <w:rsid w:val="3F69743F"/>
    <w:rsid w:val="3F6A41A3"/>
    <w:rsid w:val="3F6EA59B"/>
    <w:rsid w:val="3F6EDC11"/>
    <w:rsid w:val="3F6FAC2B"/>
    <w:rsid w:val="3F6FE2FA"/>
    <w:rsid w:val="3F70856C"/>
    <w:rsid w:val="3F749859"/>
    <w:rsid w:val="3F7556A0"/>
    <w:rsid w:val="3F77C64D"/>
    <w:rsid w:val="3F77DECA"/>
    <w:rsid w:val="3F78B8E1"/>
    <w:rsid w:val="3F7AC2BB"/>
    <w:rsid w:val="3F7F7EAF"/>
    <w:rsid w:val="3F82BD57"/>
    <w:rsid w:val="3F831AC7"/>
    <w:rsid w:val="3F84FEA4"/>
    <w:rsid w:val="3F8534DD"/>
    <w:rsid w:val="3F85D8B7"/>
    <w:rsid w:val="3F85ED0E"/>
    <w:rsid w:val="3F8653EF"/>
    <w:rsid w:val="3F8BF1A1"/>
    <w:rsid w:val="3F8C58E8"/>
    <w:rsid w:val="3F8D39D7"/>
    <w:rsid w:val="3F8F29FA"/>
    <w:rsid w:val="3F9467C7"/>
    <w:rsid w:val="3F95BF30"/>
    <w:rsid w:val="3F9662DF"/>
    <w:rsid w:val="3F97FDDF"/>
    <w:rsid w:val="3F9A1BF8"/>
    <w:rsid w:val="3F9AF101"/>
    <w:rsid w:val="3FA099BB"/>
    <w:rsid w:val="3FA11E4D"/>
    <w:rsid w:val="3FA4EA10"/>
    <w:rsid w:val="3FA610C9"/>
    <w:rsid w:val="3FA62B19"/>
    <w:rsid w:val="3FA6BA20"/>
    <w:rsid w:val="3FA77344"/>
    <w:rsid w:val="3FA91B94"/>
    <w:rsid w:val="3FAC53D7"/>
    <w:rsid w:val="3FAE58A6"/>
    <w:rsid w:val="3FAE9D47"/>
    <w:rsid w:val="3FB05502"/>
    <w:rsid w:val="3FB0783D"/>
    <w:rsid w:val="3FB1AEBE"/>
    <w:rsid w:val="3FB309C6"/>
    <w:rsid w:val="3FB35AE8"/>
    <w:rsid w:val="3FB3D7CE"/>
    <w:rsid w:val="3FB92BEE"/>
    <w:rsid w:val="3FBC1852"/>
    <w:rsid w:val="3FBC45BA"/>
    <w:rsid w:val="3FBCBDA2"/>
    <w:rsid w:val="3FBF2098"/>
    <w:rsid w:val="3FBF89FD"/>
    <w:rsid w:val="3FC01F96"/>
    <w:rsid w:val="3FC3B0AC"/>
    <w:rsid w:val="3FC6E1E9"/>
    <w:rsid w:val="3FC79E0D"/>
    <w:rsid w:val="3FCCE333"/>
    <w:rsid w:val="3FD68A84"/>
    <w:rsid w:val="3FD8693C"/>
    <w:rsid w:val="3FD8CA2D"/>
    <w:rsid w:val="3FD9434D"/>
    <w:rsid w:val="3FDAF1E9"/>
    <w:rsid w:val="3FDB511A"/>
    <w:rsid w:val="3FDC43EE"/>
    <w:rsid w:val="3FE608A9"/>
    <w:rsid w:val="3FE7AAF0"/>
    <w:rsid w:val="3FE97A6C"/>
    <w:rsid w:val="3FEA5E28"/>
    <w:rsid w:val="3FEC6F1B"/>
    <w:rsid w:val="3FEC92B7"/>
    <w:rsid w:val="3FECAA9F"/>
    <w:rsid w:val="3FECB397"/>
    <w:rsid w:val="3FED0694"/>
    <w:rsid w:val="3FEF1490"/>
    <w:rsid w:val="3FEFFBA9"/>
    <w:rsid w:val="3FF05125"/>
    <w:rsid w:val="3FF19348"/>
    <w:rsid w:val="3FF19E84"/>
    <w:rsid w:val="3FF552D5"/>
    <w:rsid w:val="3FF58B8A"/>
    <w:rsid w:val="3FF87459"/>
    <w:rsid w:val="3FFA8204"/>
    <w:rsid w:val="3FFBCD0B"/>
    <w:rsid w:val="3FFBFB64"/>
    <w:rsid w:val="40049D8E"/>
    <w:rsid w:val="400BD34C"/>
    <w:rsid w:val="400FA4EB"/>
    <w:rsid w:val="401176D8"/>
    <w:rsid w:val="40166F3B"/>
    <w:rsid w:val="401C341B"/>
    <w:rsid w:val="402098C7"/>
    <w:rsid w:val="40209907"/>
    <w:rsid w:val="40233B21"/>
    <w:rsid w:val="4023820D"/>
    <w:rsid w:val="40283C5A"/>
    <w:rsid w:val="402A4B88"/>
    <w:rsid w:val="402C2F6A"/>
    <w:rsid w:val="402D31C6"/>
    <w:rsid w:val="4034284D"/>
    <w:rsid w:val="4034DB95"/>
    <w:rsid w:val="40352676"/>
    <w:rsid w:val="403687D3"/>
    <w:rsid w:val="40388055"/>
    <w:rsid w:val="403D2551"/>
    <w:rsid w:val="403D329E"/>
    <w:rsid w:val="403D5F3F"/>
    <w:rsid w:val="40409C68"/>
    <w:rsid w:val="4040E7D9"/>
    <w:rsid w:val="4042C050"/>
    <w:rsid w:val="4043861C"/>
    <w:rsid w:val="4043B6AC"/>
    <w:rsid w:val="404405A7"/>
    <w:rsid w:val="404523E1"/>
    <w:rsid w:val="404698C0"/>
    <w:rsid w:val="4046AB25"/>
    <w:rsid w:val="404B22DC"/>
    <w:rsid w:val="404E4C26"/>
    <w:rsid w:val="404E5E40"/>
    <w:rsid w:val="404E5E48"/>
    <w:rsid w:val="404F13E8"/>
    <w:rsid w:val="40508BD3"/>
    <w:rsid w:val="40563C12"/>
    <w:rsid w:val="40565AF8"/>
    <w:rsid w:val="405725DB"/>
    <w:rsid w:val="4057A215"/>
    <w:rsid w:val="4058283D"/>
    <w:rsid w:val="405BF775"/>
    <w:rsid w:val="405ED5EF"/>
    <w:rsid w:val="40604CA6"/>
    <w:rsid w:val="4061F087"/>
    <w:rsid w:val="40643204"/>
    <w:rsid w:val="40688D21"/>
    <w:rsid w:val="40688FAC"/>
    <w:rsid w:val="40692EDD"/>
    <w:rsid w:val="406F68D6"/>
    <w:rsid w:val="4070BDEA"/>
    <w:rsid w:val="4070E295"/>
    <w:rsid w:val="40717E26"/>
    <w:rsid w:val="4071E15D"/>
    <w:rsid w:val="4073112F"/>
    <w:rsid w:val="407496FE"/>
    <w:rsid w:val="407AD76F"/>
    <w:rsid w:val="407DA2F9"/>
    <w:rsid w:val="407DAB04"/>
    <w:rsid w:val="407FF81C"/>
    <w:rsid w:val="40801272"/>
    <w:rsid w:val="40825408"/>
    <w:rsid w:val="4083345D"/>
    <w:rsid w:val="4086EACA"/>
    <w:rsid w:val="408D1BF9"/>
    <w:rsid w:val="40906FCD"/>
    <w:rsid w:val="4093E243"/>
    <w:rsid w:val="40962E35"/>
    <w:rsid w:val="40989AC4"/>
    <w:rsid w:val="409925E5"/>
    <w:rsid w:val="40999A07"/>
    <w:rsid w:val="4099E617"/>
    <w:rsid w:val="409A8559"/>
    <w:rsid w:val="409E2021"/>
    <w:rsid w:val="409EF070"/>
    <w:rsid w:val="40A2F04D"/>
    <w:rsid w:val="40A3BE76"/>
    <w:rsid w:val="40A6EDAD"/>
    <w:rsid w:val="40A75EFF"/>
    <w:rsid w:val="40A8711A"/>
    <w:rsid w:val="40AB644A"/>
    <w:rsid w:val="40AC45EC"/>
    <w:rsid w:val="40AD9CC1"/>
    <w:rsid w:val="40ADA6D2"/>
    <w:rsid w:val="40B04078"/>
    <w:rsid w:val="40B08BC5"/>
    <w:rsid w:val="40B11148"/>
    <w:rsid w:val="40B1CB06"/>
    <w:rsid w:val="40B30CD0"/>
    <w:rsid w:val="40B3E277"/>
    <w:rsid w:val="40B4464E"/>
    <w:rsid w:val="40B59F72"/>
    <w:rsid w:val="40B68946"/>
    <w:rsid w:val="40B8465B"/>
    <w:rsid w:val="40BAEF6C"/>
    <w:rsid w:val="40BD09AB"/>
    <w:rsid w:val="40C23B81"/>
    <w:rsid w:val="40C3CF6F"/>
    <w:rsid w:val="40C5820D"/>
    <w:rsid w:val="40CB8833"/>
    <w:rsid w:val="40CBB598"/>
    <w:rsid w:val="40CE4A38"/>
    <w:rsid w:val="40D0C237"/>
    <w:rsid w:val="40D11227"/>
    <w:rsid w:val="40D1777C"/>
    <w:rsid w:val="40D6A8BE"/>
    <w:rsid w:val="40D9C264"/>
    <w:rsid w:val="40DB12D9"/>
    <w:rsid w:val="40DC3FB0"/>
    <w:rsid w:val="40DE92BA"/>
    <w:rsid w:val="40E28B06"/>
    <w:rsid w:val="40E29F1E"/>
    <w:rsid w:val="40E2ADA4"/>
    <w:rsid w:val="40E71EB2"/>
    <w:rsid w:val="40E863EE"/>
    <w:rsid w:val="40E88779"/>
    <w:rsid w:val="40EA316C"/>
    <w:rsid w:val="40EA7AB8"/>
    <w:rsid w:val="40EEEE6F"/>
    <w:rsid w:val="40F185DE"/>
    <w:rsid w:val="40F5BDD5"/>
    <w:rsid w:val="40F6F73C"/>
    <w:rsid w:val="40F832BD"/>
    <w:rsid w:val="40F83385"/>
    <w:rsid w:val="40FB099C"/>
    <w:rsid w:val="40FDB051"/>
    <w:rsid w:val="40FDDCA0"/>
    <w:rsid w:val="40FE0A47"/>
    <w:rsid w:val="41012A20"/>
    <w:rsid w:val="4102C906"/>
    <w:rsid w:val="4102E79E"/>
    <w:rsid w:val="4102FB64"/>
    <w:rsid w:val="41043CB2"/>
    <w:rsid w:val="410741C0"/>
    <w:rsid w:val="4108A6DA"/>
    <w:rsid w:val="41096468"/>
    <w:rsid w:val="410B9A1D"/>
    <w:rsid w:val="410FD4D3"/>
    <w:rsid w:val="4110AED7"/>
    <w:rsid w:val="41136D77"/>
    <w:rsid w:val="41166560"/>
    <w:rsid w:val="4116BEEA"/>
    <w:rsid w:val="411E049C"/>
    <w:rsid w:val="412016AC"/>
    <w:rsid w:val="412395AA"/>
    <w:rsid w:val="4124558E"/>
    <w:rsid w:val="4124D8A7"/>
    <w:rsid w:val="4125CCE0"/>
    <w:rsid w:val="41269BD0"/>
    <w:rsid w:val="4126E89F"/>
    <w:rsid w:val="4126FD6A"/>
    <w:rsid w:val="41279CAD"/>
    <w:rsid w:val="41296DAD"/>
    <w:rsid w:val="4129C168"/>
    <w:rsid w:val="412BE2AB"/>
    <w:rsid w:val="412C1927"/>
    <w:rsid w:val="412C4C65"/>
    <w:rsid w:val="412D0807"/>
    <w:rsid w:val="412D5869"/>
    <w:rsid w:val="413044E7"/>
    <w:rsid w:val="41386533"/>
    <w:rsid w:val="4138681C"/>
    <w:rsid w:val="413BBA5B"/>
    <w:rsid w:val="413F7ADC"/>
    <w:rsid w:val="413FFA65"/>
    <w:rsid w:val="4141E623"/>
    <w:rsid w:val="41420799"/>
    <w:rsid w:val="4143334A"/>
    <w:rsid w:val="414395EB"/>
    <w:rsid w:val="41468D87"/>
    <w:rsid w:val="414746CE"/>
    <w:rsid w:val="41491F4D"/>
    <w:rsid w:val="414B30B9"/>
    <w:rsid w:val="414BCB18"/>
    <w:rsid w:val="41501307"/>
    <w:rsid w:val="41563D6B"/>
    <w:rsid w:val="41568659"/>
    <w:rsid w:val="415768A1"/>
    <w:rsid w:val="415AA3CF"/>
    <w:rsid w:val="415CA0B7"/>
    <w:rsid w:val="415CF098"/>
    <w:rsid w:val="415D235C"/>
    <w:rsid w:val="415EEC14"/>
    <w:rsid w:val="41617840"/>
    <w:rsid w:val="4161ACE9"/>
    <w:rsid w:val="41627374"/>
    <w:rsid w:val="4163489C"/>
    <w:rsid w:val="4163B1DA"/>
    <w:rsid w:val="4163DFF4"/>
    <w:rsid w:val="416753AD"/>
    <w:rsid w:val="416925F6"/>
    <w:rsid w:val="416F6898"/>
    <w:rsid w:val="41706353"/>
    <w:rsid w:val="41715B7A"/>
    <w:rsid w:val="41724615"/>
    <w:rsid w:val="41724B36"/>
    <w:rsid w:val="41751FEF"/>
    <w:rsid w:val="417547EA"/>
    <w:rsid w:val="4179733F"/>
    <w:rsid w:val="417D4583"/>
    <w:rsid w:val="417FE026"/>
    <w:rsid w:val="418071AC"/>
    <w:rsid w:val="41813390"/>
    <w:rsid w:val="4182A740"/>
    <w:rsid w:val="4186E259"/>
    <w:rsid w:val="4188CC87"/>
    <w:rsid w:val="418988DD"/>
    <w:rsid w:val="418C05D5"/>
    <w:rsid w:val="418DB6FE"/>
    <w:rsid w:val="419612FE"/>
    <w:rsid w:val="4196217A"/>
    <w:rsid w:val="4199270C"/>
    <w:rsid w:val="419A81BA"/>
    <w:rsid w:val="419BE975"/>
    <w:rsid w:val="419BF435"/>
    <w:rsid w:val="41A1ADD9"/>
    <w:rsid w:val="41A1D1A8"/>
    <w:rsid w:val="41A4513F"/>
    <w:rsid w:val="41A64318"/>
    <w:rsid w:val="41A6EFFE"/>
    <w:rsid w:val="41AB0931"/>
    <w:rsid w:val="41AB7B3F"/>
    <w:rsid w:val="41AC65A5"/>
    <w:rsid w:val="41ACF463"/>
    <w:rsid w:val="41AD5AE0"/>
    <w:rsid w:val="41ADA7E2"/>
    <w:rsid w:val="41ADFC76"/>
    <w:rsid w:val="41AE1A78"/>
    <w:rsid w:val="41AE95DF"/>
    <w:rsid w:val="41AF2802"/>
    <w:rsid w:val="41AF921B"/>
    <w:rsid w:val="41B1F6D8"/>
    <w:rsid w:val="41B30728"/>
    <w:rsid w:val="41B7FDFE"/>
    <w:rsid w:val="41B876D7"/>
    <w:rsid w:val="41BBBEB1"/>
    <w:rsid w:val="41BC3DE4"/>
    <w:rsid w:val="41BC76C6"/>
    <w:rsid w:val="41BD414C"/>
    <w:rsid w:val="41BF2D14"/>
    <w:rsid w:val="41C990A4"/>
    <w:rsid w:val="41CA56BB"/>
    <w:rsid w:val="41CB2237"/>
    <w:rsid w:val="41CF5691"/>
    <w:rsid w:val="41D4CD74"/>
    <w:rsid w:val="41D645F3"/>
    <w:rsid w:val="41D8B73C"/>
    <w:rsid w:val="41D96495"/>
    <w:rsid w:val="41DA4AE5"/>
    <w:rsid w:val="41DB2BA4"/>
    <w:rsid w:val="41DBDAB2"/>
    <w:rsid w:val="41E08921"/>
    <w:rsid w:val="41E2DC2D"/>
    <w:rsid w:val="41E4179D"/>
    <w:rsid w:val="41E4181D"/>
    <w:rsid w:val="41E4ABEB"/>
    <w:rsid w:val="41E7C1D1"/>
    <w:rsid w:val="41E930A1"/>
    <w:rsid w:val="41EB81F2"/>
    <w:rsid w:val="41EF95B1"/>
    <w:rsid w:val="41F02CBC"/>
    <w:rsid w:val="41F06E4E"/>
    <w:rsid w:val="41F22B59"/>
    <w:rsid w:val="41F3B925"/>
    <w:rsid w:val="41F43BA6"/>
    <w:rsid w:val="41F6F137"/>
    <w:rsid w:val="41F8FA0B"/>
    <w:rsid w:val="41FA6330"/>
    <w:rsid w:val="41FADE25"/>
    <w:rsid w:val="41FC1BD3"/>
    <w:rsid w:val="41FD4C36"/>
    <w:rsid w:val="41FD5654"/>
    <w:rsid w:val="41FECBA3"/>
    <w:rsid w:val="41FF516B"/>
    <w:rsid w:val="4200C083"/>
    <w:rsid w:val="4203C448"/>
    <w:rsid w:val="420477DF"/>
    <w:rsid w:val="4205E308"/>
    <w:rsid w:val="4207B684"/>
    <w:rsid w:val="42084FEF"/>
    <w:rsid w:val="420BC30D"/>
    <w:rsid w:val="420C58C2"/>
    <w:rsid w:val="420CC16C"/>
    <w:rsid w:val="420CDEB3"/>
    <w:rsid w:val="420F015A"/>
    <w:rsid w:val="42103933"/>
    <w:rsid w:val="4213C217"/>
    <w:rsid w:val="4213E429"/>
    <w:rsid w:val="4216149B"/>
    <w:rsid w:val="42167711"/>
    <w:rsid w:val="421690FC"/>
    <w:rsid w:val="42196788"/>
    <w:rsid w:val="421AB21A"/>
    <w:rsid w:val="421CE8E8"/>
    <w:rsid w:val="421F1349"/>
    <w:rsid w:val="42209D3E"/>
    <w:rsid w:val="4220D5A7"/>
    <w:rsid w:val="42232969"/>
    <w:rsid w:val="42256D64"/>
    <w:rsid w:val="422738D2"/>
    <w:rsid w:val="42274F3B"/>
    <w:rsid w:val="42280E7C"/>
    <w:rsid w:val="42299409"/>
    <w:rsid w:val="422AB42C"/>
    <w:rsid w:val="422B5E56"/>
    <w:rsid w:val="422B7B30"/>
    <w:rsid w:val="422D4077"/>
    <w:rsid w:val="422EA690"/>
    <w:rsid w:val="4231BE15"/>
    <w:rsid w:val="42341EE7"/>
    <w:rsid w:val="4234F5EA"/>
    <w:rsid w:val="423EF475"/>
    <w:rsid w:val="423F5CB1"/>
    <w:rsid w:val="4241B47F"/>
    <w:rsid w:val="4241DCA4"/>
    <w:rsid w:val="4243D1EE"/>
    <w:rsid w:val="4247E518"/>
    <w:rsid w:val="42484D24"/>
    <w:rsid w:val="42485603"/>
    <w:rsid w:val="424DCF8E"/>
    <w:rsid w:val="424E33F1"/>
    <w:rsid w:val="4251496F"/>
    <w:rsid w:val="425262CB"/>
    <w:rsid w:val="4255E84C"/>
    <w:rsid w:val="4255ED6F"/>
    <w:rsid w:val="42586283"/>
    <w:rsid w:val="42588206"/>
    <w:rsid w:val="42599A1E"/>
    <w:rsid w:val="425D2950"/>
    <w:rsid w:val="425D717E"/>
    <w:rsid w:val="425F5607"/>
    <w:rsid w:val="425F6317"/>
    <w:rsid w:val="425F737A"/>
    <w:rsid w:val="425F76A1"/>
    <w:rsid w:val="42619D0D"/>
    <w:rsid w:val="426392C0"/>
    <w:rsid w:val="42643744"/>
    <w:rsid w:val="4265C09B"/>
    <w:rsid w:val="42671F83"/>
    <w:rsid w:val="426AD3C0"/>
    <w:rsid w:val="426BF9E3"/>
    <w:rsid w:val="426C2B87"/>
    <w:rsid w:val="426D5C2F"/>
    <w:rsid w:val="426E4BCC"/>
    <w:rsid w:val="426FC87A"/>
    <w:rsid w:val="42703D13"/>
    <w:rsid w:val="427100ED"/>
    <w:rsid w:val="42739B51"/>
    <w:rsid w:val="42796593"/>
    <w:rsid w:val="427BA76F"/>
    <w:rsid w:val="427F1D16"/>
    <w:rsid w:val="42808C6E"/>
    <w:rsid w:val="4283B7F5"/>
    <w:rsid w:val="4286F7F3"/>
    <w:rsid w:val="42884F07"/>
    <w:rsid w:val="42896216"/>
    <w:rsid w:val="428E98D5"/>
    <w:rsid w:val="428EF38F"/>
    <w:rsid w:val="428F5F5C"/>
    <w:rsid w:val="4293B963"/>
    <w:rsid w:val="42977324"/>
    <w:rsid w:val="4297C85D"/>
    <w:rsid w:val="4298112F"/>
    <w:rsid w:val="429856B4"/>
    <w:rsid w:val="429A67F2"/>
    <w:rsid w:val="429BC64E"/>
    <w:rsid w:val="429EB206"/>
    <w:rsid w:val="42A32CD7"/>
    <w:rsid w:val="42A33EA0"/>
    <w:rsid w:val="42A3848A"/>
    <w:rsid w:val="42A4A462"/>
    <w:rsid w:val="42A59E5D"/>
    <w:rsid w:val="42A8B3B8"/>
    <w:rsid w:val="42A9502F"/>
    <w:rsid w:val="42A987E9"/>
    <w:rsid w:val="42ABA92B"/>
    <w:rsid w:val="42AE4FFB"/>
    <w:rsid w:val="42B07D0E"/>
    <w:rsid w:val="42B7A7BC"/>
    <w:rsid w:val="42B7BF6A"/>
    <w:rsid w:val="42BA972B"/>
    <w:rsid w:val="42BE9E69"/>
    <w:rsid w:val="42BFE84B"/>
    <w:rsid w:val="42BFF7EB"/>
    <w:rsid w:val="42C28614"/>
    <w:rsid w:val="42C300EA"/>
    <w:rsid w:val="42C31F7B"/>
    <w:rsid w:val="42C6AB14"/>
    <w:rsid w:val="42C7FDF1"/>
    <w:rsid w:val="42C81BD1"/>
    <w:rsid w:val="42CBCDC3"/>
    <w:rsid w:val="42CBED64"/>
    <w:rsid w:val="42CD0589"/>
    <w:rsid w:val="42CDE856"/>
    <w:rsid w:val="42CE8A33"/>
    <w:rsid w:val="42D00452"/>
    <w:rsid w:val="42D2C725"/>
    <w:rsid w:val="42D9F930"/>
    <w:rsid w:val="42DD2A44"/>
    <w:rsid w:val="42DDFE20"/>
    <w:rsid w:val="42DEEFDD"/>
    <w:rsid w:val="42E5075D"/>
    <w:rsid w:val="42E674F9"/>
    <w:rsid w:val="42E6C423"/>
    <w:rsid w:val="42E6D3D0"/>
    <w:rsid w:val="42E7A34F"/>
    <w:rsid w:val="42E9ABEB"/>
    <w:rsid w:val="42E9B2EF"/>
    <w:rsid w:val="42EB32F3"/>
    <w:rsid w:val="42EC04C9"/>
    <w:rsid w:val="42EE4579"/>
    <w:rsid w:val="42EE4764"/>
    <w:rsid w:val="42EFC8A2"/>
    <w:rsid w:val="42F4C14F"/>
    <w:rsid w:val="42FB5AEA"/>
    <w:rsid w:val="42FC776E"/>
    <w:rsid w:val="42FE1FFD"/>
    <w:rsid w:val="42FE9147"/>
    <w:rsid w:val="430011A3"/>
    <w:rsid w:val="43004891"/>
    <w:rsid w:val="43017C34"/>
    <w:rsid w:val="43027607"/>
    <w:rsid w:val="4302A85A"/>
    <w:rsid w:val="4302B739"/>
    <w:rsid w:val="43030F19"/>
    <w:rsid w:val="4305245C"/>
    <w:rsid w:val="4307D99D"/>
    <w:rsid w:val="43089146"/>
    <w:rsid w:val="43096C07"/>
    <w:rsid w:val="43098042"/>
    <w:rsid w:val="430AABBB"/>
    <w:rsid w:val="430E7EE1"/>
    <w:rsid w:val="431013EB"/>
    <w:rsid w:val="43187B45"/>
    <w:rsid w:val="43196EFE"/>
    <w:rsid w:val="431B467B"/>
    <w:rsid w:val="431BDB3E"/>
    <w:rsid w:val="431C0D3B"/>
    <w:rsid w:val="431C6EF7"/>
    <w:rsid w:val="431CFC93"/>
    <w:rsid w:val="43208B61"/>
    <w:rsid w:val="432142EB"/>
    <w:rsid w:val="432151F0"/>
    <w:rsid w:val="4325C35D"/>
    <w:rsid w:val="432769BA"/>
    <w:rsid w:val="43277DEF"/>
    <w:rsid w:val="4327AA0E"/>
    <w:rsid w:val="4328C0E1"/>
    <w:rsid w:val="432A4E1C"/>
    <w:rsid w:val="432CE0FA"/>
    <w:rsid w:val="4330B0F9"/>
    <w:rsid w:val="4333FD79"/>
    <w:rsid w:val="4336AC8F"/>
    <w:rsid w:val="433ADC19"/>
    <w:rsid w:val="433B1B35"/>
    <w:rsid w:val="433D0DA6"/>
    <w:rsid w:val="433F6D13"/>
    <w:rsid w:val="433FE1F8"/>
    <w:rsid w:val="4347B806"/>
    <w:rsid w:val="4348C12C"/>
    <w:rsid w:val="434CC446"/>
    <w:rsid w:val="434D17B5"/>
    <w:rsid w:val="434DAD34"/>
    <w:rsid w:val="434FFDA2"/>
    <w:rsid w:val="43515200"/>
    <w:rsid w:val="4351D679"/>
    <w:rsid w:val="4353623E"/>
    <w:rsid w:val="4354F707"/>
    <w:rsid w:val="4355DE6C"/>
    <w:rsid w:val="43572A3F"/>
    <w:rsid w:val="4358070D"/>
    <w:rsid w:val="43594F6D"/>
    <w:rsid w:val="4359D189"/>
    <w:rsid w:val="435BE123"/>
    <w:rsid w:val="435C3C2F"/>
    <w:rsid w:val="435D9700"/>
    <w:rsid w:val="435FE7D1"/>
    <w:rsid w:val="43604562"/>
    <w:rsid w:val="43667E53"/>
    <w:rsid w:val="436758BB"/>
    <w:rsid w:val="4367958B"/>
    <w:rsid w:val="4368497F"/>
    <w:rsid w:val="4369995C"/>
    <w:rsid w:val="436DBFA3"/>
    <w:rsid w:val="436DC690"/>
    <w:rsid w:val="436F0CB8"/>
    <w:rsid w:val="4375F191"/>
    <w:rsid w:val="43762CCB"/>
    <w:rsid w:val="437881ED"/>
    <w:rsid w:val="437ACDC7"/>
    <w:rsid w:val="438020A3"/>
    <w:rsid w:val="43815885"/>
    <w:rsid w:val="43860C87"/>
    <w:rsid w:val="4386EC48"/>
    <w:rsid w:val="438767A2"/>
    <w:rsid w:val="4387CE4C"/>
    <w:rsid w:val="438B84B0"/>
    <w:rsid w:val="438CDF3A"/>
    <w:rsid w:val="438E5E1C"/>
    <w:rsid w:val="438E9652"/>
    <w:rsid w:val="438F04B7"/>
    <w:rsid w:val="4392545F"/>
    <w:rsid w:val="4393681F"/>
    <w:rsid w:val="43943793"/>
    <w:rsid w:val="43954C40"/>
    <w:rsid w:val="439A7AE6"/>
    <w:rsid w:val="439B2571"/>
    <w:rsid w:val="439C0423"/>
    <w:rsid w:val="43A306D3"/>
    <w:rsid w:val="43A3A2AB"/>
    <w:rsid w:val="43A43DC5"/>
    <w:rsid w:val="43A4530F"/>
    <w:rsid w:val="43A5D718"/>
    <w:rsid w:val="43A7C676"/>
    <w:rsid w:val="43AA8790"/>
    <w:rsid w:val="43ABBD1E"/>
    <w:rsid w:val="43AEB17E"/>
    <w:rsid w:val="43B09971"/>
    <w:rsid w:val="43B161F3"/>
    <w:rsid w:val="43B314D0"/>
    <w:rsid w:val="43B3CCB2"/>
    <w:rsid w:val="43B7AFAE"/>
    <w:rsid w:val="43B7BE14"/>
    <w:rsid w:val="43B96691"/>
    <w:rsid w:val="43C1A772"/>
    <w:rsid w:val="43C28FED"/>
    <w:rsid w:val="43C310CC"/>
    <w:rsid w:val="43C46BCA"/>
    <w:rsid w:val="43C47B54"/>
    <w:rsid w:val="43C81E4D"/>
    <w:rsid w:val="43CEC991"/>
    <w:rsid w:val="43CEDA02"/>
    <w:rsid w:val="43D1E8C6"/>
    <w:rsid w:val="43D60353"/>
    <w:rsid w:val="43D69D67"/>
    <w:rsid w:val="43DBAF51"/>
    <w:rsid w:val="43DCD3B9"/>
    <w:rsid w:val="43DF11E4"/>
    <w:rsid w:val="43E0AD39"/>
    <w:rsid w:val="43E2349A"/>
    <w:rsid w:val="43E251BB"/>
    <w:rsid w:val="43E55CDF"/>
    <w:rsid w:val="43E8EEE3"/>
    <w:rsid w:val="43EB9213"/>
    <w:rsid w:val="43EE8DE7"/>
    <w:rsid w:val="43EF94CD"/>
    <w:rsid w:val="43F215F8"/>
    <w:rsid w:val="43F2F0BB"/>
    <w:rsid w:val="43F63491"/>
    <w:rsid w:val="43F6C883"/>
    <w:rsid w:val="43F9231D"/>
    <w:rsid w:val="43FBDC93"/>
    <w:rsid w:val="43FBE85F"/>
    <w:rsid w:val="43FEB265"/>
    <w:rsid w:val="4403E21B"/>
    <w:rsid w:val="44048B07"/>
    <w:rsid w:val="44049F24"/>
    <w:rsid w:val="4405C440"/>
    <w:rsid w:val="4406C80E"/>
    <w:rsid w:val="44072194"/>
    <w:rsid w:val="440DE0E4"/>
    <w:rsid w:val="440F142F"/>
    <w:rsid w:val="440F2653"/>
    <w:rsid w:val="44103359"/>
    <w:rsid w:val="44134453"/>
    <w:rsid w:val="4414580F"/>
    <w:rsid w:val="4415106D"/>
    <w:rsid w:val="4416B65F"/>
    <w:rsid w:val="44177839"/>
    <w:rsid w:val="44178F4B"/>
    <w:rsid w:val="441AFA93"/>
    <w:rsid w:val="44201561"/>
    <w:rsid w:val="442098C9"/>
    <w:rsid w:val="4421672B"/>
    <w:rsid w:val="4422FE2E"/>
    <w:rsid w:val="44261291"/>
    <w:rsid w:val="4426F2E1"/>
    <w:rsid w:val="44276238"/>
    <w:rsid w:val="4429C908"/>
    <w:rsid w:val="442A2FEA"/>
    <w:rsid w:val="442A8389"/>
    <w:rsid w:val="442AB8A3"/>
    <w:rsid w:val="442DCC00"/>
    <w:rsid w:val="44321EC5"/>
    <w:rsid w:val="44343772"/>
    <w:rsid w:val="4434F215"/>
    <w:rsid w:val="4435344A"/>
    <w:rsid w:val="44364E55"/>
    <w:rsid w:val="44375547"/>
    <w:rsid w:val="443F42D4"/>
    <w:rsid w:val="4440DE78"/>
    <w:rsid w:val="44426303"/>
    <w:rsid w:val="4445661F"/>
    <w:rsid w:val="4448315C"/>
    <w:rsid w:val="44487391"/>
    <w:rsid w:val="4448F344"/>
    <w:rsid w:val="444F0654"/>
    <w:rsid w:val="44514610"/>
    <w:rsid w:val="445776B4"/>
    <w:rsid w:val="44584C2D"/>
    <w:rsid w:val="4458E41F"/>
    <w:rsid w:val="445B3139"/>
    <w:rsid w:val="445E1E92"/>
    <w:rsid w:val="446056EC"/>
    <w:rsid w:val="44627325"/>
    <w:rsid w:val="446AAA50"/>
    <w:rsid w:val="446BA0FD"/>
    <w:rsid w:val="446BD49C"/>
    <w:rsid w:val="446D0010"/>
    <w:rsid w:val="446DACB9"/>
    <w:rsid w:val="446E9E9E"/>
    <w:rsid w:val="446FAA01"/>
    <w:rsid w:val="446FD38D"/>
    <w:rsid w:val="4471A00C"/>
    <w:rsid w:val="44724B1B"/>
    <w:rsid w:val="4472CB4B"/>
    <w:rsid w:val="4472E1F5"/>
    <w:rsid w:val="447336DB"/>
    <w:rsid w:val="4475B1CA"/>
    <w:rsid w:val="4476FF81"/>
    <w:rsid w:val="4477715A"/>
    <w:rsid w:val="447E26B6"/>
    <w:rsid w:val="44823E8F"/>
    <w:rsid w:val="44824911"/>
    <w:rsid w:val="448375A3"/>
    <w:rsid w:val="4484107C"/>
    <w:rsid w:val="4484AFCD"/>
    <w:rsid w:val="448674CA"/>
    <w:rsid w:val="448824C9"/>
    <w:rsid w:val="4488D101"/>
    <w:rsid w:val="44928D3A"/>
    <w:rsid w:val="4492AA0F"/>
    <w:rsid w:val="4493A0FE"/>
    <w:rsid w:val="4494A23B"/>
    <w:rsid w:val="449568DC"/>
    <w:rsid w:val="44959A8B"/>
    <w:rsid w:val="44959AD6"/>
    <w:rsid w:val="449787DE"/>
    <w:rsid w:val="449904FB"/>
    <w:rsid w:val="4499184F"/>
    <w:rsid w:val="44992631"/>
    <w:rsid w:val="449BD10E"/>
    <w:rsid w:val="449D2E4D"/>
    <w:rsid w:val="449DA043"/>
    <w:rsid w:val="44A1071F"/>
    <w:rsid w:val="44A11A6F"/>
    <w:rsid w:val="44A1DF22"/>
    <w:rsid w:val="44A33304"/>
    <w:rsid w:val="44A980FB"/>
    <w:rsid w:val="44AC648B"/>
    <w:rsid w:val="44AE127F"/>
    <w:rsid w:val="44B012E6"/>
    <w:rsid w:val="44B24FF6"/>
    <w:rsid w:val="44B2DC35"/>
    <w:rsid w:val="44B67536"/>
    <w:rsid w:val="44BD7D8E"/>
    <w:rsid w:val="44BE3AD3"/>
    <w:rsid w:val="44BE52B3"/>
    <w:rsid w:val="44BE8C11"/>
    <w:rsid w:val="44BF7A89"/>
    <w:rsid w:val="44C14AC0"/>
    <w:rsid w:val="44C313A2"/>
    <w:rsid w:val="44C3C3D7"/>
    <w:rsid w:val="44C4D530"/>
    <w:rsid w:val="44C8DAA6"/>
    <w:rsid w:val="44CC051B"/>
    <w:rsid w:val="44CC6539"/>
    <w:rsid w:val="44CCBF75"/>
    <w:rsid w:val="44CE0017"/>
    <w:rsid w:val="44CE5920"/>
    <w:rsid w:val="44D17BCF"/>
    <w:rsid w:val="44D19BB4"/>
    <w:rsid w:val="44D1DE06"/>
    <w:rsid w:val="44D584B8"/>
    <w:rsid w:val="44D58C6B"/>
    <w:rsid w:val="44D6BE46"/>
    <w:rsid w:val="44D9BAE7"/>
    <w:rsid w:val="44DCB750"/>
    <w:rsid w:val="44E22894"/>
    <w:rsid w:val="44E294E4"/>
    <w:rsid w:val="44EB6C8A"/>
    <w:rsid w:val="44EBD47A"/>
    <w:rsid w:val="44EBFB52"/>
    <w:rsid w:val="44EDC4C5"/>
    <w:rsid w:val="44EF1A52"/>
    <w:rsid w:val="44F25EFC"/>
    <w:rsid w:val="44F56BB7"/>
    <w:rsid w:val="44F578A6"/>
    <w:rsid w:val="44F59BAC"/>
    <w:rsid w:val="44F60770"/>
    <w:rsid w:val="44F8405B"/>
    <w:rsid w:val="44F98F36"/>
    <w:rsid w:val="44FA17FC"/>
    <w:rsid w:val="44FA8C78"/>
    <w:rsid w:val="44FB5BE7"/>
    <w:rsid w:val="44FC0303"/>
    <w:rsid w:val="44FD9122"/>
    <w:rsid w:val="44FDE6C2"/>
    <w:rsid w:val="45004978"/>
    <w:rsid w:val="45025EC6"/>
    <w:rsid w:val="4504203C"/>
    <w:rsid w:val="45065094"/>
    <w:rsid w:val="4507333B"/>
    <w:rsid w:val="4507800A"/>
    <w:rsid w:val="4508E439"/>
    <w:rsid w:val="450AAA28"/>
    <w:rsid w:val="450B7F85"/>
    <w:rsid w:val="450D78F7"/>
    <w:rsid w:val="4514075F"/>
    <w:rsid w:val="4517E4A0"/>
    <w:rsid w:val="45181588"/>
    <w:rsid w:val="451DD588"/>
    <w:rsid w:val="451E8C00"/>
    <w:rsid w:val="45215A01"/>
    <w:rsid w:val="4523234D"/>
    <w:rsid w:val="45246389"/>
    <w:rsid w:val="45259ACB"/>
    <w:rsid w:val="453025CB"/>
    <w:rsid w:val="45304EE8"/>
    <w:rsid w:val="4531CF9D"/>
    <w:rsid w:val="4533D004"/>
    <w:rsid w:val="45341E80"/>
    <w:rsid w:val="45343A98"/>
    <w:rsid w:val="4534EA38"/>
    <w:rsid w:val="453905B0"/>
    <w:rsid w:val="453BD1CD"/>
    <w:rsid w:val="453BF4DD"/>
    <w:rsid w:val="453CBBDE"/>
    <w:rsid w:val="453CF33F"/>
    <w:rsid w:val="453E6355"/>
    <w:rsid w:val="453EF7F7"/>
    <w:rsid w:val="4544CEEB"/>
    <w:rsid w:val="45451529"/>
    <w:rsid w:val="4547B5A2"/>
    <w:rsid w:val="454B482C"/>
    <w:rsid w:val="454B4C28"/>
    <w:rsid w:val="454EE5B0"/>
    <w:rsid w:val="454F7B44"/>
    <w:rsid w:val="4552BEFD"/>
    <w:rsid w:val="4553963D"/>
    <w:rsid w:val="45547B26"/>
    <w:rsid w:val="45577C50"/>
    <w:rsid w:val="45578C64"/>
    <w:rsid w:val="45598AE0"/>
    <w:rsid w:val="455A4FAD"/>
    <w:rsid w:val="455B28F1"/>
    <w:rsid w:val="455C27C4"/>
    <w:rsid w:val="455C9584"/>
    <w:rsid w:val="455EE858"/>
    <w:rsid w:val="4564C423"/>
    <w:rsid w:val="4564E139"/>
    <w:rsid w:val="456559FC"/>
    <w:rsid w:val="45657E9E"/>
    <w:rsid w:val="456882B3"/>
    <w:rsid w:val="456D6E88"/>
    <w:rsid w:val="456EB4D9"/>
    <w:rsid w:val="456F0855"/>
    <w:rsid w:val="4571D627"/>
    <w:rsid w:val="4572AFDE"/>
    <w:rsid w:val="4572CD35"/>
    <w:rsid w:val="45730EF0"/>
    <w:rsid w:val="4574BF0B"/>
    <w:rsid w:val="457AE35B"/>
    <w:rsid w:val="457CB473"/>
    <w:rsid w:val="457CD782"/>
    <w:rsid w:val="457D1337"/>
    <w:rsid w:val="457DA853"/>
    <w:rsid w:val="457E8760"/>
    <w:rsid w:val="457FB943"/>
    <w:rsid w:val="45802D66"/>
    <w:rsid w:val="458231F9"/>
    <w:rsid w:val="4583AA0A"/>
    <w:rsid w:val="45885C76"/>
    <w:rsid w:val="458975B0"/>
    <w:rsid w:val="458C0867"/>
    <w:rsid w:val="458D79CB"/>
    <w:rsid w:val="458EE62E"/>
    <w:rsid w:val="45920055"/>
    <w:rsid w:val="45923E29"/>
    <w:rsid w:val="45948307"/>
    <w:rsid w:val="459A1145"/>
    <w:rsid w:val="459B78EB"/>
    <w:rsid w:val="459CE00F"/>
    <w:rsid w:val="459D3D88"/>
    <w:rsid w:val="459EA192"/>
    <w:rsid w:val="459F9AB3"/>
    <w:rsid w:val="45A18C1C"/>
    <w:rsid w:val="45A596A0"/>
    <w:rsid w:val="45A7D6E2"/>
    <w:rsid w:val="45AB4668"/>
    <w:rsid w:val="45AD6688"/>
    <w:rsid w:val="45AED382"/>
    <w:rsid w:val="45B1D61F"/>
    <w:rsid w:val="45B4A8DA"/>
    <w:rsid w:val="45B562BB"/>
    <w:rsid w:val="45B8505C"/>
    <w:rsid w:val="45B90D67"/>
    <w:rsid w:val="45BB329D"/>
    <w:rsid w:val="45C20765"/>
    <w:rsid w:val="45C33F06"/>
    <w:rsid w:val="45C40253"/>
    <w:rsid w:val="45C4E3F9"/>
    <w:rsid w:val="45C52D24"/>
    <w:rsid w:val="45C83A5D"/>
    <w:rsid w:val="45C84C7A"/>
    <w:rsid w:val="45C9A5B6"/>
    <w:rsid w:val="45CA9D08"/>
    <w:rsid w:val="45CB149B"/>
    <w:rsid w:val="45CC3DE0"/>
    <w:rsid w:val="45CC5295"/>
    <w:rsid w:val="45CE64CE"/>
    <w:rsid w:val="45CF0CB6"/>
    <w:rsid w:val="45D0AA9C"/>
    <w:rsid w:val="45D17BE6"/>
    <w:rsid w:val="45D6C6C6"/>
    <w:rsid w:val="45D6FC58"/>
    <w:rsid w:val="45D9EBED"/>
    <w:rsid w:val="45DA19F3"/>
    <w:rsid w:val="45DA2B47"/>
    <w:rsid w:val="45E78D9F"/>
    <w:rsid w:val="45EB3BDF"/>
    <w:rsid w:val="45EEDFAA"/>
    <w:rsid w:val="45EEEAED"/>
    <w:rsid w:val="45EF3B3F"/>
    <w:rsid w:val="45EFAD4C"/>
    <w:rsid w:val="45F021DB"/>
    <w:rsid w:val="45F173B0"/>
    <w:rsid w:val="45F1ABC0"/>
    <w:rsid w:val="45F2E26D"/>
    <w:rsid w:val="45F493A2"/>
    <w:rsid w:val="45F4F4C3"/>
    <w:rsid w:val="45F64628"/>
    <w:rsid w:val="45F7B2CB"/>
    <w:rsid w:val="45F965A0"/>
    <w:rsid w:val="45FB48CF"/>
    <w:rsid w:val="45FF92FE"/>
    <w:rsid w:val="46000D1C"/>
    <w:rsid w:val="460379E1"/>
    <w:rsid w:val="4604C913"/>
    <w:rsid w:val="4607C647"/>
    <w:rsid w:val="46080B8E"/>
    <w:rsid w:val="4609561C"/>
    <w:rsid w:val="460D3C74"/>
    <w:rsid w:val="460E3AA2"/>
    <w:rsid w:val="4610185C"/>
    <w:rsid w:val="4610B82B"/>
    <w:rsid w:val="461408AB"/>
    <w:rsid w:val="4618066C"/>
    <w:rsid w:val="4618D413"/>
    <w:rsid w:val="461EAFCD"/>
    <w:rsid w:val="462093A1"/>
    <w:rsid w:val="462158F1"/>
    <w:rsid w:val="46232CB2"/>
    <w:rsid w:val="462407E9"/>
    <w:rsid w:val="4624D3E8"/>
    <w:rsid w:val="4625E826"/>
    <w:rsid w:val="4626E3B3"/>
    <w:rsid w:val="46270BE8"/>
    <w:rsid w:val="46274891"/>
    <w:rsid w:val="462A0A53"/>
    <w:rsid w:val="462D7754"/>
    <w:rsid w:val="4633BC8B"/>
    <w:rsid w:val="4635766D"/>
    <w:rsid w:val="463970A4"/>
    <w:rsid w:val="463A21AA"/>
    <w:rsid w:val="463FD086"/>
    <w:rsid w:val="4640FBF0"/>
    <w:rsid w:val="4642145F"/>
    <w:rsid w:val="4642E559"/>
    <w:rsid w:val="46435249"/>
    <w:rsid w:val="4643E2AF"/>
    <w:rsid w:val="46495296"/>
    <w:rsid w:val="464DFC09"/>
    <w:rsid w:val="464E6BDA"/>
    <w:rsid w:val="464FB0C5"/>
    <w:rsid w:val="464FDE74"/>
    <w:rsid w:val="46533D56"/>
    <w:rsid w:val="4653A7F4"/>
    <w:rsid w:val="4656CC98"/>
    <w:rsid w:val="46594D9A"/>
    <w:rsid w:val="465A2DC2"/>
    <w:rsid w:val="465C8E2E"/>
    <w:rsid w:val="465CCD6D"/>
    <w:rsid w:val="465D8EDE"/>
    <w:rsid w:val="465EA20D"/>
    <w:rsid w:val="465FA10A"/>
    <w:rsid w:val="4662D409"/>
    <w:rsid w:val="4663F214"/>
    <w:rsid w:val="4663F4DE"/>
    <w:rsid w:val="46659F3A"/>
    <w:rsid w:val="4665B189"/>
    <w:rsid w:val="4669B025"/>
    <w:rsid w:val="466B0112"/>
    <w:rsid w:val="46757775"/>
    <w:rsid w:val="4675B721"/>
    <w:rsid w:val="4676C042"/>
    <w:rsid w:val="467769F8"/>
    <w:rsid w:val="467AC34D"/>
    <w:rsid w:val="467E301D"/>
    <w:rsid w:val="467E7D3D"/>
    <w:rsid w:val="467EC844"/>
    <w:rsid w:val="46847E6B"/>
    <w:rsid w:val="4685A850"/>
    <w:rsid w:val="4686E1A2"/>
    <w:rsid w:val="468E2310"/>
    <w:rsid w:val="468FCFB3"/>
    <w:rsid w:val="46915357"/>
    <w:rsid w:val="46959F24"/>
    <w:rsid w:val="4696CDD1"/>
    <w:rsid w:val="46992554"/>
    <w:rsid w:val="4699B23A"/>
    <w:rsid w:val="469C4118"/>
    <w:rsid w:val="469D4F7F"/>
    <w:rsid w:val="469D5A19"/>
    <w:rsid w:val="469F1862"/>
    <w:rsid w:val="469F36A9"/>
    <w:rsid w:val="46A22716"/>
    <w:rsid w:val="46A2A0AA"/>
    <w:rsid w:val="46A6ED6B"/>
    <w:rsid w:val="46A86244"/>
    <w:rsid w:val="46A899CE"/>
    <w:rsid w:val="46AA173D"/>
    <w:rsid w:val="46AA946A"/>
    <w:rsid w:val="46ADDBAB"/>
    <w:rsid w:val="46ADF3A6"/>
    <w:rsid w:val="46AE515D"/>
    <w:rsid w:val="46AF6217"/>
    <w:rsid w:val="46AF7427"/>
    <w:rsid w:val="46B0D4DE"/>
    <w:rsid w:val="46B1C795"/>
    <w:rsid w:val="46B3B63A"/>
    <w:rsid w:val="46B9DDA5"/>
    <w:rsid w:val="46BAACBE"/>
    <w:rsid w:val="46BCFC17"/>
    <w:rsid w:val="46C1EBDC"/>
    <w:rsid w:val="46C301BC"/>
    <w:rsid w:val="46C491AF"/>
    <w:rsid w:val="46C5CE01"/>
    <w:rsid w:val="46C618AF"/>
    <w:rsid w:val="46C6F490"/>
    <w:rsid w:val="46C79255"/>
    <w:rsid w:val="46C7E729"/>
    <w:rsid w:val="46CBC150"/>
    <w:rsid w:val="46D2EB5F"/>
    <w:rsid w:val="46D34341"/>
    <w:rsid w:val="46D61A75"/>
    <w:rsid w:val="46D6314F"/>
    <w:rsid w:val="46D75E0F"/>
    <w:rsid w:val="46D9506E"/>
    <w:rsid w:val="46DD89C7"/>
    <w:rsid w:val="46DF63D1"/>
    <w:rsid w:val="46E05966"/>
    <w:rsid w:val="46E4AA84"/>
    <w:rsid w:val="46E56CB7"/>
    <w:rsid w:val="46E582FD"/>
    <w:rsid w:val="46E7DB87"/>
    <w:rsid w:val="46E97392"/>
    <w:rsid w:val="46ECA274"/>
    <w:rsid w:val="46ECAAAD"/>
    <w:rsid w:val="46ED9D03"/>
    <w:rsid w:val="46F02880"/>
    <w:rsid w:val="46F25E6A"/>
    <w:rsid w:val="46F2FB1B"/>
    <w:rsid w:val="46F5044B"/>
    <w:rsid w:val="46F5F815"/>
    <w:rsid w:val="46FB1BAD"/>
    <w:rsid w:val="46FBBF07"/>
    <w:rsid w:val="46FD8FDB"/>
    <w:rsid w:val="46FE4AFA"/>
    <w:rsid w:val="4702347F"/>
    <w:rsid w:val="47045958"/>
    <w:rsid w:val="47050C3D"/>
    <w:rsid w:val="4707C3AE"/>
    <w:rsid w:val="4708A3AD"/>
    <w:rsid w:val="47160BD1"/>
    <w:rsid w:val="4716B48F"/>
    <w:rsid w:val="4718DFB0"/>
    <w:rsid w:val="471939BF"/>
    <w:rsid w:val="471FEC7A"/>
    <w:rsid w:val="4724294E"/>
    <w:rsid w:val="47271ACB"/>
    <w:rsid w:val="4727DB74"/>
    <w:rsid w:val="4728A56E"/>
    <w:rsid w:val="472B90C2"/>
    <w:rsid w:val="472DBF9C"/>
    <w:rsid w:val="472F3B50"/>
    <w:rsid w:val="473310F3"/>
    <w:rsid w:val="4734BE00"/>
    <w:rsid w:val="47357320"/>
    <w:rsid w:val="4737055F"/>
    <w:rsid w:val="47395035"/>
    <w:rsid w:val="47402854"/>
    <w:rsid w:val="4743D0C8"/>
    <w:rsid w:val="47444BCA"/>
    <w:rsid w:val="474533D0"/>
    <w:rsid w:val="47480B01"/>
    <w:rsid w:val="4748B30D"/>
    <w:rsid w:val="474A7E6C"/>
    <w:rsid w:val="474E5D30"/>
    <w:rsid w:val="474EAEB0"/>
    <w:rsid w:val="474F2B08"/>
    <w:rsid w:val="4751DAC5"/>
    <w:rsid w:val="4752CDFA"/>
    <w:rsid w:val="47551273"/>
    <w:rsid w:val="4755BC53"/>
    <w:rsid w:val="47589FB2"/>
    <w:rsid w:val="475F1187"/>
    <w:rsid w:val="4760321C"/>
    <w:rsid w:val="476083C8"/>
    <w:rsid w:val="4761857C"/>
    <w:rsid w:val="4763548E"/>
    <w:rsid w:val="4768D9CD"/>
    <w:rsid w:val="4768DFC0"/>
    <w:rsid w:val="4768DFE5"/>
    <w:rsid w:val="476ACD9A"/>
    <w:rsid w:val="476B7282"/>
    <w:rsid w:val="476B9F96"/>
    <w:rsid w:val="476C7AFD"/>
    <w:rsid w:val="476DD2C0"/>
    <w:rsid w:val="4770849E"/>
    <w:rsid w:val="4774D572"/>
    <w:rsid w:val="47759200"/>
    <w:rsid w:val="4777C2D7"/>
    <w:rsid w:val="47780739"/>
    <w:rsid w:val="4778FE4C"/>
    <w:rsid w:val="477A9B41"/>
    <w:rsid w:val="477E32CA"/>
    <w:rsid w:val="4780935B"/>
    <w:rsid w:val="4781D61C"/>
    <w:rsid w:val="47824125"/>
    <w:rsid w:val="47831FE4"/>
    <w:rsid w:val="4783EE31"/>
    <w:rsid w:val="4785563E"/>
    <w:rsid w:val="47868AB6"/>
    <w:rsid w:val="47877A6D"/>
    <w:rsid w:val="4787CD1D"/>
    <w:rsid w:val="478CA10E"/>
    <w:rsid w:val="478EB87D"/>
    <w:rsid w:val="478FB0A9"/>
    <w:rsid w:val="4790CBB3"/>
    <w:rsid w:val="4791A312"/>
    <w:rsid w:val="4791D702"/>
    <w:rsid w:val="4793237B"/>
    <w:rsid w:val="47944B27"/>
    <w:rsid w:val="4795315E"/>
    <w:rsid w:val="47965CB7"/>
    <w:rsid w:val="479B40BE"/>
    <w:rsid w:val="479DF13C"/>
    <w:rsid w:val="47A03F93"/>
    <w:rsid w:val="47A5184A"/>
    <w:rsid w:val="47A7D1F9"/>
    <w:rsid w:val="47A862F7"/>
    <w:rsid w:val="47AA6D62"/>
    <w:rsid w:val="47AB76F4"/>
    <w:rsid w:val="47ADC49F"/>
    <w:rsid w:val="47AE6704"/>
    <w:rsid w:val="47B4C87E"/>
    <w:rsid w:val="47B4CDB4"/>
    <w:rsid w:val="47B8C32A"/>
    <w:rsid w:val="47B99C23"/>
    <w:rsid w:val="47B9A7CB"/>
    <w:rsid w:val="47B9AD82"/>
    <w:rsid w:val="47B9CD06"/>
    <w:rsid w:val="47BCDE12"/>
    <w:rsid w:val="47BECE5C"/>
    <w:rsid w:val="47C1A942"/>
    <w:rsid w:val="47C21078"/>
    <w:rsid w:val="47C47D6A"/>
    <w:rsid w:val="47C8987A"/>
    <w:rsid w:val="47CA41FF"/>
    <w:rsid w:val="47DA5361"/>
    <w:rsid w:val="47DAEECC"/>
    <w:rsid w:val="47DB0ED7"/>
    <w:rsid w:val="47DBB3D1"/>
    <w:rsid w:val="47E4480D"/>
    <w:rsid w:val="47E51891"/>
    <w:rsid w:val="47E6701A"/>
    <w:rsid w:val="47EC5814"/>
    <w:rsid w:val="47EDF6A2"/>
    <w:rsid w:val="47EFAC58"/>
    <w:rsid w:val="47F009D6"/>
    <w:rsid w:val="47F4325D"/>
    <w:rsid w:val="47F7D2E9"/>
    <w:rsid w:val="47FA59F6"/>
    <w:rsid w:val="48054215"/>
    <w:rsid w:val="480751C9"/>
    <w:rsid w:val="480956EE"/>
    <w:rsid w:val="48098337"/>
    <w:rsid w:val="480AE09F"/>
    <w:rsid w:val="480D2C48"/>
    <w:rsid w:val="480D89DB"/>
    <w:rsid w:val="480F4EA9"/>
    <w:rsid w:val="48108324"/>
    <w:rsid w:val="4812EC55"/>
    <w:rsid w:val="4816D0E0"/>
    <w:rsid w:val="481781B3"/>
    <w:rsid w:val="4817EC7E"/>
    <w:rsid w:val="481A1EFA"/>
    <w:rsid w:val="481A1F9F"/>
    <w:rsid w:val="481A6137"/>
    <w:rsid w:val="481AADC0"/>
    <w:rsid w:val="481AE56D"/>
    <w:rsid w:val="481AF87E"/>
    <w:rsid w:val="481CC85A"/>
    <w:rsid w:val="481F5E8E"/>
    <w:rsid w:val="481F62F4"/>
    <w:rsid w:val="4820A8BD"/>
    <w:rsid w:val="482212CF"/>
    <w:rsid w:val="48236DA7"/>
    <w:rsid w:val="482C5088"/>
    <w:rsid w:val="482C6843"/>
    <w:rsid w:val="482C8AC7"/>
    <w:rsid w:val="482E58FB"/>
    <w:rsid w:val="482FCA57"/>
    <w:rsid w:val="48305405"/>
    <w:rsid w:val="483109A3"/>
    <w:rsid w:val="48337ECA"/>
    <w:rsid w:val="4835B01A"/>
    <w:rsid w:val="4838297B"/>
    <w:rsid w:val="4838859C"/>
    <w:rsid w:val="483E7C82"/>
    <w:rsid w:val="483F6B2C"/>
    <w:rsid w:val="48420711"/>
    <w:rsid w:val="4842EDFD"/>
    <w:rsid w:val="4843FB9B"/>
    <w:rsid w:val="4845D921"/>
    <w:rsid w:val="48489616"/>
    <w:rsid w:val="48492538"/>
    <w:rsid w:val="48497FB0"/>
    <w:rsid w:val="484A6E8F"/>
    <w:rsid w:val="484A7038"/>
    <w:rsid w:val="484D334C"/>
    <w:rsid w:val="484D634F"/>
    <w:rsid w:val="484ED0CE"/>
    <w:rsid w:val="4851975F"/>
    <w:rsid w:val="4853272D"/>
    <w:rsid w:val="48548AFD"/>
    <w:rsid w:val="48574A39"/>
    <w:rsid w:val="48585A0C"/>
    <w:rsid w:val="48588C32"/>
    <w:rsid w:val="485BE79F"/>
    <w:rsid w:val="485DF896"/>
    <w:rsid w:val="485E62F1"/>
    <w:rsid w:val="4862C716"/>
    <w:rsid w:val="486447A3"/>
    <w:rsid w:val="48646C18"/>
    <w:rsid w:val="48660B39"/>
    <w:rsid w:val="4866BECB"/>
    <w:rsid w:val="48672CE0"/>
    <w:rsid w:val="48673D2E"/>
    <w:rsid w:val="486B3208"/>
    <w:rsid w:val="486D5C7B"/>
    <w:rsid w:val="486DCC5B"/>
    <w:rsid w:val="486F27C9"/>
    <w:rsid w:val="486FDA2C"/>
    <w:rsid w:val="4870077A"/>
    <w:rsid w:val="48728668"/>
    <w:rsid w:val="48741A8B"/>
    <w:rsid w:val="487BAFC2"/>
    <w:rsid w:val="48825EC2"/>
    <w:rsid w:val="48850314"/>
    <w:rsid w:val="4885C4F3"/>
    <w:rsid w:val="488625CE"/>
    <w:rsid w:val="488AD87A"/>
    <w:rsid w:val="488B1DE3"/>
    <w:rsid w:val="488B73F0"/>
    <w:rsid w:val="488C63ED"/>
    <w:rsid w:val="488C73F9"/>
    <w:rsid w:val="488DA3B8"/>
    <w:rsid w:val="488E4F56"/>
    <w:rsid w:val="488F4644"/>
    <w:rsid w:val="48926F31"/>
    <w:rsid w:val="4895BD89"/>
    <w:rsid w:val="489B1324"/>
    <w:rsid w:val="489C19A7"/>
    <w:rsid w:val="489D5CB0"/>
    <w:rsid w:val="489ED40D"/>
    <w:rsid w:val="48A0ADB6"/>
    <w:rsid w:val="48A1D6C3"/>
    <w:rsid w:val="48A74BEC"/>
    <w:rsid w:val="48AA01D1"/>
    <w:rsid w:val="48AB8863"/>
    <w:rsid w:val="48AD0020"/>
    <w:rsid w:val="48AD1339"/>
    <w:rsid w:val="48AEC1E3"/>
    <w:rsid w:val="48B4179E"/>
    <w:rsid w:val="48B50E29"/>
    <w:rsid w:val="48B9ABF9"/>
    <w:rsid w:val="48BB423E"/>
    <w:rsid w:val="48BD475C"/>
    <w:rsid w:val="48C4221F"/>
    <w:rsid w:val="48C65637"/>
    <w:rsid w:val="48C66303"/>
    <w:rsid w:val="48C732E8"/>
    <w:rsid w:val="48D188AE"/>
    <w:rsid w:val="48D1DE07"/>
    <w:rsid w:val="48D2B2A6"/>
    <w:rsid w:val="48D2DA25"/>
    <w:rsid w:val="48D2F103"/>
    <w:rsid w:val="48D3E126"/>
    <w:rsid w:val="48D43927"/>
    <w:rsid w:val="48D628E4"/>
    <w:rsid w:val="48D6F8D2"/>
    <w:rsid w:val="48D76DA9"/>
    <w:rsid w:val="48D8290E"/>
    <w:rsid w:val="48D9F50D"/>
    <w:rsid w:val="48DABD27"/>
    <w:rsid w:val="48DC06C7"/>
    <w:rsid w:val="48E02687"/>
    <w:rsid w:val="48E2F893"/>
    <w:rsid w:val="48E3D697"/>
    <w:rsid w:val="48E88F99"/>
    <w:rsid w:val="48E8A8D7"/>
    <w:rsid w:val="48E8BC26"/>
    <w:rsid w:val="48E9FCED"/>
    <w:rsid w:val="48EB597A"/>
    <w:rsid w:val="48EBAB4D"/>
    <w:rsid w:val="48ED8533"/>
    <w:rsid w:val="48EF61FF"/>
    <w:rsid w:val="48F18E01"/>
    <w:rsid w:val="48F2286E"/>
    <w:rsid w:val="48F42398"/>
    <w:rsid w:val="48FADBB3"/>
    <w:rsid w:val="48FB4D6B"/>
    <w:rsid w:val="48FBA315"/>
    <w:rsid w:val="48FCD332"/>
    <w:rsid w:val="4902C0FB"/>
    <w:rsid w:val="490415DE"/>
    <w:rsid w:val="49069635"/>
    <w:rsid w:val="490974D6"/>
    <w:rsid w:val="4909977A"/>
    <w:rsid w:val="490E636B"/>
    <w:rsid w:val="491067D5"/>
    <w:rsid w:val="49167746"/>
    <w:rsid w:val="4918460D"/>
    <w:rsid w:val="49198635"/>
    <w:rsid w:val="491AF6B4"/>
    <w:rsid w:val="491AFEA3"/>
    <w:rsid w:val="491FE16B"/>
    <w:rsid w:val="492011FE"/>
    <w:rsid w:val="49203933"/>
    <w:rsid w:val="4921EFDF"/>
    <w:rsid w:val="4922045F"/>
    <w:rsid w:val="492C6D17"/>
    <w:rsid w:val="492F2935"/>
    <w:rsid w:val="49361415"/>
    <w:rsid w:val="49364BE9"/>
    <w:rsid w:val="4937F396"/>
    <w:rsid w:val="493A866D"/>
    <w:rsid w:val="493B8AC6"/>
    <w:rsid w:val="493EE402"/>
    <w:rsid w:val="493F06FF"/>
    <w:rsid w:val="493F7CAD"/>
    <w:rsid w:val="49417757"/>
    <w:rsid w:val="4941DDB5"/>
    <w:rsid w:val="49424735"/>
    <w:rsid w:val="49428143"/>
    <w:rsid w:val="4948785E"/>
    <w:rsid w:val="4948A261"/>
    <w:rsid w:val="494B3D64"/>
    <w:rsid w:val="494C0967"/>
    <w:rsid w:val="494DE04D"/>
    <w:rsid w:val="494E0C8F"/>
    <w:rsid w:val="494EFA27"/>
    <w:rsid w:val="494F9023"/>
    <w:rsid w:val="494FD885"/>
    <w:rsid w:val="49540868"/>
    <w:rsid w:val="49542B9D"/>
    <w:rsid w:val="49546907"/>
    <w:rsid w:val="4954DF5B"/>
    <w:rsid w:val="49557527"/>
    <w:rsid w:val="495E0143"/>
    <w:rsid w:val="496103E9"/>
    <w:rsid w:val="49610ADA"/>
    <w:rsid w:val="4962DD17"/>
    <w:rsid w:val="4966BE53"/>
    <w:rsid w:val="49686686"/>
    <w:rsid w:val="4969EB66"/>
    <w:rsid w:val="496D2316"/>
    <w:rsid w:val="496E0702"/>
    <w:rsid w:val="497289FF"/>
    <w:rsid w:val="49730141"/>
    <w:rsid w:val="49745808"/>
    <w:rsid w:val="4975EB00"/>
    <w:rsid w:val="49775868"/>
    <w:rsid w:val="4978E263"/>
    <w:rsid w:val="4978FF9B"/>
    <w:rsid w:val="497CE343"/>
    <w:rsid w:val="497D0902"/>
    <w:rsid w:val="497E70EC"/>
    <w:rsid w:val="497FF456"/>
    <w:rsid w:val="498014DC"/>
    <w:rsid w:val="498352B4"/>
    <w:rsid w:val="49846C41"/>
    <w:rsid w:val="4984F99B"/>
    <w:rsid w:val="4986C0B4"/>
    <w:rsid w:val="4987DB02"/>
    <w:rsid w:val="4989FEA3"/>
    <w:rsid w:val="4990ECF5"/>
    <w:rsid w:val="4990F4D3"/>
    <w:rsid w:val="49915497"/>
    <w:rsid w:val="4997B165"/>
    <w:rsid w:val="499CE609"/>
    <w:rsid w:val="499DDE8A"/>
    <w:rsid w:val="49A01971"/>
    <w:rsid w:val="49A38789"/>
    <w:rsid w:val="49A61E23"/>
    <w:rsid w:val="49A8E489"/>
    <w:rsid w:val="49AA3F2F"/>
    <w:rsid w:val="49AB1CB7"/>
    <w:rsid w:val="49ACCC2B"/>
    <w:rsid w:val="49AF3165"/>
    <w:rsid w:val="49B17944"/>
    <w:rsid w:val="49B21428"/>
    <w:rsid w:val="49B21DEB"/>
    <w:rsid w:val="49B303A6"/>
    <w:rsid w:val="49B53413"/>
    <w:rsid w:val="49B53575"/>
    <w:rsid w:val="49B59F26"/>
    <w:rsid w:val="49B5F942"/>
    <w:rsid w:val="49B7D9D2"/>
    <w:rsid w:val="49B889F4"/>
    <w:rsid w:val="49BBF439"/>
    <w:rsid w:val="49C33E43"/>
    <w:rsid w:val="49C8BBF5"/>
    <w:rsid w:val="49C8FCCE"/>
    <w:rsid w:val="49C9C882"/>
    <w:rsid w:val="49CD5228"/>
    <w:rsid w:val="49CE0CBC"/>
    <w:rsid w:val="49D0D3F7"/>
    <w:rsid w:val="49D18A73"/>
    <w:rsid w:val="49D48728"/>
    <w:rsid w:val="49D533B0"/>
    <w:rsid w:val="49D53D86"/>
    <w:rsid w:val="49DB930F"/>
    <w:rsid w:val="49DDAEB4"/>
    <w:rsid w:val="49DDBB44"/>
    <w:rsid w:val="49DE50FE"/>
    <w:rsid w:val="49DE67F8"/>
    <w:rsid w:val="49E04A22"/>
    <w:rsid w:val="49E13128"/>
    <w:rsid w:val="49E13D04"/>
    <w:rsid w:val="49E3E603"/>
    <w:rsid w:val="49E3F3AE"/>
    <w:rsid w:val="49E414E1"/>
    <w:rsid w:val="49E53BA5"/>
    <w:rsid w:val="49E68364"/>
    <w:rsid w:val="49E8BDEF"/>
    <w:rsid w:val="49E9A088"/>
    <w:rsid w:val="49EA64D8"/>
    <w:rsid w:val="49EBE9C1"/>
    <w:rsid w:val="49EDFD5C"/>
    <w:rsid w:val="49EE0510"/>
    <w:rsid w:val="49EE82B3"/>
    <w:rsid w:val="49F155EC"/>
    <w:rsid w:val="49F654CC"/>
    <w:rsid w:val="49F787AC"/>
    <w:rsid w:val="49F9390D"/>
    <w:rsid w:val="49FC4D09"/>
    <w:rsid w:val="49FE3DAD"/>
    <w:rsid w:val="49FF1E16"/>
    <w:rsid w:val="4A02E81F"/>
    <w:rsid w:val="4A06557C"/>
    <w:rsid w:val="4A0F02D4"/>
    <w:rsid w:val="4A0FBBDE"/>
    <w:rsid w:val="4A112A3A"/>
    <w:rsid w:val="4A11CBFC"/>
    <w:rsid w:val="4A14E808"/>
    <w:rsid w:val="4A156744"/>
    <w:rsid w:val="4A17FE68"/>
    <w:rsid w:val="4A1A43CA"/>
    <w:rsid w:val="4A1C24BD"/>
    <w:rsid w:val="4A1D2614"/>
    <w:rsid w:val="4A1DB21B"/>
    <w:rsid w:val="4A1F343F"/>
    <w:rsid w:val="4A24D397"/>
    <w:rsid w:val="4A283F6E"/>
    <w:rsid w:val="4A2A7C19"/>
    <w:rsid w:val="4A2CE16D"/>
    <w:rsid w:val="4A2DBDAB"/>
    <w:rsid w:val="4A30BA2F"/>
    <w:rsid w:val="4A327B3D"/>
    <w:rsid w:val="4A3385CF"/>
    <w:rsid w:val="4A355B1C"/>
    <w:rsid w:val="4A369735"/>
    <w:rsid w:val="4A36A437"/>
    <w:rsid w:val="4A392799"/>
    <w:rsid w:val="4A3C5813"/>
    <w:rsid w:val="4A3E9770"/>
    <w:rsid w:val="4A4174B5"/>
    <w:rsid w:val="4A43AE6A"/>
    <w:rsid w:val="4A447B70"/>
    <w:rsid w:val="4A45E827"/>
    <w:rsid w:val="4A45F762"/>
    <w:rsid w:val="4A469FDE"/>
    <w:rsid w:val="4A48D955"/>
    <w:rsid w:val="4A4AC810"/>
    <w:rsid w:val="4A4DC01C"/>
    <w:rsid w:val="4A4E2809"/>
    <w:rsid w:val="4A508732"/>
    <w:rsid w:val="4A51CE27"/>
    <w:rsid w:val="4A5272A5"/>
    <w:rsid w:val="4A53C318"/>
    <w:rsid w:val="4A570504"/>
    <w:rsid w:val="4A5801F5"/>
    <w:rsid w:val="4A5C2F36"/>
    <w:rsid w:val="4A5C4FFC"/>
    <w:rsid w:val="4A5EC0C8"/>
    <w:rsid w:val="4A5FB4D7"/>
    <w:rsid w:val="4A60D5DB"/>
    <w:rsid w:val="4A61FAB1"/>
    <w:rsid w:val="4A632122"/>
    <w:rsid w:val="4A636D42"/>
    <w:rsid w:val="4A64553B"/>
    <w:rsid w:val="4A647AFA"/>
    <w:rsid w:val="4A665FF3"/>
    <w:rsid w:val="4A665FFF"/>
    <w:rsid w:val="4A68D6E6"/>
    <w:rsid w:val="4A69E836"/>
    <w:rsid w:val="4A6A046E"/>
    <w:rsid w:val="4A6AB1B5"/>
    <w:rsid w:val="4A6B7D83"/>
    <w:rsid w:val="4A6C7D52"/>
    <w:rsid w:val="4A70CA46"/>
    <w:rsid w:val="4A71AB99"/>
    <w:rsid w:val="4A72E9FA"/>
    <w:rsid w:val="4A743C9D"/>
    <w:rsid w:val="4A757FB4"/>
    <w:rsid w:val="4A758FFF"/>
    <w:rsid w:val="4A75C8F9"/>
    <w:rsid w:val="4A77B861"/>
    <w:rsid w:val="4A7B711B"/>
    <w:rsid w:val="4A7D8E7A"/>
    <w:rsid w:val="4A7DA81F"/>
    <w:rsid w:val="4A855FE7"/>
    <w:rsid w:val="4A87C0E5"/>
    <w:rsid w:val="4A8A5E78"/>
    <w:rsid w:val="4A8A6D85"/>
    <w:rsid w:val="4A8CE5F9"/>
    <w:rsid w:val="4A8E7893"/>
    <w:rsid w:val="4A913734"/>
    <w:rsid w:val="4A928AC6"/>
    <w:rsid w:val="4A932BF7"/>
    <w:rsid w:val="4A958B6D"/>
    <w:rsid w:val="4A9684AB"/>
    <w:rsid w:val="4A99B8C3"/>
    <w:rsid w:val="4A9C285A"/>
    <w:rsid w:val="4A9EA390"/>
    <w:rsid w:val="4A9F8642"/>
    <w:rsid w:val="4AA06403"/>
    <w:rsid w:val="4AA7B916"/>
    <w:rsid w:val="4AABB201"/>
    <w:rsid w:val="4AACBBB5"/>
    <w:rsid w:val="4AACBDD0"/>
    <w:rsid w:val="4AAE1CC1"/>
    <w:rsid w:val="4AB0D9B8"/>
    <w:rsid w:val="4AB1DFFE"/>
    <w:rsid w:val="4AB32904"/>
    <w:rsid w:val="4AB36A98"/>
    <w:rsid w:val="4AB3B33B"/>
    <w:rsid w:val="4AB45979"/>
    <w:rsid w:val="4AB655D9"/>
    <w:rsid w:val="4AB9926D"/>
    <w:rsid w:val="4ABAF2C2"/>
    <w:rsid w:val="4ABC3CCB"/>
    <w:rsid w:val="4ABC64F3"/>
    <w:rsid w:val="4ABE2B78"/>
    <w:rsid w:val="4AC05C2C"/>
    <w:rsid w:val="4AC1B55C"/>
    <w:rsid w:val="4AC1E020"/>
    <w:rsid w:val="4AC29F3A"/>
    <w:rsid w:val="4AC33399"/>
    <w:rsid w:val="4AC38556"/>
    <w:rsid w:val="4AC60540"/>
    <w:rsid w:val="4AC60EDB"/>
    <w:rsid w:val="4ACE95E7"/>
    <w:rsid w:val="4AD18852"/>
    <w:rsid w:val="4AD18B69"/>
    <w:rsid w:val="4AD4C218"/>
    <w:rsid w:val="4AD68338"/>
    <w:rsid w:val="4AD79D80"/>
    <w:rsid w:val="4AD9787F"/>
    <w:rsid w:val="4ADB8B34"/>
    <w:rsid w:val="4ADBC021"/>
    <w:rsid w:val="4ADC417B"/>
    <w:rsid w:val="4ADE96BE"/>
    <w:rsid w:val="4ADF3970"/>
    <w:rsid w:val="4AE01C2C"/>
    <w:rsid w:val="4AE0E854"/>
    <w:rsid w:val="4AE5D029"/>
    <w:rsid w:val="4AE655EF"/>
    <w:rsid w:val="4AE6DF8A"/>
    <w:rsid w:val="4AE74843"/>
    <w:rsid w:val="4AED2612"/>
    <w:rsid w:val="4AF1790F"/>
    <w:rsid w:val="4AF2357E"/>
    <w:rsid w:val="4AF25443"/>
    <w:rsid w:val="4AF71541"/>
    <w:rsid w:val="4AF841F8"/>
    <w:rsid w:val="4AFA096C"/>
    <w:rsid w:val="4AFDA305"/>
    <w:rsid w:val="4AFEF1AC"/>
    <w:rsid w:val="4AFFC607"/>
    <w:rsid w:val="4B02A414"/>
    <w:rsid w:val="4B03FE00"/>
    <w:rsid w:val="4B054BB2"/>
    <w:rsid w:val="4B09AD4A"/>
    <w:rsid w:val="4B0AD3FE"/>
    <w:rsid w:val="4B0CEFD2"/>
    <w:rsid w:val="4B11C928"/>
    <w:rsid w:val="4B11E41D"/>
    <w:rsid w:val="4B15BE36"/>
    <w:rsid w:val="4B16AB98"/>
    <w:rsid w:val="4B16E7EB"/>
    <w:rsid w:val="4B170D1C"/>
    <w:rsid w:val="4B1B01C4"/>
    <w:rsid w:val="4B1E360F"/>
    <w:rsid w:val="4B21F8D9"/>
    <w:rsid w:val="4B255D61"/>
    <w:rsid w:val="4B263BFF"/>
    <w:rsid w:val="4B2A3DBB"/>
    <w:rsid w:val="4B2BC68E"/>
    <w:rsid w:val="4B2BF874"/>
    <w:rsid w:val="4B2D24F8"/>
    <w:rsid w:val="4B309F32"/>
    <w:rsid w:val="4B33B061"/>
    <w:rsid w:val="4B34C5C6"/>
    <w:rsid w:val="4B369FD5"/>
    <w:rsid w:val="4B36B4CD"/>
    <w:rsid w:val="4B373D61"/>
    <w:rsid w:val="4B399ADE"/>
    <w:rsid w:val="4B3B90E9"/>
    <w:rsid w:val="4B3D38BF"/>
    <w:rsid w:val="4B3E86E6"/>
    <w:rsid w:val="4B3FA822"/>
    <w:rsid w:val="4B3FABBF"/>
    <w:rsid w:val="4B402479"/>
    <w:rsid w:val="4B405130"/>
    <w:rsid w:val="4B40794F"/>
    <w:rsid w:val="4B42D2CA"/>
    <w:rsid w:val="4B46EF5C"/>
    <w:rsid w:val="4B492844"/>
    <w:rsid w:val="4B498C59"/>
    <w:rsid w:val="4B4B664F"/>
    <w:rsid w:val="4B4D2710"/>
    <w:rsid w:val="4B52A5B5"/>
    <w:rsid w:val="4B5322E1"/>
    <w:rsid w:val="4B5425A7"/>
    <w:rsid w:val="4B54FEBC"/>
    <w:rsid w:val="4B559BF0"/>
    <w:rsid w:val="4B55AD4E"/>
    <w:rsid w:val="4B55D7F5"/>
    <w:rsid w:val="4B58BB91"/>
    <w:rsid w:val="4B6267C7"/>
    <w:rsid w:val="4B673E5B"/>
    <w:rsid w:val="4B673FF3"/>
    <w:rsid w:val="4B68F66D"/>
    <w:rsid w:val="4B6A399E"/>
    <w:rsid w:val="4B710DE7"/>
    <w:rsid w:val="4B74B2BA"/>
    <w:rsid w:val="4B74BE3B"/>
    <w:rsid w:val="4B761A4C"/>
    <w:rsid w:val="4B778ECB"/>
    <w:rsid w:val="4B7C3933"/>
    <w:rsid w:val="4B7ED370"/>
    <w:rsid w:val="4B813F0D"/>
    <w:rsid w:val="4B829A90"/>
    <w:rsid w:val="4B83907F"/>
    <w:rsid w:val="4B86D1F8"/>
    <w:rsid w:val="4B8978DD"/>
    <w:rsid w:val="4B8A07FB"/>
    <w:rsid w:val="4B8B78A4"/>
    <w:rsid w:val="4B8BFA9B"/>
    <w:rsid w:val="4B8CA8D0"/>
    <w:rsid w:val="4B91F94E"/>
    <w:rsid w:val="4B921C50"/>
    <w:rsid w:val="4B92DD64"/>
    <w:rsid w:val="4B945320"/>
    <w:rsid w:val="4B94C71B"/>
    <w:rsid w:val="4B95B53E"/>
    <w:rsid w:val="4B96A6AC"/>
    <w:rsid w:val="4B98E757"/>
    <w:rsid w:val="4B9D73AE"/>
    <w:rsid w:val="4B9D8E1C"/>
    <w:rsid w:val="4B9EB0A3"/>
    <w:rsid w:val="4BA2EE96"/>
    <w:rsid w:val="4BA3AF1D"/>
    <w:rsid w:val="4BA5ACCA"/>
    <w:rsid w:val="4BA60EB1"/>
    <w:rsid w:val="4BA6B24A"/>
    <w:rsid w:val="4BAB5344"/>
    <w:rsid w:val="4BAD7186"/>
    <w:rsid w:val="4BAF0A9A"/>
    <w:rsid w:val="4BB2B0D6"/>
    <w:rsid w:val="4BB47D0C"/>
    <w:rsid w:val="4BB51037"/>
    <w:rsid w:val="4BB57042"/>
    <w:rsid w:val="4BB717DC"/>
    <w:rsid w:val="4BB88B0E"/>
    <w:rsid w:val="4BB920E5"/>
    <w:rsid w:val="4BBA1B78"/>
    <w:rsid w:val="4BBBFF15"/>
    <w:rsid w:val="4BBC7F58"/>
    <w:rsid w:val="4BC14205"/>
    <w:rsid w:val="4BC21804"/>
    <w:rsid w:val="4BC23940"/>
    <w:rsid w:val="4BC2BBD6"/>
    <w:rsid w:val="4BC3F4A2"/>
    <w:rsid w:val="4BC7FF12"/>
    <w:rsid w:val="4BC8D064"/>
    <w:rsid w:val="4BC9F612"/>
    <w:rsid w:val="4BCD84D5"/>
    <w:rsid w:val="4BCF0E6E"/>
    <w:rsid w:val="4BD10D71"/>
    <w:rsid w:val="4BD1C3B1"/>
    <w:rsid w:val="4BD220C1"/>
    <w:rsid w:val="4BD2F65E"/>
    <w:rsid w:val="4BD39D43"/>
    <w:rsid w:val="4BD7C155"/>
    <w:rsid w:val="4BD999C4"/>
    <w:rsid w:val="4BDA5910"/>
    <w:rsid w:val="4BDCCF6A"/>
    <w:rsid w:val="4BDFED8D"/>
    <w:rsid w:val="4BE1D5C3"/>
    <w:rsid w:val="4BE3934A"/>
    <w:rsid w:val="4BE4FF95"/>
    <w:rsid w:val="4BE628BE"/>
    <w:rsid w:val="4BE68A69"/>
    <w:rsid w:val="4BE6F3B6"/>
    <w:rsid w:val="4BE80F45"/>
    <w:rsid w:val="4BE94E9E"/>
    <w:rsid w:val="4BEBB476"/>
    <w:rsid w:val="4BED8482"/>
    <w:rsid w:val="4BEDDB62"/>
    <w:rsid w:val="4BEF10EA"/>
    <w:rsid w:val="4BF05083"/>
    <w:rsid w:val="4BF09EE4"/>
    <w:rsid w:val="4BF318AE"/>
    <w:rsid w:val="4BF7A2AD"/>
    <w:rsid w:val="4BF7F2FC"/>
    <w:rsid w:val="4BF98D6D"/>
    <w:rsid w:val="4BFC3BEA"/>
    <w:rsid w:val="4BFC99B7"/>
    <w:rsid w:val="4BFE4C8C"/>
    <w:rsid w:val="4BFFE2EA"/>
    <w:rsid w:val="4C00FF90"/>
    <w:rsid w:val="4C01D05B"/>
    <w:rsid w:val="4C062962"/>
    <w:rsid w:val="4C066D93"/>
    <w:rsid w:val="4C0DC8D6"/>
    <w:rsid w:val="4C0E4A6A"/>
    <w:rsid w:val="4C0EFA2C"/>
    <w:rsid w:val="4C11A43E"/>
    <w:rsid w:val="4C136BB4"/>
    <w:rsid w:val="4C15C889"/>
    <w:rsid w:val="4C192359"/>
    <w:rsid w:val="4C1BA81D"/>
    <w:rsid w:val="4C1D224A"/>
    <w:rsid w:val="4C202152"/>
    <w:rsid w:val="4C214CDD"/>
    <w:rsid w:val="4C23D65A"/>
    <w:rsid w:val="4C27F2AD"/>
    <w:rsid w:val="4C285417"/>
    <w:rsid w:val="4C28F7C4"/>
    <w:rsid w:val="4C294BAE"/>
    <w:rsid w:val="4C2A1114"/>
    <w:rsid w:val="4C2AA7EA"/>
    <w:rsid w:val="4C2AD31C"/>
    <w:rsid w:val="4C2B088D"/>
    <w:rsid w:val="4C2BCE85"/>
    <w:rsid w:val="4C2CD265"/>
    <w:rsid w:val="4C2DCBEC"/>
    <w:rsid w:val="4C306CBD"/>
    <w:rsid w:val="4C346DEF"/>
    <w:rsid w:val="4C3743F5"/>
    <w:rsid w:val="4C37CD58"/>
    <w:rsid w:val="4C38C50E"/>
    <w:rsid w:val="4C3C5804"/>
    <w:rsid w:val="4C3E94F1"/>
    <w:rsid w:val="4C42032F"/>
    <w:rsid w:val="4C42F311"/>
    <w:rsid w:val="4C4665AA"/>
    <w:rsid w:val="4C496F1F"/>
    <w:rsid w:val="4C4A9F7E"/>
    <w:rsid w:val="4C4BBBFD"/>
    <w:rsid w:val="4C4C0779"/>
    <w:rsid w:val="4C4CE4D5"/>
    <w:rsid w:val="4C501A0D"/>
    <w:rsid w:val="4C503275"/>
    <w:rsid w:val="4C51AFE1"/>
    <w:rsid w:val="4C5233C0"/>
    <w:rsid w:val="4C55ADCE"/>
    <w:rsid w:val="4C563036"/>
    <w:rsid w:val="4C57A003"/>
    <w:rsid w:val="4C59562D"/>
    <w:rsid w:val="4C5A3BBF"/>
    <w:rsid w:val="4C5C2795"/>
    <w:rsid w:val="4C5C9DAE"/>
    <w:rsid w:val="4C5EA100"/>
    <w:rsid w:val="4C63E90D"/>
    <w:rsid w:val="4C64B138"/>
    <w:rsid w:val="4C669751"/>
    <w:rsid w:val="4C67301A"/>
    <w:rsid w:val="4C69140B"/>
    <w:rsid w:val="4C6FC1B1"/>
    <w:rsid w:val="4C710902"/>
    <w:rsid w:val="4C72C564"/>
    <w:rsid w:val="4C743AE0"/>
    <w:rsid w:val="4C7458F1"/>
    <w:rsid w:val="4C7914B6"/>
    <w:rsid w:val="4C7A9255"/>
    <w:rsid w:val="4C7BFEEC"/>
    <w:rsid w:val="4C7CB67A"/>
    <w:rsid w:val="4C7E2D63"/>
    <w:rsid w:val="4C7EEF71"/>
    <w:rsid w:val="4C7FADAC"/>
    <w:rsid w:val="4C81ECBE"/>
    <w:rsid w:val="4C8508A4"/>
    <w:rsid w:val="4C8B4561"/>
    <w:rsid w:val="4C8B7FB1"/>
    <w:rsid w:val="4C8F25C5"/>
    <w:rsid w:val="4C8F8519"/>
    <w:rsid w:val="4C905B8A"/>
    <w:rsid w:val="4C936067"/>
    <w:rsid w:val="4C98CDAF"/>
    <w:rsid w:val="4C9981C5"/>
    <w:rsid w:val="4C9A4520"/>
    <w:rsid w:val="4C9B9C76"/>
    <w:rsid w:val="4C9CBC47"/>
    <w:rsid w:val="4C9D3CCD"/>
    <w:rsid w:val="4C9DB4A9"/>
    <w:rsid w:val="4C9E042B"/>
    <w:rsid w:val="4C9FA105"/>
    <w:rsid w:val="4CA10E1B"/>
    <w:rsid w:val="4CA30D19"/>
    <w:rsid w:val="4CA66E2A"/>
    <w:rsid w:val="4CA783C0"/>
    <w:rsid w:val="4CA831BB"/>
    <w:rsid w:val="4CAAB6F3"/>
    <w:rsid w:val="4CAD8F74"/>
    <w:rsid w:val="4CB22150"/>
    <w:rsid w:val="4CB2BEFE"/>
    <w:rsid w:val="4CB651A3"/>
    <w:rsid w:val="4CB9D1FF"/>
    <w:rsid w:val="4CBA2A70"/>
    <w:rsid w:val="4CBA838C"/>
    <w:rsid w:val="4CBD0BF8"/>
    <w:rsid w:val="4CBE3605"/>
    <w:rsid w:val="4CC0737C"/>
    <w:rsid w:val="4CC167C9"/>
    <w:rsid w:val="4CC3D0A7"/>
    <w:rsid w:val="4CC8E513"/>
    <w:rsid w:val="4CC99DBE"/>
    <w:rsid w:val="4CC9EECC"/>
    <w:rsid w:val="4CCA890E"/>
    <w:rsid w:val="4CCACD96"/>
    <w:rsid w:val="4CCAD0D4"/>
    <w:rsid w:val="4CCC6EB1"/>
    <w:rsid w:val="4CCCB9B1"/>
    <w:rsid w:val="4CCDB964"/>
    <w:rsid w:val="4CD00DA2"/>
    <w:rsid w:val="4CD2FCB3"/>
    <w:rsid w:val="4CD3D0EB"/>
    <w:rsid w:val="4CD4DA19"/>
    <w:rsid w:val="4CD92636"/>
    <w:rsid w:val="4CD9300F"/>
    <w:rsid w:val="4CDB7457"/>
    <w:rsid w:val="4CDBEF01"/>
    <w:rsid w:val="4CDF8CB5"/>
    <w:rsid w:val="4CE482AB"/>
    <w:rsid w:val="4CE5EBD8"/>
    <w:rsid w:val="4CE69571"/>
    <w:rsid w:val="4CE923FD"/>
    <w:rsid w:val="4CE94DE8"/>
    <w:rsid w:val="4CE96518"/>
    <w:rsid w:val="4CE98AE0"/>
    <w:rsid w:val="4CF09591"/>
    <w:rsid w:val="4CF43522"/>
    <w:rsid w:val="4CF99349"/>
    <w:rsid w:val="4D017AD2"/>
    <w:rsid w:val="4D01B9BA"/>
    <w:rsid w:val="4D03FA64"/>
    <w:rsid w:val="4D0823CB"/>
    <w:rsid w:val="4D082ADD"/>
    <w:rsid w:val="4D0862FB"/>
    <w:rsid w:val="4D0A1232"/>
    <w:rsid w:val="4D0A814B"/>
    <w:rsid w:val="4D0B3A9A"/>
    <w:rsid w:val="4D0DDF05"/>
    <w:rsid w:val="4D11AFD4"/>
    <w:rsid w:val="4D12FE57"/>
    <w:rsid w:val="4D16C2D0"/>
    <w:rsid w:val="4D199CE4"/>
    <w:rsid w:val="4D19B3F8"/>
    <w:rsid w:val="4D1CBAB7"/>
    <w:rsid w:val="4D1CD9D5"/>
    <w:rsid w:val="4D1F4979"/>
    <w:rsid w:val="4D207CF4"/>
    <w:rsid w:val="4D226F90"/>
    <w:rsid w:val="4D26D69A"/>
    <w:rsid w:val="4D271C1F"/>
    <w:rsid w:val="4D2AC485"/>
    <w:rsid w:val="4D2C235E"/>
    <w:rsid w:val="4D2DBF6E"/>
    <w:rsid w:val="4D2EFFF0"/>
    <w:rsid w:val="4D2F3DD9"/>
    <w:rsid w:val="4D311185"/>
    <w:rsid w:val="4D314C16"/>
    <w:rsid w:val="4D33168F"/>
    <w:rsid w:val="4D333035"/>
    <w:rsid w:val="4D37B978"/>
    <w:rsid w:val="4D37F6FD"/>
    <w:rsid w:val="4D3A956D"/>
    <w:rsid w:val="4D3C1C78"/>
    <w:rsid w:val="4D3D5AFD"/>
    <w:rsid w:val="4D3D6AF5"/>
    <w:rsid w:val="4D3E6947"/>
    <w:rsid w:val="4D3EA2C3"/>
    <w:rsid w:val="4D403A2D"/>
    <w:rsid w:val="4D41C7AE"/>
    <w:rsid w:val="4D4233B9"/>
    <w:rsid w:val="4D472A4D"/>
    <w:rsid w:val="4D47DB19"/>
    <w:rsid w:val="4D497EC0"/>
    <w:rsid w:val="4D4E9485"/>
    <w:rsid w:val="4D581FCC"/>
    <w:rsid w:val="4D5851CD"/>
    <w:rsid w:val="4D59FAE1"/>
    <w:rsid w:val="4D5A171D"/>
    <w:rsid w:val="4D6147FD"/>
    <w:rsid w:val="4D63BFAF"/>
    <w:rsid w:val="4D646ADF"/>
    <w:rsid w:val="4D6596EB"/>
    <w:rsid w:val="4D68619D"/>
    <w:rsid w:val="4D6871B2"/>
    <w:rsid w:val="4D6A6E3B"/>
    <w:rsid w:val="4D6C1C75"/>
    <w:rsid w:val="4D6C401F"/>
    <w:rsid w:val="4D6C860E"/>
    <w:rsid w:val="4D6CFFCC"/>
    <w:rsid w:val="4D7253A7"/>
    <w:rsid w:val="4D74B5DA"/>
    <w:rsid w:val="4D779760"/>
    <w:rsid w:val="4D78022E"/>
    <w:rsid w:val="4D79B0D1"/>
    <w:rsid w:val="4D7A4DE9"/>
    <w:rsid w:val="4D7B4B18"/>
    <w:rsid w:val="4D7CA782"/>
    <w:rsid w:val="4D7E3BAF"/>
    <w:rsid w:val="4D7F678B"/>
    <w:rsid w:val="4D803A26"/>
    <w:rsid w:val="4D82D383"/>
    <w:rsid w:val="4D89A343"/>
    <w:rsid w:val="4D8A5280"/>
    <w:rsid w:val="4D8BED4C"/>
    <w:rsid w:val="4D8CFEFE"/>
    <w:rsid w:val="4D8D12E1"/>
    <w:rsid w:val="4D91CBFC"/>
    <w:rsid w:val="4D950644"/>
    <w:rsid w:val="4D967344"/>
    <w:rsid w:val="4D990702"/>
    <w:rsid w:val="4D997B3A"/>
    <w:rsid w:val="4D9AFA42"/>
    <w:rsid w:val="4D9C6ED2"/>
    <w:rsid w:val="4D9DCCC4"/>
    <w:rsid w:val="4D9F18C6"/>
    <w:rsid w:val="4DA099B3"/>
    <w:rsid w:val="4DA0EC52"/>
    <w:rsid w:val="4DA36F90"/>
    <w:rsid w:val="4DA38FEF"/>
    <w:rsid w:val="4DA4042C"/>
    <w:rsid w:val="4DA41DE3"/>
    <w:rsid w:val="4DA42185"/>
    <w:rsid w:val="4DA4F30C"/>
    <w:rsid w:val="4DA5A75C"/>
    <w:rsid w:val="4DA9849E"/>
    <w:rsid w:val="4DABF1B3"/>
    <w:rsid w:val="4DB0A885"/>
    <w:rsid w:val="4DB408E3"/>
    <w:rsid w:val="4DB4E00C"/>
    <w:rsid w:val="4DB58C0B"/>
    <w:rsid w:val="4DBCC748"/>
    <w:rsid w:val="4DC176CF"/>
    <w:rsid w:val="4DC19B67"/>
    <w:rsid w:val="4DC2EC97"/>
    <w:rsid w:val="4DC90E5B"/>
    <w:rsid w:val="4DC96C4F"/>
    <w:rsid w:val="4DCBEBA2"/>
    <w:rsid w:val="4DCC6013"/>
    <w:rsid w:val="4DCD3340"/>
    <w:rsid w:val="4DCDEADF"/>
    <w:rsid w:val="4DD22E87"/>
    <w:rsid w:val="4DD3BAF6"/>
    <w:rsid w:val="4DD4FE59"/>
    <w:rsid w:val="4DD5109A"/>
    <w:rsid w:val="4DD9DA7D"/>
    <w:rsid w:val="4DDDE481"/>
    <w:rsid w:val="4DE19ECF"/>
    <w:rsid w:val="4DE33F7B"/>
    <w:rsid w:val="4DE41AEE"/>
    <w:rsid w:val="4DE5231B"/>
    <w:rsid w:val="4DE6B53C"/>
    <w:rsid w:val="4DE6C84A"/>
    <w:rsid w:val="4DEC0CEF"/>
    <w:rsid w:val="4DEDAC5F"/>
    <w:rsid w:val="4DF896C0"/>
    <w:rsid w:val="4DFAE088"/>
    <w:rsid w:val="4DFE0449"/>
    <w:rsid w:val="4E006630"/>
    <w:rsid w:val="4E00663A"/>
    <w:rsid w:val="4E01602B"/>
    <w:rsid w:val="4E02BD46"/>
    <w:rsid w:val="4E02ED01"/>
    <w:rsid w:val="4E0334D9"/>
    <w:rsid w:val="4E072D56"/>
    <w:rsid w:val="4E072DDC"/>
    <w:rsid w:val="4E074740"/>
    <w:rsid w:val="4E077BAB"/>
    <w:rsid w:val="4E08085A"/>
    <w:rsid w:val="4E08CB04"/>
    <w:rsid w:val="4E0BD726"/>
    <w:rsid w:val="4E0FB4A9"/>
    <w:rsid w:val="4E1080F8"/>
    <w:rsid w:val="4E130BDF"/>
    <w:rsid w:val="4E16758B"/>
    <w:rsid w:val="4E1AB8A3"/>
    <w:rsid w:val="4E1F1FD1"/>
    <w:rsid w:val="4E221703"/>
    <w:rsid w:val="4E24DB36"/>
    <w:rsid w:val="4E25CAE3"/>
    <w:rsid w:val="4E270A52"/>
    <w:rsid w:val="4E27A75F"/>
    <w:rsid w:val="4E27B78D"/>
    <w:rsid w:val="4E282C23"/>
    <w:rsid w:val="4E2921A4"/>
    <w:rsid w:val="4E293D71"/>
    <w:rsid w:val="4E2AA619"/>
    <w:rsid w:val="4E2B34D5"/>
    <w:rsid w:val="4E2D3286"/>
    <w:rsid w:val="4E309171"/>
    <w:rsid w:val="4E32922C"/>
    <w:rsid w:val="4E33C5F0"/>
    <w:rsid w:val="4E3418BD"/>
    <w:rsid w:val="4E35045F"/>
    <w:rsid w:val="4E38DC6E"/>
    <w:rsid w:val="4E3989FB"/>
    <w:rsid w:val="4E3D359A"/>
    <w:rsid w:val="4E3D6F96"/>
    <w:rsid w:val="4E3D72D5"/>
    <w:rsid w:val="4E3E6ACE"/>
    <w:rsid w:val="4E3E7ADF"/>
    <w:rsid w:val="4E3E808E"/>
    <w:rsid w:val="4E3E9F5C"/>
    <w:rsid w:val="4E3F05A2"/>
    <w:rsid w:val="4E3F1039"/>
    <w:rsid w:val="4E3FF078"/>
    <w:rsid w:val="4E40AC75"/>
    <w:rsid w:val="4E428AE0"/>
    <w:rsid w:val="4E439F8D"/>
    <w:rsid w:val="4E45766F"/>
    <w:rsid w:val="4E46B30C"/>
    <w:rsid w:val="4E47E4A4"/>
    <w:rsid w:val="4E4B4205"/>
    <w:rsid w:val="4E4C824F"/>
    <w:rsid w:val="4E4FBCCA"/>
    <w:rsid w:val="4E50974C"/>
    <w:rsid w:val="4E50B009"/>
    <w:rsid w:val="4E5260CF"/>
    <w:rsid w:val="4E52998C"/>
    <w:rsid w:val="4E530B42"/>
    <w:rsid w:val="4E55000F"/>
    <w:rsid w:val="4E56161D"/>
    <w:rsid w:val="4E56F50A"/>
    <w:rsid w:val="4E575AC9"/>
    <w:rsid w:val="4E57E58E"/>
    <w:rsid w:val="4E596869"/>
    <w:rsid w:val="4E5D1B68"/>
    <w:rsid w:val="4E5FEFA8"/>
    <w:rsid w:val="4E631B72"/>
    <w:rsid w:val="4E6522CE"/>
    <w:rsid w:val="4E663641"/>
    <w:rsid w:val="4E675155"/>
    <w:rsid w:val="4E695BBF"/>
    <w:rsid w:val="4E6ADCAB"/>
    <w:rsid w:val="4E6BE3D7"/>
    <w:rsid w:val="4E6BFD37"/>
    <w:rsid w:val="4E6CA6B0"/>
    <w:rsid w:val="4E6D6671"/>
    <w:rsid w:val="4E6DFD16"/>
    <w:rsid w:val="4E6E3751"/>
    <w:rsid w:val="4E6FD52F"/>
    <w:rsid w:val="4E71B65C"/>
    <w:rsid w:val="4E7316DC"/>
    <w:rsid w:val="4E73A6ED"/>
    <w:rsid w:val="4E79992F"/>
    <w:rsid w:val="4E79EEDF"/>
    <w:rsid w:val="4E7AFD78"/>
    <w:rsid w:val="4E7E59E2"/>
    <w:rsid w:val="4E836374"/>
    <w:rsid w:val="4E86340F"/>
    <w:rsid w:val="4E88B68C"/>
    <w:rsid w:val="4E894420"/>
    <w:rsid w:val="4E8A00BC"/>
    <w:rsid w:val="4E8B8447"/>
    <w:rsid w:val="4E8E6A9C"/>
    <w:rsid w:val="4E906974"/>
    <w:rsid w:val="4E93D4A3"/>
    <w:rsid w:val="4E93D8A2"/>
    <w:rsid w:val="4E965BDC"/>
    <w:rsid w:val="4E9AEC33"/>
    <w:rsid w:val="4E9C00C5"/>
    <w:rsid w:val="4E9C2BF3"/>
    <w:rsid w:val="4E9EFD5B"/>
    <w:rsid w:val="4E9F9E69"/>
    <w:rsid w:val="4E9FD4C1"/>
    <w:rsid w:val="4EA06C75"/>
    <w:rsid w:val="4EA2EE44"/>
    <w:rsid w:val="4EA3FBD7"/>
    <w:rsid w:val="4EA7DAA7"/>
    <w:rsid w:val="4EA85917"/>
    <w:rsid w:val="4EADB374"/>
    <w:rsid w:val="4EAFA53B"/>
    <w:rsid w:val="4EB37382"/>
    <w:rsid w:val="4EB4E448"/>
    <w:rsid w:val="4EB500A3"/>
    <w:rsid w:val="4EB67C74"/>
    <w:rsid w:val="4EB68B31"/>
    <w:rsid w:val="4EB8096B"/>
    <w:rsid w:val="4EB867F7"/>
    <w:rsid w:val="4EB98AA1"/>
    <w:rsid w:val="4EBA4C7E"/>
    <w:rsid w:val="4EBB4268"/>
    <w:rsid w:val="4EC1D9A9"/>
    <w:rsid w:val="4EC3A25D"/>
    <w:rsid w:val="4EC591A2"/>
    <w:rsid w:val="4EC5E6D3"/>
    <w:rsid w:val="4EC5FF73"/>
    <w:rsid w:val="4EC64A3A"/>
    <w:rsid w:val="4ECBCCDE"/>
    <w:rsid w:val="4ECC9F3D"/>
    <w:rsid w:val="4ECCF5E9"/>
    <w:rsid w:val="4ECF2C24"/>
    <w:rsid w:val="4ED167EE"/>
    <w:rsid w:val="4ED29C23"/>
    <w:rsid w:val="4ED30F83"/>
    <w:rsid w:val="4ED48F08"/>
    <w:rsid w:val="4ED9A2F3"/>
    <w:rsid w:val="4ED9E063"/>
    <w:rsid w:val="4EDC80AE"/>
    <w:rsid w:val="4EDE26EB"/>
    <w:rsid w:val="4EDFE9FB"/>
    <w:rsid w:val="4EE358A7"/>
    <w:rsid w:val="4EE461FB"/>
    <w:rsid w:val="4EE60CEE"/>
    <w:rsid w:val="4EEBDFCE"/>
    <w:rsid w:val="4EEEEB20"/>
    <w:rsid w:val="4EEFBA1F"/>
    <w:rsid w:val="4EF158AA"/>
    <w:rsid w:val="4EF2D386"/>
    <w:rsid w:val="4EF59BFE"/>
    <w:rsid w:val="4EF60E38"/>
    <w:rsid w:val="4EF76DE9"/>
    <w:rsid w:val="4EF822BC"/>
    <w:rsid w:val="4EF97DCF"/>
    <w:rsid w:val="4EF9AD33"/>
    <w:rsid w:val="4EF9E77C"/>
    <w:rsid w:val="4EFA2630"/>
    <w:rsid w:val="4EFF406A"/>
    <w:rsid w:val="4EFFE262"/>
    <w:rsid w:val="4F003A71"/>
    <w:rsid w:val="4F00A5EC"/>
    <w:rsid w:val="4F03C7FB"/>
    <w:rsid w:val="4F03E954"/>
    <w:rsid w:val="4F0446AD"/>
    <w:rsid w:val="4F06401F"/>
    <w:rsid w:val="4F08BE6B"/>
    <w:rsid w:val="4F0C5066"/>
    <w:rsid w:val="4F0CF054"/>
    <w:rsid w:val="4F0D982C"/>
    <w:rsid w:val="4F0F30AC"/>
    <w:rsid w:val="4F188F6B"/>
    <w:rsid w:val="4F19280C"/>
    <w:rsid w:val="4F1DD6A2"/>
    <w:rsid w:val="4F1E07A2"/>
    <w:rsid w:val="4F1EF8FF"/>
    <w:rsid w:val="4F26CC9A"/>
    <w:rsid w:val="4F299189"/>
    <w:rsid w:val="4F2AB3BF"/>
    <w:rsid w:val="4F2DCC43"/>
    <w:rsid w:val="4F3059CE"/>
    <w:rsid w:val="4F31D055"/>
    <w:rsid w:val="4F358FF5"/>
    <w:rsid w:val="4F35FE55"/>
    <w:rsid w:val="4F36948B"/>
    <w:rsid w:val="4F3ABEC6"/>
    <w:rsid w:val="4F3C883D"/>
    <w:rsid w:val="4F3D4AE7"/>
    <w:rsid w:val="4F3E2DA1"/>
    <w:rsid w:val="4F411393"/>
    <w:rsid w:val="4F416C73"/>
    <w:rsid w:val="4F42E131"/>
    <w:rsid w:val="4F444923"/>
    <w:rsid w:val="4F44BFB0"/>
    <w:rsid w:val="4F45B766"/>
    <w:rsid w:val="4F4703D3"/>
    <w:rsid w:val="4F47B116"/>
    <w:rsid w:val="4F47FFF2"/>
    <w:rsid w:val="4F483AFA"/>
    <w:rsid w:val="4F48EB9A"/>
    <w:rsid w:val="4F499500"/>
    <w:rsid w:val="4F4C7869"/>
    <w:rsid w:val="4F4D2BDC"/>
    <w:rsid w:val="4F4FB692"/>
    <w:rsid w:val="4F501708"/>
    <w:rsid w:val="4F504C8F"/>
    <w:rsid w:val="4F5231C2"/>
    <w:rsid w:val="4F53DE60"/>
    <w:rsid w:val="4F541809"/>
    <w:rsid w:val="4F551578"/>
    <w:rsid w:val="4F5DA314"/>
    <w:rsid w:val="4F5DD06D"/>
    <w:rsid w:val="4F5E4AA4"/>
    <w:rsid w:val="4F5E8AC5"/>
    <w:rsid w:val="4F5F9511"/>
    <w:rsid w:val="4F6108C0"/>
    <w:rsid w:val="4F62B32A"/>
    <w:rsid w:val="4F65D6C6"/>
    <w:rsid w:val="4F683FCD"/>
    <w:rsid w:val="4F68B98A"/>
    <w:rsid w:val="4F68C91B"/>
    <w:rsid w:val="4F695F95"/>
    <w:rsid w:val="4F6DB1E9"/>
    <w:rsid w:val="4F6EC877"/>
    <w:rsid w:val="4F7538CA"/>
    <w:rsid w:val="4F762181"/>
    <w:rsid w:val="4F7638E3"/>
    <w:rsid w:val="4F77B888"/>
    <w:rsid w:val="4F78FAE3"/>
    <w:rsid w:val="4F7A4D69"/>
    <w:rsid w:val="4F7A5182"/>
    <w:rsid w:val="4F7C9273"/>
    <w:rsid w:val="4F7DAD1F"/>
    <w:rsid w:val="4F7E093F"/>
    <w:rsid w:val="4F7ECECB"/>
    <w:rsid w:val="4F820744"/>
    <w:rsid w:val="4F829E6C"/>
    <w:rsid w:val="4F853163"/>
    <w:rsid w:val="4F85C841"/>
    <w:rsid w:val="4F87C879"/>
    <w:rsid w:val="4F87D820"/>
    <w:rsid w:val="4F8818B2"/>
    <w:rsid w:val="4F883431"/>
    <w:rsid w:val="4F886C01"/>
    <w:rsid w:val="4F8A7667"/>
    <w:rsid w:val="4F8B1AED"/>
    <w:rsid w:val="4F8E91F4"/>
    <w:rsid w:val="4F900432"/>
    <w:rsid w:val="4F929872"/>
    <w:rsid w:val="4F949F9F"/>
    <w:rsid w:val="4F98D886"/>
    <w:rsid w:val="4F9C0135"/>
    <w:rsid w:val="4F9C15ED"/>
    <w:rsid w:val="4F9C5BA0"/>
    <w:rsid w:val="4FAC084F"/>
    <w:rsid w:val="4FADD13C"/>
    <w:rsid w:val="4FAF725F"/>
    <w:rsid w:val="4FB0FEA8"/>
    <w:rsid w:val="4FB290D1"/>
    <w:rsid w:val="4FB2FC83"/>
    <w:rsid w:val="4FB3C5CD"/>
    <w:rsid w:val="4FB44561"/>
    <w:rsid w:val="4FB89B1C"/>
    <w:rsid w:val="4FB8F612"/>
    <w:rsid w:val="4FB945F4"/>
    <w:rsid w:val="4FBA27DD"/>
    <w:rsid w:val="4FBA37AB"/>
    <w:rsid w:val="4FBBB96F"/>
    <w:rsid w:val="4FBF3089"/>
    <w:rsid w:val="4FBFF329"/>
    <w:rsid w:val="4FC05FA1"/>
    <w:rsid w:val="4FC10A1C"/>
    <w:rsid w:val="4FC1B27A"/>
    <w:rsid w:val="4FC3055E"/>
    <w:rsid w:val="4FC50638"/>
    <w:rsid w:val="4FCA9208"/>
    <w:rsid w:val="4FCC5D97"/>
    <w:rsid w:val="4FCE3964"/>
    <w:rsid w:val="4FD17BD4"/>
    <w:rsid w:val="4FD50CF7"/>
    <w:rsid w:val="4FD639E5"/>
    <w:rsid w:val="4FD797CA"/>
    <w:rsid w:val="4FD8E85F"/>
    <w:rsid w:val="4FD9AAAC"/>
    <w:rsid w:val="4FDCE075"/>
    <w:rsid w:val="4FDE91E0"/>
    <w:rsid w:val="4FDEC8E5"/>
    <w:rsid w:val="4FE08D9C"/>
    <w:rsid w:val="4FE186E5"/>
    <w:rsid w:val="4FE377F4"/>
    <w:rsid w:val="4FE3D8D5"/>
    <w:rsid w:val="4FE85886"/>
    <w:rsid w:val="4FE9567E"/>
    <w:rsid w:val="4FEB8C03"/>
    <w:rsid w:val="4FEF4ACB"/>
    <w:rsid w:val="4FEFB0BE"/>
    <w:rsid w:val="4FEFE5AA"/>
    <w:rsid w:val="4FF1252A"/>
    <w:rsid w:val="4FF48C19"/>
    <w:rsid w:val="4FF4F5EA"/>
    <w:rsid w:val="4FF5ACF5"/>
    <w:rsid w:val="4FF5DC55"/>
    <w:rsid w:val="4FF5F013"/>
    <w:rsid w:val="4FF708EC"/>
    <w:rsid w:val="4FF70E17"/>
    <w:rsid w:val="4FF76A0E"/>
    <w:rsid w:val="4FF79E9B"/>
    <w:rsid w:val="4FF9B7B5"/>
    <w:rsid w:val="4FF9D0F2"/>
    <w:rsid w:val="4FFB020F"/>
    <w:rsid w:val="4FFCA12F"/>
    <w:rsid w:val="4FFD100D"/>
    <w:rsid w:val="50010C64"/>
    <w:rsid w:val="50033C33"/>
    <w:rsid w:val="500577A6"/>
    <w:rsid w:val="50073BAD"/>
    <w:rsid w:val="5007D802"/>
    <w:rsid w:val="500C881C"/>
    <w:rsid w:val="500DF245"/>
    <w:rsid w:val="500E0A58"/>
    <w:rsid w:val="500E1D76"/>
    <w:rsid w:val="500EEC09"/>
    <w:rsid w:val="501096A7"/>
    <w:rsid w:val="50109AA7"/>
    <w:rsid w:val="5011D9FF"/>
    <w:rsid w:val="50128BB9"/>
    <w:rsid w:val="5012C416"/>
    <w:rsid w:val="50133D2C"/>
    <w:rsid w:val="50147E5B"/>
    <w:rsid w:val="50160D9C"/>
    <w:rsid w:val="50176B7E"/>
    <w:rsid w:val="5018B8A1"/>
    <w:rsid w:val="50211305"/>
    <w:rsid w:val="50211E44"/>
    <w:rsid w:val="50270862"/>
    <w:rsid w:val="502825A7"/>
    <w:rsid w:val="502AC7DB"/>
    <w:rsid w:val="502B3F36"/>
    <w:rsid w:val="502C8E89"/>
    <w:rsid w:val="5030781D"/>
    <w:rsid w:val="50315E11"/>
    <w:rsid w:val="5031D2A9"/>
    <w:rsid w:val="5032C88A"/>
    <w:rsid w:val="5032F939"/>
    <w:rsid w:val="503537B2"/>
    <w:rsid w:val="50397454"/>
    <w:rsid w:val="5039A153"/>
    <w:rsid w:val="5039C1F0"/>
    <w:rsid w:val="503CD0CF"/>
    <w:rsid w:val="503D2531"/>
    <w:rsid w:val="503F4966"/>
    <w:rsid w:val="50412277"/>
    <w:rsid w:val="504188D4"/>
    <w:rsid w:val="50431518"/>
    <w:rsid w:val="50449CB9"/>
    <w:rsid w:val="504A957E"/>
    <w:rsid w:val="504EF934"/>
    <w:rsid w:val="504F3685"/>
    <w:rsid w:val="504FBCB4"/>
    <w:rsid w:val="504FDD14"/>
    <w:rsid w:val="50563705"/>
    <w:rsid w:val="5057F457"/>
    <w:rsid w:val="505872F7"/>
    <w:rsid w:val="505BE1AF"/>
    <w:rsid w:val="505D69E2"/>
    <w:rsid w:val="50606B70"/>
    <w:rsid w:val="5061567C"/>
    <w:rsid w:val="506400CD"/>
    <w:rsid w:val="50649CE9"/>
    <w:rsid w:val="50660BE6"/>
    <w:rsid w:val="50661423"/>
    <w:rsid w:val="50677A91"/>
    <w:rsid w:val="5068D2DD"/>
    <w:rsid w:val="50697EC5"/>
    <w:rsid w:val="506ACC3C"/>
    <w:rsid w:val="506B41B2"/>
    <w:rsid w:val="506BE3B6"/>
    <w:rsid w:val="506C86B9"/>
    <w:rsid w:val="506D0052"/>
    <w:rsid w:val="5075B6C5"/>
    <w:rsid w:val="50779A99"/>
    <w:rsid w:val="50781F1B"/>
    <w:rsid w:val="5079F71C"/>
    <w:rsid w:val="507AA4C6"/>
    <w:rsid w:val="507ACD33"/>
    <w:rsid w:val="507BBE1E"/>
    <w:rsid w:val="507E5BE6"/>
    <w:rsid w:val="5080AB0A"/>
    <w:rsid w:val="50813F07"/>
    <w:rsid w:val="5081BBF3"/>
    <w:rsid w:val="5082BA85"/>
    <w:rsid w:val="50831380"/>
    <w:rsid w:val="5083C8C8"/>
    <w:rsid w:val="50848B74"/>
    <w:rsid w:val="50850A81"/>
    <w:rsid w:val="50884560"/>
    <w:rsid w:val="508E09ED"/>
    <w:rsid w:val="508E110C"/>
    <w:rsid w:val="508FADFE"/>
    <w:rsid w:val="50914FAF"/>
    <w:rsid w:val="509158ED"/>
    <w:rsid w:val="509625A2"/>
    <w:rsid w:val="5097021A"/>
    <w:rsid w:val="50982021"/>
    <w:rsid w:val="50985E37"/>
    <w:rsid w:val="5099F7E4"/>
    <w:rsid w:val="509A63CD"/>
    <w:rsid w:val="509B188B"/>
    <w:rsid w:val="509EFEED"/>
    <w:rsid w:val="50A3B04A"/>
    <w:rsid w:val="50A45EFA"/>
    <w:rsid w:val="50A59066"/>
    <w:rsid w:val="50A64E4E"/>
    <w:rsid w:val="50A6D98A"/>
    <w:rsid w:val="50AC158B"/>
    <w:rsid w:val="50AEDC3D"/>
    <w:rsid w:val="50AFCFA1"/>
    <w:rsid w:val="50AFE030"/>
    <w:rsid w:val="50B2DD76"/>
    <w:rsid w:val="50B4D8FA"/>
    <w:rsid w:val="50B4FBE7"/>
    <w:rsid w:val="50B65ABD"/>
    <w:rsid w:val="50B90A79"/>
    <w:rsid w:val="50B993D4"/>
    <w:rsid w:val="50BA8ACB"/>
    <w:rsid w:val="50C02EDF"/>
    <w:rsid w:val="50C25D4C"/>
    <w:rsid w:val="50C49BCF"/>
    <w:rsid w:val="50C52788"/>
    <w:rsid w:val="50C5A568"/>
    <w:rsid w:val="50CBC29D"/>
    <w:rsid w:val="50CBDD88"/>
    <w:rsid w:val="50CD8568"/>
    <w:rsid w:val="50D3496C"/>
    <w:rsid w:val="50D379BE"/>
    <w:rsid w:val="50D3F749"/>
    <w:rsid w:val="50DAB5DF"/>
    <w:rsid w:val="50E0653F"/>
    <w:rsid w:val="50E487E4"/>
    <w:rsid w:val="50E53D11"/>
    <w:rsid w:val="50EB16B4"/>
    <w:rsid w:val="50EB2E10"/>
    <w:rsid w:val="50EC5F0A"/>
    <w:rsid w:val="50F31EE4"/>
    <w:rsid w:val="50F77CB2"/>
    <w:rsid w:val="50F87100"/>
    <w:rsid w:val="50F9442A"/>
    <w:rsid w:val="50FC68E7"/>
    <w:rsid w:val="51001868"/>
    <w:rsid w:val="510141AB"/>
    <w:rsid w:val="5105AA06"/>
    <w:rsid w:val="5108BE0B"/>
    <w:rsid w:val="5109EFCC"/>
    <w:rsid w:val="510BE8CB"/>
    <w:rsid w:val="510CD49A"/>
    <w:rsid w:val="51141491"/>
    <w:rsid w:val="5115AF63"/>
    <w:rsid w:val="5116AFE5"/>
    <w:rsid w:val="5119381C"/>
    <w:rsid w:val="5119E072"/>
    <w:rsid w:val="511B2845"/>
    <w:rsid w:val="511FB124"/>
    <w:rsid w:val="51228A37"/>
    <w:rsid w:val="51244C5D"/>
    <w:rsid w:val="5125E385"/>
    <w:rsid w:val="51289185"/>
    <w:rsid w:val="5128EED7"/>
    <w:rsid w:val="512B60DA"/>
    <w:rsid w:val="512C411A"/>
    <w:rsid w:val="512D8816"/>
    <w:rsid w:val="512ED8A5"/>
    <w:rsid w:val="51342F0D"/>
    <w:rsid w:val="51358CF1"/>
    <w:rsid w:val="5135EEDF"/>
    <w:rsid w:val="5136B498"/>
    <w:rsid w:val="513867E1"/>
    <w:rsid w:val="51398D50"/>
    <w:rsid w:val="513D4E7F"/>
    <w:rsid w:val="513E2014"/>
    <w:rsid w:val="514087E1"/>
    <w:rsid w:val="51423D34"/>
    <w:rsid w:val="5142F262"/>
    <w:rsid w:val="51437A90"/>
    <w:rsid w:val="51454420"/>
    <w:rsid w:val="5145D014"/>
    <w:rsid w:val="514674CA"/>
    <w:rsid w:val="514868F8"/>
    <w:rsid w:val="514A2A77"/>
    <w:rsid w:val="514BFABC"/>
    <w:rsid w:val="514DBAA9"/>
    <w:rsid w:val="5151828A"/>
    <w:rsid w:val="5152F826"/>
    <w:rsid w:val="51558937"/>
    <w:rsid w:val="515A0C0C"/>
    <w:rsid w:val="515A948A"/>
    <w:rsid w:val="5161DF76"/>
    <w:rsid w:val="51640CE9"/>
    <w:rsid w:val="51685EFC"/>
    <w:rsid w:val="516A7FA9"/>
    <w:rsid w:val="516B6F72"/>
    <w:rsid w:val="516D5871"/>
    <w:rsid w:val="516FE5FE"/>
    <w:rsid w:val="5170BE86"/>
    <w:rsid w:val="51714277"/>
    <w:rsid w:val="5172BE0B"/>
    <w:rsid w:val="51737612"/>
    <w:rsid w:val="517406A5"/>
    <w:rsid w:val="517479A5"/>
    <w:rsid w:val="517CA396"/>
    <w:rsid w:val="517D35D2"/>
    <w:rsid w:val="5180ECFE"/>
    <w:rsid w:val="51867007"/>
    <w:rsid w:val="5186B204"/>
    <w:rsid w:val="5187CACC"/>
    <w:rsid w:val="5189B398"/>
    <w:rsid w:val="518A0E2E"/>
    <w:rsid w:val="518AC4DE"/>
    <w:rsid w:val="518D29FC"/>
    <w:rsid w:val="518E3F49"/>
    <w:rsid w:val="51915602"/>
    <w:rsid w:val="51917EAD"/>
    <w:rsid w:val="51929508"/>
    <w:rsid w:val="51978CF6"/>
    <w:rsid w:val="5197C44A"/>
    <w:rsid w:val="51993BDF"/>
    <w:rsid w:val="519A367A"/>
    <w:rsid w:val="519B6D24"/>
    <w:rsid w:val="519D17EE"/>
    <w:rsid w:val="519DAAB2"/>
    <w:rsid w:val="519EF84D"/>
    <w:rsid w:val="51A58D70"/>
    <w:rsid w:val="51AC93BA"/>
    <w:rsid w:val="51B4B0B2"/>
    <w:rsid w:val="51B74B98"/>
    <w:rsid w:val="51B9EC43"/>
    <w:rsid w:val="51BC3927"/>
    <w:rsid w:val="51BF0046"/>
    <w:rsid w:val="51C0F3A4"/>
    <w:rsid w:val="51C2E671"/>
    <w:rsid w:val="51C5BBDF"/>
    <w:rsid w:val="51C73CF1"/>
    <w:rsid w:val="51CAD597"/>
    <w:rsid w:val="51CBB106"/>
    <w:rsid w:val="51CD2E72"/>
    <w:rsid w:val="51CF98BA"/>
    <w:rsid w:val="51CFD726"/>
    <w:rsid w:val="51D15EA4"/>
    <w:rsid w:val="51D25CFD"/>
    <w:rsid w:val="51D34DE6"/>
    <w:rsid w:val="51D4692C"/>
    <w:rsid w:val="51D59F15"/>
    <w:rsid w:val="51D60C2D"/>
    <w:rsid w:val="51D63F91"/>
    <w:rsid w:val="51D8816B"/>
    <w:rsid w:val="51DA8B4B"/>
    <w:rsid w:val="51DBD2B0"/>
    <w:rsid w:val="51DC3378"/>
    <w:rsid w:val="51DECA04"/>
    <w:rsid w:val="51DF4F99"/>
    <w:rsid w:val="51E1FF87"/>
    <w:rsid w:val="51E3F53F"/>
    <w:rsid w:val="51E60B21"/>
    <w:rsid w:val="51E75F51"/>
    <w:rsid w:val="51EF4BD7"/>
    <w:rsid w:val="51EF523D"/>
    <w:rsid w:val="51EF8DC5"/>
    <w:rsid w:val="51F3BC3E"/>
    <w:rsid w:val="51F3F5BA"/>
    <w:rsid w:val="51F5957D"/>
    <w:rsid w:val="51F67B99"/>
    <w:rsid w:val="51F8488F"/>
    <w:rsid w:val="51FA68AA"/>
    <w:rsid w:val="51FC1D4A"/>
    <w:rsid w:val="51FCE85F"/>
    <w:rsid w:val="51FEB2B2"/>
    <w:rsid w:val="5201F1BE"/>
    <w:rsid w:val="520330CA"/>
    <w:rsid w:val="520770A9"/>
    <w:rsid w:val="520A7DA7"/>
    <w:rsid w:val="520B9267"/>
    <w:rsid w:val="520CD05E"/>
    <w:rsid w:val="520F5B3F"/>
    <w:rsid w:val="52117468"/>
    <w:rsid w:val="52172B24"/>
    <w:rsid w:val="5219ACEE"/>
    <w:rsid w:val="521BCCC4"/>
    <w:rsid w:val="521D9657"/>
    <w:rsid w:val="521F8AD0"/>
    <w:rsid w:val="521FCD2D"/>
    <w:rsid w:val="52221650"/>
    <w:rsid w:val="5222C8D4"/>
    <w:rsid w:val="52240FFC"/>
    <w:rsid w:val="5224128F"/>
    <w:rsid w:val="5225B96B"/>
    <w:rsid w:val="5229C7C5"/>
    <w:rsid w:val="522D6417"/>
    <w:rsid w:val="522D87E1"/>
    <w:rsid w:val="522FC88C"/>
    <w:rsid w:val="523181D3"/>
    <w:rsid w:val="5233677B"/>
    <w:rsid w:val="5233DDF7"/>
    <w:rsid w:val="523876FD"/>
    <w:rsid w:val="52395B2B"/>
    <w:rsid w:val="523CF5D8"/>
    <w:rsid w:val="523FE6CD"/>
    <w:rsid w:val="5244E395"/>
    <w:rsid w:val="524B6551"/>
    <w:rsid w:val="524D9607"/>
    <w:rsid w:val="524DDC7A"/>
    <w:rsid w:val="524EFD7F"/>
    <w:rsid w:val="5250908A"/>
    <w:rsid w:val="52567322"/>
    <w:rsid w:val="5257A135"/>
    <w:rsid w:val="52587A7C"/>
    <w:rsid w:val="52597F5F"/>
    <w:rsid w:val="525B04A1"/>
    <w:rsid w:val="525E1B42"/>
    <w:rsid w:val="525E52BF"/>
    <w:rsid w:val="525FDB34"/>
    <w:rsid w:val="52615E20"/>
    <w:rsid w:val="5263BABF"/>
    <w:rsid w:val="52655685"/>
    <w:rsid w:val="5266B8DB"/>
    <w:rsid w:val="526988E6"/>
    <w:rsid w:val="526A756D"/>
    <w:rsid w:val="526AE8F8"/>
    <w:rsid w:val="526BB47D"/>
    <w:rsid w:val="526BD83A"/>
    <w:rsid w:val="526BF80B"/>
    <w:rsid w:val="5271847C"/>
    <w:rsid w:val="52726CCA"/>
    <w:rsid w:val="52751895"/>
    <w:rsid w:val="5276B4DE"/>
    <w:rsid w:val="5278BC11"/>
    <w:rsid w:val="527C824E"/>
    <w:rsid w:val="527D2EEB"/>
    <w:rsid w:val="5282B53A"/>
    <w:rsid w:val="52831672"/>
    <w:rsid w:val="52843AF4"/>
    <w:rsid w:val="5285729B"/>
    <w:rsid w:val="52859218"/>
    <w:rsid w:val="528699C7"/>
    <w:rsid w:val="52887C3D"/>
    <w:rsid w:val="52889668"/>
    <w:rsid w:val="5288F867"/>
    <w:rsid w:val="528DA8BD"/>
    <w:rsid w:val="52909B69"/>
    <w:rsid w:val="5293A56A"/>
    <w:rsid w:val="529B9521"/>
    <w:rsid w:val="529BA37A"/>
    <w:rsid w:val="529FABFF"/>
    <w:rsid w:val="52A1F1F0"/>
    <w:rsid w:val="52A4C581"/>
    <w:rsid w:val="52A4EC1E"/>
    <w:rsid w:val="52A86B21"/>
    <w:rsid w:val="52AD7546"/>
    <w:rsid w:val="52AEB94A"/>
    <w:rsid w:val="52B161A5"/>
    <w:rsid w:val="52B29DDD"/>
    <w:rsid w:val="52B41F2C"/>
    <w:rsid w:val="52B4F52D"/>
    <w:rsid w:val="52BAAEF6"/>
    <w:rsid w:val="52C31EED"/>
    <w:rsid w:val="52C39320"/>
    <w:rsid w:val="52C43E3F"/>
    <w:rsid w:val="52C4AEFC"/>
    <w:rsid w:val="52C9C15F"/>
    <w:rsid w:val="52CB3FD6"/>
    <w:rsid w:val="52CD836F"/>
    <w:rsid w:val="52CE11E2"/>
    <w:rsid w:val="52CED7C5"/>
    <w:rsid w:val="52CEE9BA"/>
    <w:rsid w:val="52CF75A3"/>
    <w:rsid w:val="52D34CE7"/>
    <w:rsid w:val="52D8478A"/>
    <w:rsid w:val="52DC55A1"/>
    <w:rsid w:val="52E205CA"/>
    <w:rsid w:val="52E357DB"/>
    <w:rsid w:val="52E4EC65"/>
    <w:rsid w:val="52E58035"/>
    <w:rsid w:val="52E58073"/>
    <w:rsid w:val="52E5D577"/>
    <w:rsid w:val="52E70F65"/>
    <w:rsid w:val="52E79ADF"/>
    <w:rsid w:val="52EB5745"/>
    <w:rsid w:val="52EDA310"/>
    <w:rsid w:val="52F0768D"/>
    <w:rsid w:val="52F16069"/>
    <w:rsid w:val="52F173A7"/>
    <w:rsid w:val="52F3B343"/>
    <w:rsid w:val="52F50F9C"/>
    <w:rsid w:val="52F5C4C8"/>
    <w:rsid w:val="52F7A3A0"/>
    <w:rsid w:val="52F7AC93"/>
    <w:rsid w:val="52F8D031"/>
    <w:rsid w:val="52F96314"/>
    <w:rsid w:val="52FAC68D"/>
    <w:rsid w:val="52FAD9FA"/>
    <w:rsid w:val="53005BED"/>
    <w:rsid w:val="5303B4E0"/>
    <w:rsid w:val="5308F66F"/>
    <w:rsid w:val="5308F9E8"/>
    <w:rsid w:val="530C1957"/>
    <w:rsid w:val="530DA937"/>
    <w:rsid w:val="5310E678"/>
    <w:rsid w:val="53130465"/>
    <w:rsid w:val="5314F726"/>
    <w:rsid w:val="5315CC7A"/>
    <w:rsid w:val="53191D4E"/>
    <w:rsid w:val="5319BBD5"/>
    <w:rsid w:val="531CF4B2"/>
    <w:rsid w:val="531F2BAC"/>
    <w:rsid w:val="532001F9"/>
    <w:rsid w:val="53200F58"/>
    <w:rsid w:val="5323D386"/>
    <w:rsid w:val="532530B8"/>
    <w:rsid w:val="53271641"/>
    <w:rsid w:val="5327C9FA"/>
    <w:rsid w:val="53292022"/>
    <w:rsid w:val="5329B5D1"/>
    <w:rsid w:val="532DBBBC"/>
    <w:rsid w:val="532EDCFE"/>
    <w:rsid w:val="532F0591"/>
    <w:rsid w:val="5332FDD1"/>
    <w:rsid w:val="53394FF6"/>
    <w:rsid w:val="533A5C0B"/>
    <w:rsid w:val="534082F5"/>
    <w:rsid w:val="53408792"/>
    <w:rsid w:val="5346148B"/>
    <w:rsid w:val="5347847A"/>
    <w:rsid w:val="5348BDAC"/>
    <w:rsid w:val="53494AD2"/>
    <w:rsid w:val="5349AD85"/>
    <w:rsid w:val="534B2046"/>
    <w:rsid w:val="534CE243"/>
    <w:rsid w:val="53534EE7"/>
    <w:rsid w:val="53587642"/>
    <w:rsid w:val="5358B2DE"/>
    <w:rsid w:val="5358E1D9"/>
    <w:rsid w:val="535C8697"/>
    <w:rsid w:val="535D171E"/>
    <w:rsid w:val="5360181C"/>
    <w:rsid w:val="536154E2"/>
    <w:rsid w:val="53634FD2"/>
    <w:rsid w:val="536610BF"/>
    <w:rsid w:val="5367FD72"/>
    <w:rsid w:val="536A91E7"/>
    <w:rsid w:val="536AC643"/>
    <w:rsid w:val="536BBE9A"/>
    <w:rsid w:val="536BE27C"/>
    <w:rsid w:val="536BEFFE"/>
    <w:rsid w:val="536BF842"/>
    <w:rsid w:val="536C4DDE"/>
    <w:rsid w:val="536D4828"/>
    <w:rsid w:val="53702FB0"/>
    <w:rsid w:val="537068B9"/>
    <w:rsid w:val="53739916"/>
    <w:rsid w:val="53742C88"/>
    <w:rsid w:val="537552DA"/>
    <w:rsid w:val="5376CACA"/>
    <w:rsid w:val="537B4082"/>
    <w:rsid w:val="537C0974"/>
    <w:rsid w:val="537F34E5"/>
    <w:rsid w:val="5380700E"/>
    <w:rsid w:val="5383A8D4"/>
    <w:rsid w:val="53855AA5"/>
    <w:rsid w:val="5385EC12"/>
    <w:rsid w:val="5387DC82"/>
    <w:rsid w:val="5390467D"/>
    <w:rsid w:val="5390F278"/>
    <w:rsid w:val="53920F73"/>
    <w:rsid w:val="5392DC51"/>
    <w:rsid w:val="539641A4"/>
    <w:rsid w:val="5396BF5D"/>
    <w:rsid w:val="5398F01B"/>
    <w:rsid w:val="539A22A6"/>
    <w:rsid w:val="53A06F66"/>
    <w:rsid w:val="53A09001"/>
    <w:rsid w:val="53A1D05F"/>
    <w:rsid w:val="53A2744D"/>
    <w:rsid w:val="53A35EA1"/>
    <w:rsid w:val="53A4C8AA"/>
    <w:rsid w:val="53A54043"/>
    <w:rsid w:val="53A8CDA5"/>
    <w:rsid w:val="53AC54DC"/>
    <w:rsid w:val="53B0BC0E"/>
    <w:rsid w:val="53B8044B"/>
    <w:rsid w:val="53B9435E"/>
    <w:rsid w:val="53B96246"/>
    <w:rsid w:val="53BA1813"/>
    <w:rsid w:val="53BC34B8"/>
    <w:rsid w:val="53BE09D3"/>
    <w:rsid w:val="53BFD180"/>
    <w:rsid w:val="53C61946"/>
    <w:rsid w:val="53C8A2AD"/>
    <w:rsid w:val="53CC7B70"/>
    <w:rsid w:val="53CD0A71"/>
    <w:rsid w:val="53CF458B"/>
    <w:rsid w:val="53D2D4FA"/>
    <w:rsid w:val="53D3549E"/>
    <w:rsid w:val="53D695BA"/>
    <w:rsid w:val="53E1115F"/>
    <w:rsid w:val="53E1177E"/>
    <w:rsid w:val="53E27E1F"/>
    <w:rsid w:val="53E54A50"/>
    <w:rsid w:val="53E9DD7F"/>
    <w:rsid w:val="53E9FCF0"/>
    <w:rsid w:val="53EB51B5"/>
    <w:rsid w:val="53EDA56D"/>
    <w:rsid w:val="53EDB185"/>
    <w:rsid w:val="53F590F5"/>
    <w:rsid w:val="53FAB4FB"/>
    <w:rsid w:val="53FB92AF"/>
    <w:rsid w:val="53FC5295"/>
    <w:rsid w:val="53FD834B"/>
    <w:rsid w:val="53FE4801"/>
    <w:rsid w:val="53FEE55C"/>
    <w:rsid w:val="540130F0"/>
    <w:rsid w:val="540301E4"/>
    <w:rsid w:val="5403562A"/>
    <w:rsid w:val="54044DE4"/>
    <w:rsid w:val="54086A67"/>
    <w:rsid w:val="540A3581"/>
    <w:rsid w:val="540BFE27"/>
    <w:rsid w:val="540D9E7A"/>
    <w:rsid w:val="540E38ED"/>
    <w:rsid w:val="540F3B62"/>
    <w:rsid w:val="540FE873"/>
    <w:rsid w:val="541107A6"/>
    <w:rsid w:val="5411B24C"/>
    <w:rsid w:val="5412D25D"/>
    <w:rsid w:val="54134AC6"/>
    <w:rsid w:val="5414E038"/>
    <w:rsid w:val="54190544"/>
    <w:rsid w:val="541ACE3C"/>
    <w:rsid w:val="541AF415"/>
    <w:rsid w:val="541B28FB"/>
    <w:rsid w:val="541E00BA"/>
    <w:rsid w:val="54282466"/>
    <w:rsid w:val="5429013E"/>
    <w:rsid w:val="54290F29"/>
    <w:rsid w:val="5429324A"/>
    <w:rsid w:val="5429BB37"/>
    <w:rsid w:val="542CAD8F"/>
    <w:rsid w:val="542D7920"/>
    <w:rsid w:val="542E8138"/>
    <w:rsid w:val="542FAF81"/>
    <w:rsid w:val="543657EC"/>
    <w:rsid w:val="54366F96"/>
    <w:rsid w:val="5437C545"/>
    <w:rsid w:val="5438ADD3"/>
    <w:rsid w:val="5438EDFE"/>
    <w:rsid w:val="543B4436"/>
    <w:rsid w:val="543CE691"/>
    <w:rsid w:val="543D89B6"/>
    <w:rsid w:val="543E2829"/>
    <w:rsid w:val="54404D2D"/>
    <w:rsid w:val="54406187"/>
    <w:rsid w:val="54406BCC"/>
    <w:rsid w:val="5440CD6D"/>
    <w:rsid w:val="5441926B"/>
    <w:rsid w:val="54425661"/>
    <w:rsid w:val="54433B82"/>
    <w:rsid w:val="54470ACE"/>
    <w:rsid w:val="5447FC6F"/>
    <w:rsid w:val="54491006"/>
    <w:rsid w:val="544A2D14"/>
    <w:rsid w:val="544A9098"/>
    <w:rsid w:val="544D63D5"/>
    <w:rsid w:val="5452CE98"/>
    <w:rsid w:val="5452CF10"/>
    <w:rsid w:val="5452F462"/>
    <w:rsid w:val="545907A8"/>
    <w:rsid w:val="545948F9"/>
    <w:rsid w:val="545A3EE8"/>
    <w:rsid w:val="545A702F"/>
    <w:rsid w:val="545C7F9C"/>
    <w:rsid w:val="545D045F"/>
    <w:rsid w:val="545FBAD1"/>
    <w:rsid w:val="54602E08"/>
    <w:rsid w:val="546054E3"/>
    <w:rsid w:val="5460A0CF"/>
    <w:rsid w:val="546334DB"/>
    <w:rsid w:val="5466D5A2"/>
    <w:rsid w:val="5469E391"/>
    <w:rsid w:val="546AA5E1"/>
    <w:rsid w:val="546CA698"/>
    <w:rsid w:val="5470FCDF"/>
    <w:rsid w:val="5471B571"/>
    <w:rsid w:val="5474380F"/>
    <w:rsid w:val="5477CA0B"/>
    <w:rsid w:val="5478CD8C"/>
    <w:rsid w:val="547A2A86"/>
    <w:rsid w:val="547B5341"/>
    <w:rsid w:val="547BCCE4"/>
    <w:rsid w:val="547C21A4"/>
    <w:rsid w:val="547C597A"/>
    <w:rsid w:val="547C8E29"/>
    <w:rsid w:val="547D80AD"/>
    <w:rsid w:val="54837D0B"/>
    <w:rsid w:val="54839B13"/>
    <w:rsid w:val="54850BEA"/>
    <w:rsid w:val="5485FB1F"/>
    <w:rsid w:val="548BEF1E"/>
    <w:rsid w:val="549021B4"/>
    <w:rsid w:val="5491F1C3"/>
    <w:rsid w:val="549822D5"/>
    <w:rsid w:val="549A1351"/>
    <w:rsid w:val="549B0DCA"/>
    <w:rsid w:val="549F49EA"/>
    <w:rsid w:val="54A1972D"/>
    <w:rsid w:val="54A5780B"/>
    <w:rsid w:val="54A71FE1"/>
    <w:rsid w:val="54A791AE"/>
    <w:rsid w:val="54ADA680"/>
    <w:rsid w:val="54AF285D"/>
    <w:rsid w:val="54B2E547"/>
    <w:rsid w:val="54B53FA1"/>
    <w:rsid w:val="54B60230"/>
    <w:rsid w:val="54B66870"/>
    <w:rsid w:val="54B7C25F"/>
    <w:rsid w:val="54B94AC0"/>
    <w:rsid w:val="54BA8519"/>
    <w:rsid w:val="54BE8C9E"/>
    <w:rsid w:val="54BF5F24"/>
    <w:rsid w:val="54C09B65"/>
    <w:rsid w:val="54C0A130"/>
    <w:rsid w:val="54C27B42"/>
    <w:rsid w:val="54C3AAC5"/>
    <w:rsid w:val="54C53934"/>
    <w:rsid w:val="54CA9592"/>
    <w:rsid w:val="54CB0A49"/>
    <w:rsid w:val="54CE5A4A"/>
    <w:rsid w:val="54CF11DB"/>
    <w:rsid w:val="54D24657"/>
    <w:rsid w:val="54D39B94"/>
    <w:rsid w:val="54D943E6"/>
    <w:rsid w:val="54DB7F27"/>
    <w:rsid w:val="54DF60FD"/>
    <w:rsid w:val="54DFA288"/>
    <w:rsid w:val="54E12F1B"/>
    <w:rsid w:val="54E1B66D"/>
    <w:rsid w:val="54E26035"/>
    <w:rsid w:val="54E38CF2"/>
    <w:rsid w:val="54E586B2"/>
    <w:rsid w:val="54E6EF90"/>
    <w:rsid w:val="54EA8B60"/>
    <w:rsid w:val="54EF92A9"/>
    <w:rsid w:val="54F1AE16"/>
    <w:rsid w:val="54F8498D"/>
    <w:rsid w:val="54F8679F"/>
    <w:rsid w:val="54FAEC7F"/>
    <w:rsid w:val="54FD8F2A"/>
    <w:rsid w:val="54FE4B9B"/>
    <w:rsid w:val="54FEF314"/>
    <w:rsid w:val="55023EA4"/>
    <w:rsid w:val="5502FCFE"/>
    <w:rsid w:val="550752C0"/>
    <w:rsid w:val="550AA39E"/>
    <w:rsid w:val="550B116F"/>
    <w:rsid w:val="550B8678"/>
    <w:rsid w:val="550DF41E"/>
    <w:rsid w:val="550E04D0"/>
    <w:rsid w:val="5511FA8A"/>
    <w:rsid w:val="5513983C"/>
    <w:rsid w:val="5515B4B4"/>
    <w:rsid w:val="5515BB3B"/>
    <w:rsid w:val="5520AEBB"/>
    <w:rsid w:val="5522548B"/>
    <w:rsid w:val="552824A9"/>
    <w:rsid w:val="5528F35D"/>
    <w:rsid w:val="5529A170"/>
    <w:rsid w:val="552D795B"/>
    <w:rsid w:val="552D8C40"/>
    <w:rsid w:val="552EC19C"/>
    <w:rsid w:val="552FB71F"/>
    <w:rsid w:val="553B41A4"/>
    <w:rsid w:val="553E21F8"/>
    <w:rsid w:val="553F0B4C"/>
    <w:rsid w:val="55424205"/>
    <w:rsid w:val="55445CE3"/>
    <w:rsid w:val="55449259"/>
    <w:rsid w:val="554522C2"/>
    <w:rsid w:val="55490A6A"/>
    <w:rsid w:val="5549D6D3"/>
    <w:rsid w:val="554B4540"/>
    <w:rsid w:val="554C804B"/>
    <w:rsid w:val="554F3535"/>
    <w:rsid w:val="5550A16D"/>
    <w:rsid w:val="5551612B"/>
    <w:rsid w:val="55547A4F"/>
    <w:rsid w:val="555C9B70"/>
    <w:rsid w:val="555CA8E4"/>
    <w:rsid w:val="555D526A"/>
    <w:rsid w:val="555D845C"/>
    <w:rsid w:val="555FF20C"/>
    <w:rsid w:val="556000FD"/>
    <w:rsid w:val="556714AF"/>
    <w:rsid w:val="5568C57A"/>
    <w:rsid w:val="5569798F"/>
    <w:rsid w:val="5569E28F"/>
    <w:rsid w:val="556C24F3"/>
    <w:rsid w:val="55755488"/>
    <w:rsid w:val="557A4AAD"/>
    <w:rsid w:val="557BBAF6"/>
    <w:rsid w:val="557BE800"/>
    <w:rsid w:val="557FE945"/>
    <w:rsid w:val="55809D12"/>
    <w:rsid w:val="5583C74F"/>
    <w:rsid w:val="5585A40C"/>
    <w:rsid w:val="55867DB1"/>
    <w:rsid w:val="5589E6FF"/>
    <w:rsid w:val="558B6AF6"/>
    <w:rsid w:val="5593132C"/>
    <w:rsid w:val="5593B883"/>
    <w:rsid w:val="5593D9C2"/>
    <w:rsid w:val="55947316"/>
    <w:rsid w:val="5594B6C3"/>
    <w:rsid w:val="55957977"/>
    <w:rsid w:val="55977FD2"/>
    <w:rsid w:val="559A8654"/>
    <w:rsid w:val="559AB03D"/>
    <w:rsid w:val="559B610B"/>
    <w:rsid w:val="559D0F17"/>
    <w:rsid w:val="559DADA3"/>
    <w:rsid w:val="559E6B93"/>
    <w:rsid w:val="559EDFC2"/>
    <w:rsid w:val="55A0C545"/>
    <w:rsid w:val="55A21CE1"/>
    <w:rsid w:val="55A2F84F"/>
    <w:rsid w:val="55A35CFB"/>
    <w:rsid w:val="55A41876"/>
    <w:rsid w:val="55A4A94E"/>
    <w:rsid w:val="55A4B284"/>
    <w:rsid w:val="55A5EF26"/>
    <w:rsid w:val="55A62F97"/>
    <w:rsid w:val="55A82137"/>
    <w:rsid w:val="55A90672"/>
    <w:rsid w:val="55AAF84B"/>
    <w:rsid w:val="55ABC5AD"/>
    <w:rsid w:val="55AE3B3C"/>
    <w:rsid w:val="55B2D574"/>
    <w:rsid w:val="55B59524"/>
    <w:rsid w:val="55B70BF7"/>
    <w:rsid w:val="55BAF6AF"/>
    <w:rsid w:val="55BBB06C"/>
    <w:rsid w:val="55BD9ABF"/>
    <w:rsid w:val="55BDAD39"/>
    <w:rsid w:val="55C7573D"/>
    <w:rsid w:val="55C861D6"/>
    <w:rsid w:val="55C8720F"/>
    <w:rsid w:val="55C9DF6F"/>
    <w:rsid w:val="55CA84D6"/>
    <w:rsid w:val="55CBCB59"/>
    <w:rsid w:val="55CC901E"/>
    <w:rsid w:val="55CE4644"/>
    <w:rsid w:val="55D04A86"/>
    <w:rsid w:val="55D263F2"/>
    <w:rsid w:val="55DB79AD"/>
    <w:rsid w:val="55DBFBA6"/>
    <w:rsid w:val="55E0958D"/>
    <w:rsid w:val="55E0D5F9"/>
    <w:rsid w:val="55E0DFDE"/>
    <w:rsid w:val="55E68789"/>
    <w:rsid w:val="55E8E94B"/>
    <w:rsid w:val="55E939CA"/>
    <w:rsid w:val="55E94406"/>
    <w:rsid w:val="55EB129D"/>
    <w:rsid w:val="55EBB74E"/>
    <w:rsid w:val="55EC7FC8"/>
    <w:rsid w:val="55EE41A6"/>
    <w:rsid w:val="55EF522D"/>
    <w:rsid w:val="55EFE11B"/>
    <w:rsid w:val="55F1BBD3"/>
    <w:rsid w:val="55F30D91"/>
    <w:rsid w:val="55F3BE3F"/>
    <w:rsid w:val="55F63178"/>
    <w:rsid w:val="55F7D9A9"/>
    <w:rsid w:val="55FD225E"/>
    <w:rsid w:val="55FFD422"/>
    <w:rsid w:val="560022D4"/>
    <w:rsid w:val="56067887"/>
    <w:rsid w:val="5606C4CC"/>
    <w:rsid w:val="560861D9"/>
    <w:rsid w:val="560DF872"/>
    <w:rsid w:val="560E0B80"/>
    <w:rsid w:val="560E0BD4"/>
    <w:rsid w:val="560E7501"/>
    <w:rsid w:val="560F33AB"/>
    <w:rsid w:val="560F6D42"/>
    <w:rsid w:val="56121F03"/>
    <w:rsid w:val="56123829"/>
    <w:rsid w:val="5612D306"/>
    <w:rsid w:val="5613CBCA"/>
    <w:rsid w:val="5615CC22"/>
    <w:rsid w:val="5617B7D8"/>
    <w:rsid w:val="5618AEB8"/>
    <w:rsid w:val="561EECDC"/>
    <w:rsid w:val="562174FE"/>
    <w:rsid w:val="56227F65"/>
    <w:rsid w:val="56237AA8"/>
    <w:rsid w:val="562386F1"/>
    <w:rsid w:val="56252C2F"/>
    <w:rsid w:val="56299D98"/>
    <w:rsid w:val="562AAF68"/>
    <w:rsid w:val="562C2F4D"/>
    <w:rsid w:val="562DB3FB"/>
    <w:rsid w:val="562E6393"/>
    <w:rsid w:val="562EE681"/>
    <w:rsid w:val="563067BA"/>
    <w:rsid w:val="56327860"/>
    <w:rsid w:val="5633AB0C"/>
    <w:rsid w:val="5635D59C"/>
    <w:rsid w:val="563624C0"/>
    <w:rsid w:val="56368B5B"/>
    <w:rsid w:val="56390A32"/>
    <w:rsid w:val="563C575D"/>
    <w:rsid w:val="563F6E93"/>
    <w:rsid w:val="56418B1D"/>
    <w:rsid w:val="564208EC"/>
    <w:rsid w:val="5645746B"/>
    <w:rsid w:val="56490DBC"/>
    <w:rsid w:val="564C4497"/>
    <w:rsid w:val="564E620E"/>
    <w:rsid w:val="564EDAB1"/>
    <w:rsid w:val="564F3B50"/>
    <w:rsid w:val="564F4D6C"/>
    <w:rsid w:val="564FF9C8"/>
    <w:rsid w:val="56500BD6"/>
    <w:rsid w:val="5650C6E4"/>
    <w:rsid w:val="56525534"/>
    <w:rsid w:val="5653A621"/>
    <w:rsid w:val="56604845"/>
    <w:rsid w:val="56610BA5"/>
    <w:rsid w:val="5661367E"/>
    <w:rsid w:val="56618221"/>
    <w:rsid w:val="5662F7F6"/>
    <w:rsid w:val="56632A35"/>
    <w:rsid w:val="5664A421"/>
    <w:rsid w:val="56673752"/>
    <w:rsid w:val="5668C2FE"/>
    <w:rsid w:val="5669F4E8"/>
    <w:rsid w:val="566B23D8"/>
    <w:rsid w:val="566E1D98"/>
    <w:rsid w:val="566E96FD"/>
    <w:rsid w:val="56724715"/>
    <w:rsid w:val="567512F6"/>
    <w:rsid w:val="56771B47"/>
    <w:rsid w:val="567ABB65"/>
    <w:rsid w:val="567C639B"/>
    <w:rsid w:val="567CC6BB"/>
    <w:rsid w:val="567DAD83"/>
    <w:rsid w:val="56804125"/>
    <w:rsid w:val="5681392E"/>
    <w:rsid w:val="5681C271"/>
    <w:rsid w:val="56835880"/>
    <w:rsid w:val="5684E5B6"/>
    <w:rsid w:val="5686202D"/>
    <w:rsid w:val="568657E6"/>
    <w:rsid w:val="56878278"/>
    <w:rsid w:val="568841AD"/>
    <w:rsid w:val="568AFA1A"/>
    <w:rsid w:val="568B9E30"/>
    <w:rsid w:val="568D303D"/>
    <w:rsid w:val="568E8E4B"/>
    <w:rsid w:val="568F2564"/>
    <w:rsid w:val="568F9C07"/>
    <w:rsid w:val="5691C3AD"/>
    <w:rsid w:val="569359DC"/>
    <w:rsid w:val="56941B86"/>
    <w:rsid w:val="56987A1D"/>
    <w:rsid w:val="5699B0A8"/>
    <w:rsid w:val="569AD609"/>
    <w:rsid w:val="569B0EE6"/>
    <w:rsid w:val="569C021B"/>
    <w:rsid w:val="569D8BAB"/>
    <w:rsid w:val="56A09785"/>
    <w:rsid w:val="56A0CC2D"/>
    <w:rsid w:val="56A26BDC"/>
    <w:rsid w:val="56A28D5D"/>
    <w:rsid w:val="56A47ED4"/>
    <w:rsid w:val="56A8E4BE"/>
    <w:rsid w:val="56AA7526"/>
    <w:rsid w:val="56AA8C3A"/>
    <w:rsid w:val="56AB1923"/>
    <w:rsid w:val="56AC3E69"/>
    <w:rsid w:val="56B0A560"/>
    <w:rsid w:val="56B0C052"/>
    <w:rsid w:val="56B0E3C3"/>
    <w:rsid w:val="56B138A4"/>
    <w:rsid w:val="56B48B06"/>
    <w:rsid w:val="56B6FAC2"/>
    <w:rsid w:val="56BC9EF6"/>
    <w:rsid w:val="56C03449"/>
    <w:rsid w:val="56C26754"/>
    <w:rsid w:val="56C28BA2"/>
    <w:rsid w:val="56C5BAA1"/>
    <w:rsid w:val="56C7AE52"/>
    <w:rsid w:val="56C8D734"/>
    <w:rsid w:val="56CC4610"/>
    <w:rsid w:val="56CDFDF4"/>
    <w:rsid w:val="56CE5929"/>
    <w:rsid w:val="56CED8DC"/>
    <w:rsid w:val="56D3809F"/>
    <w:rsid w:val="56D41CB2"/>
    <w:rsid w:val="56D43E07"/>
    <w:rsid w:val="56D518A1"/>
    <w:rsid w:val="56D9BB26"/>
    <w:rsid w:val="56DA42D1"/>
    <w:rsid w:val="56DA9159"/>
    <w:rsid w:val="56DBFB14"/>
    <w:rsid w:val="56DC8F2A"/>
    <w:rsid w:val="56DCEA01"/>
    <w:rsid w:val="56E0FAA9"/>
    <w:rsid w:val="56E57904"/>
    <w:rsid w:val="56E729E2"/>
    <w:rsid w:val="56E94131"/>
    <w:rsid w:val="56E9EBC8"/>
    <w:rsid w:val="56EB02A4"/>
    <w:rsid w:val="56ECE3DD"/>
    <w:rsid w:val="56EF708F"/>
    <w:rsid w:val="56F409C7"/>
    <w:rsid w:val="56F7E434"/>
    <w:rsid w:val="56FAF7AB"/>
    <w:rsid w:val="56FFAF92"/>
    <w:rsid w:val="5704176D"/>
    <w:rsid w:val="5708DEF5"/>
    <w:rsid w:val="5709FF36"/>
    <w:rsid w:val="570AC991"/>
    <w:rsid w:val="570B8AF1"/>
    <w:rsid w:val="570D047E"/>
    <w:rsid w:val="570F0037"/>
    <w:rsid w:val="570FEEBC"/>
    <w:rsid w:val="570FF383"/>
    <w:rsid w:val="5710F05D"/>
    <w:rsid w:val="57173B23"/>
    <w:rsid w:val="57183429"/>
    <w:rsid w:val="5719A1A3"/>
    <w:rsid w:val="571B33F0"/>
    <w:rsid w:val="5721E158"/>
    <w:rsid w:val="5722AACF"/>
    <w:rsid w:val="572481CC"/>
    <w:rsid w:val="5724BE8C"/>
    <w:rsid w:val="5726CC7A"/>
    <w:rsid w:val="572763BD"/>
    <w:rsid w:val="5728620C"/>
    <w:rsid w:val="572865D1"/>
    <w:rsid w:val="572B89E8"/>
    <w:rsid w:val="572BFC64"/>
    <w:rsid w:val="572F1772"/>
    <w:rsid w:val="573090C8"/>
    <w:rsid w:val="57331300"/>
    <w:rsid w:val="5734559E"/>
    <w:rsid w:val="57348A93"/>
    <w:rsid w:val="5734955E"/>
    <w:rsid w:val="5736621A"/>
    <w:rsid w:val="57369952"/>
    <w:rsid w:val="57376F76"/>
    <w:rsid w:val="573B35A0"/>
    <w:rsid w:val="573D2FB3"/>
    <w:rsid w:val="573D47F2"/>
    <w:rsid w:val="573E32B1"/>
    <w:rsid w:val="573EBE82"/>
    <w:rsid w:val="5745287C"/>
    <w:rsid w:val="57454B89"/>
    <w:rsid w:val="5745D9AF"/>
    <w:rsid w:val="57471E6A"/>
    <w:rsid w:val="5747DAF3"/>
    <w:rsid w:val="574881F3"/>
    <w:rsid w:val="574B6792"/>
    <w:rsid w:val="574C4470"/>
    <w:rsid w:val="574FCE50"/>
    <w:rsid w:val="57500EE2"/>
    <w:rsid w:val="5751CCAF"/>
    <w:rsid w:val="5752A152"/>
    <w:rsid w:val="5753065C"/>
    <w:rsid w:val="5753CBF3"/>
    <w:rsid w:val="5753DE99"/>
    <w:rsid w:val="575496F9"/>
    <w:rsid w:val="57569B1F"/>
    <w:rsid w:val="57590CBB"/>
    <w:rsid w:val="575B2686"/>
    <w:rsid w:val="575B5F0C"/>
    <w:rsid w:val="575BD4DE"/>
    <w:rsid w:val="57605439"/>
    <w:rsid w:val="5764D476"/>
    <w:rsid w:val="576672FC"/>
    <w:rsid w:val="576747D9"/>
    <w:rsid w:val="57684396"/>
    <w:rsid w:val="5768B736"/>
    <w:rsid w:val="5769D647"/>
    <w:rsid w:val="576A9B69"/>
    <w:rsid w:val="576B8697"/>
    <w:rsid w:val="576BAA6B"/>
    <w:rsid w:val="576BF2A8"/>
    <w:rsid w:val="576C310C"/>
    <w:rsid w:val="576E1BA9"/>
    <w:rsid w:val="577007C0"/>
    <w:rsid w:val="57717A89"/>
    <w:rsid w:val="57749E2B"/>
    <w:rsid w:val="5775686E"/>
    <w:rsid w:val="57767925"/>
    <w:rsid w:val="57778635"/>
    <w:rsid w:val="57779971"/>
    <w:rsid w:val="577B2369"/>
    <w:rsid w:val="577B38F5"/>
    <w:rsid w:val="577C46CB"/>
    <w:rsid w:val="5780C531"/>
    <w:rsid w:val="5782462B"/>
    <w:rsid w:val="5784284F"/>
    <w:rsid w:val="5784E181"/>
    <w:rsid w:val="57857690"/>
    <w:rsid w:val="57861776"/>
    <w:rsid w:val="5786C601"/>
    <w:rsid w:val="57885CC5"/>
    <w:rsid w:val="578A364B"/>
    <w:rsid w:val="57902470"/>
    <w:rsid w:val="5792D3E7"/>
    <w:rsid w:val="579A2EBD"/>
    <w:rsid w:val="579A354F"/>
    <w:rsid w:val="579C897C"/>
    <w:rsid w:val="579C96ED"/>
    <w:rsid w:val="579D358D"/>
    <w:rsid w:val="579FB58E"/>
    <w:rsid w:val="57A07973"/>
    <w:rsid w:val="57A65960"/>
    <w:rsid w:val="57A87463"/>
    <w:rsid w:val="57A8F120"/>
    <w:rsid w:val="57A9B19E"/>
    <w:rsid w:val="57AB6FD7"/>
    <w:rsid w:val="57B0E8FE"/>
    <w:rsid w:val="57B47341"/>
    <w:rsid w:val="57B50EA8"/>
    <w:rsid w:val="57B54868"/>
    <w:rsid w:val="57B5FBC9"/>
    <w:rsid w:val="57B75AB6"/>
    <w:rsid w:val="57B84A3F"/>
    <w:rsid w:val="57B91CB0"/>
    <w:rsid w:val="57BA6FFA"/>
    <w:rsid w:val="57BE5CE1"/>
    <w:rsid w:val="57BF51D1"/>
    <w:rsid w:val="57C1030A"/>
    <w:rsid w:val="57C11909"/>
    <w:rsid w:val="57C4BE14"/>
    <w:rsid w:val="57C4E1E6"/>
    <w:rsid w:val="57C9F7AD"/>
    <w:rsid w:val="57CE66F1"/>
    <w:rsid w:val="57D50B3F"/>
    <w:rsid w:val="57D8E503"/>
    <w:rsid w:val="57DCA263"/>
    <w:rsid w:val="57DDF740"/>
    <w:rsid w:val="57DE5B63"/>
    <w:rsid w:val="57E0CF33"/>
    <w:rsid w:val="57E1FAD6"/>
    <w:rsid w:val="57E39C13"/>
    <w:rsid w:val="57E7BA54"/>
    <w:rsid w:val="57EBB6CE"/>
    <w:rsid w:val="57ECB3E7"/>
    <w:rsid w:val="57F05A15"/>
    <w:rsid w:val="57F2F039"/>
    <w:rsid w:val="57F31748"/>
    <w:rsid w:val="57F31BBC"/>
    <w:rsid w:val="57F3444C"/>
    <w:rsid w:val="57F4FD67"/>
    <w:rsid w:val="57F97ED1"/>
    <w:rsid w:val="57FAE21A"/>
    <w:rsid w:val="57FB2476"/>
    <w:rsid w:val="57FCB185"/>
    <w:rsid w:val="57FF7BA3"/>
    <w:rsid w:val="5801A0B0"/>
    <w:rsid w:val="58035145"/>
    <w:rsid w:val="5807ACEE"/>
    <w:rsid w:val="5809AA0B"/>
    <w:rsid w:val="580B44F6"/>
    <w:rsid w:val="580EEBB8"/>
    <w:rsid w:val="5811A66D"/>
    <w:rsid w:val="58128BED"/>
    <w:rsid w:val="5813A6E1"/>
    <w:rsid w:val="58140C33"/>
    <w:rsid w:val="5814F322"/>
    <w:rsid w:val="58152C9B"/>
    <w:rsid w:val="5817062B"/>
    <w:rsid w:val="581AB2EE"/>
    <w:rsid w:val="581BC4A3"/>
    <w:rsid w:val="581D0F89"/>
    <w:rsid w:val="581E94E8"/>
    <w:rsid w:val="582649CE"/>
    <w:rsid w:val="582B9ACF"/>
    <w:rsid w:val="582C662A"/>
    <w:rsid w:val="582F98D2"/>
    <w:rsid w:val="583154A6"/>
    <w:rsid w:val="583290CE"/>
    <w:rsid w:val="5834B766"/>
    <w:rsid w:val="5834FC46"/>
    <w:rsid w:val="583694D3"/>
    <w:rsid w:val="583C00F8"/>
    <w:rsid w:val="583F4A2D"/>
    <w:rsid w:val="5843C560"/>
    <w:rsid w:val="58464ADB"/>
    <w:rsid w:val="5847E662"/>
    <w:rsid w:val="58487B3D"/>
    <w:rsid w:val="584999A8"/>
    <w:rsid w:val="584AF773"/>
    <w:rsid w:val="584FB859"/>
    <w:rsid w:val="58502FB7"/>
    <w:rsid w:val="585049A2"/>
    <w:rsid w:val="5851FA73"/>
    <w:rsid w:val="58523CA8"/>
    <w:rsid w:val="58529E4D"/>
    <w:rsid w:val="58540B56"/>
    <w:rsid w:val="5858A916"/>
    <w:rsid w:val="585920C2"/>
    <w:rsid w:val="585F5E21"/>
    <w:rsid w:val="58657C72"/>
    <w:rsid w:val="58668BBD"/>
    <w:rsid w:val="5866D01E"/>
    <w:rsid w:val="58671A78"/>
    <w:rsid w:val="58675583"/>
    <w:rsid w:val="586AFC60"/>
    <w:rsid w:val="586C2AD9"/>
    <w:rsid w:val="586CE663"/>
    <w:rsid w:val="586D01FA"/>
    <w:rsid w:val="586F35F8"/>
    <w:rsid w:val="5872D2A5"/>
    <w:rsid w:val="58765727"/>
    <w:rsid w:val="5876DF6B"/>
    <w:rsid w:val="587A00A1"/>
    <w:rsid w:val="587CD234"/>
    <w:rsid w:val="587DB1B7"/>
    <w:rsid w:val="587EC3FF"/>
    <w:rsid w:val="5883253D"/>
    <w:rsid w:val="58857474"/>
    <w:rsid w:val="5885CDEE"/>
    <w:rsid w:val="588B4581"/>
    <w:rsid w:val="588C7CCD"/>
    <w:rsid w:val="588C9CF9"/>
    <w:rsid w:val="588F3DB6"/>
    <w:rsid w:val="5891EB53"/>
    <w:rsid w:val="5894B8F2"/>
    <w:rsid w:val="5895EEF2"/>
    <w:rsid w:val="5899E797"/>
    <w:rsid w:val="589A03B7"/>
    <w:rsid w:val="589B05DB"/>
    <w:rsid w:val="589C8EFB"/>
    <w:rsid w:val="589ECDCE"/>
    <w:rsid w:val="589FF29D"/>
    <w:rsid w:val="58A0A292"/>
    <w:rsid w:val="58A30CB2"/>
    <w:rsid w:val="58A3F760"/>
    <w:rsid w:val="58A48DFD"/>
    <w:rsid w:val="58AA0734"/>
    <w:rsid w:val="58AE1B30"/>
    <w:rsid w:val="58AE5F9E"/>
    <w:rsid w:val="58AF549C"/>
    <w:rsid w:val="58B16173"/>
    <w:rsid w:val="58B40478"/>
    <w:rsid w:val="58B452CA"/>
    <w:rsid w:val="58B66052"/>
    <w:rsid w:val="58B6DF5A"/>
    <w:rsid w:val="58BB53D9"/>
    <w:rsid w:val="58BB8584"/>
    <w:rsid w:val="58BB9D97"/>
    <w:rsid w:val="58BBB1A0"/>
    <w:rsid w:val="58BD4366"/>
    <w:rsid w:val="58BE25C0"/>
    <w:rsid w:val="58C18B40"/>
    <w:rsid w:val="58C4314C"/>
    <w:rsid w:val="58C47814"/>
    <w:rsid w:val="58C649FB"/>
    <w:rsid w:val="58C7ABE7"/>
    <w:rsid w:val="58C868C0"/>
    <w:rsid w:val="58CA9143"/>
    <w:rsid w:val="58CE331B"/>
    <w:rsid w:val="58D50144"/>
    <w:rsid w:val="58D51335"/>
    <w:rsid w:val="58D704B6"/>
    <w:rsid w:val="58D7851E"/>
    <w:rsid w:val="58D893EE"/>
    <w:rsid w:val="58D93C81"/>
    <w:rsid w:val="58DB5482"/>
    <w:rsid w:val="58DC9E9F"/>
    <w:rsid w:val="58DF8AEB"/>
    <w:rsid w:val="58E1D9E7"/>
    <w:rsid w:val="58E3AD27"/>
    <w:rsid w:val="58E4428E"/>
    <w:rsid w:val="58E4C30F"/>
    <w:rsid w:val="58E76713"/>
    <w:rsid w:val="58E81344"/>
    <w:rsid w:val="58EE9DED"/>
    <w:rsid w:val="58F12ADE"/>
    <w:rsid w:val="58F337B2"/>
    <w:rsid w:val="58F38665"/>
    <w:rsid w:val="58F3EA06"/>
    <w:rsid w:val="58F599ED"/>
    <w:rsid w:val="58F6BF13"/>
    <w:rsid w:val="58F82CA7"/>
    <w:rsid w:val="58FA23C1"/>
    <w:rsid w:val="58FD05D6"/>
    <w:rsid w:val="58FD214D"/>
    <w:rsid w:val="58FDE861"/>
    <w:rsid w:val="58FE2BF5"/>
    <w:rsid w:val="5900238A"/>
    <w:rsid w:val="5900A1DE"/>
    <w:rsid w:val="5900AD8C"/>
    <w:rsid w:val="59046A8F"/>
    <w:rsid w:val="590480F0"/>
    <w:rsid w:val="5906F793"/>
    <w:rsid w:val="5907272D"/>
    <w:rsid w:val="590976B4"/>
    <w:rsid w:val="590A8E41"/>
    <w:rsid w:val="590C98B9"/>
    <w:rsid w:val="590FB754"/>
    <w:rsid w:val="5910E693"/>
    <w:rsid w:val="59111FFA"/>
    <w:rsid w:val="59157130"/>
    <w:rsid w:val="591876BB"/>
    <w:rsid w:val="5919C914"/>
    <w:rsid w:val="591B81CC"/>
    <w:rsid w:val="591F4E92"/>
    <w:rsid w:val="592155F2"/>
    <w:rsid w:val="59221C3B"/>
    <w:rsid w:val="5926377C"/>
    <w:rsid w:val="59288B61"/>
    <w:rsid w:val="5929EB7C"/>
    <w:rsid w:val="592BC2FD"/>
    <w:rsid w:val="592CFD0E"/>
    <w:rsid w:val="592E57C4"/>
    <w:rsid w:val="592ED390"/>
    <w:rsid w:val="592F93ED"/>
    <w:rsid w:val="59301E38"/>
    <w:rsid w:val="5931F70A"/>
    <w:rsid w:val="59324246"/>
    <w:rsid w:val="59332BF4"/>
    <w:rsid w:val="5934FD22"/>
    <w:rsid w:val="593528E1"/>
    <w:rsid w:val="593682F0"/>
    <w:rsid w:val="5936A5FE"/>
    <w:rsid w:val="593A9A42"/>
    <w:rsid w:val="593BC447"/>
    <w:rsid w:val="594023BF"/>
    <w:rsid w:val="594056D4"/>
    <w:rsid w:val="5940C35C"/>
    <w:rsid w:val="59414A76"/>
    <w:rsid w:val="5942D11E"/>
    <w:rsid w:val="5943CCF5"/>
    <w:rsid w:val="5943D473"/>
    <w:rsid w:val="59450D4A"/>
    <w:rsid w:val="594587E2"/>
    <w:rsid w:val="59486076"/>
    <w:rsid w:val="5948CC5D"/>
    <w:rsid w:val="594BBB60"/>
    <w:rsid w:val="594BF480"/>
    <w:rsid w:val="594C415B"/>
    <w:rsid w:val="594CC0BB"/>
    <w:rsid w:val="594D24F8"/>
    <w:rsid w:val="594D2A7C"/>
    <w:rsid w:val="594E37EE"/>
    <w:rsid w:val="594E8B10"/>
    <w:rsid w:val="594FEF56"/>
    <w:rsid w:val="5950F4B6"/>
    <w:rsid w:val="5951A643"/>
    <w:rsid w:val="59531B1E"/>
    <w:rsid w:val="5957C726"/>
    <w:rsid w:val="5959964A"/>
    <w:rsid w:val="595B952C"/>
    <w:rsid w:val="595C69DC"/>
    <w:rsid w:val="595E0E2C"/>
    <w:rsid w:val="595FDED3"/>
    <w:rsid w:val="59605B62"/>
    <w:rsid w:val="5960A12B"/>
    <w:rsid w:val="5960E2CB"/>
    <w:rsid w:val="5962FC73"/>
    <w:rsid w:val="59670019"/>
    <w:rsid w:val="5967D6B5"/>
    <w:rsid w:val="596826A1"/>
    <w:rsid w:val="5968464C"/>
    <w:rsid w:val="596A670A"/>
    <w:rsid w:val="596DF1D8"/>
    <w:rsid w:val="596FC093"/>
    <w:rsid w:val="59708A27"/>
    <w:rsid w:val="5970A94B"/>
    <w:rsid w:val="59781BF4"/>
    <w:rsid w:val="59788DEB"/>
    <w:rsid w:val="597954FD"/>
    <w:rsid w:val="597BA3BC"/>
    <w:rsid w:val="598239A5"/>
    <w:rsid w:val="5988E4A4"/>
    <w:rsid w:val="598BD22F"/>
    <w:rsid w:val="598CF81F"/>
    <w:rsid w:val="599070E6"/>
    <w:rsid w:val="5993E2E2"/>
    <w:rsid w:val="5995FD34"/>
    <w:rsid w:val="59990E50"/>
    <w:rsid w:val="5999B468"/>
    <w:rsid w:val="5999F8D8"/>
    <w:rsid w:val="599BC126"/>
    <w:rsid w:val="599C3234"/>
    <w:rsid w:val="599E7E43"/>
    <w:rsid w:val="59A35FB0"/>
    <w:rsid w:val="59A5CE19"/>
    <w:rsid w:val="59A69CB4"/>
    <w:rsid w:val="59A9D25B"/>
    <w:rsid w:val="59A9FED2"/>
    <w:rsid w:val="59AC3995"/>
    <w:rsid w:val="59ADF389"/>
    <w:rsid w:val="59B02ED9"/>
    <w:rsid w:val="59B7F319"/>
    <w:rsid w:val="59B9BAF7"/>
    <w:rsid w:val="59BBAC7B"/>
    <w:rsid w:val="59BC2819"/>
    <w:rsid w:val="59BD0372"/>
    <w:rsid w:val="59BD7C67"/>
    <w:rsid w:val="59BE38AD"/>
    <w:rsid w:val="59C24833"/>
    <w:rsid w:val="59C47793"/>
    <w:rsid w:val="59C79B86"/>
    <w:rsid w:val="59CAEA21"/>
    <w:rsid w:val="59CB7F50"/>
    <w:rsid w:val="59CC0079"/>
    <w:rsid w:val="59D15CF2"/>
    <w:rsid w:val="59D33BFF"/>
    <w:rsid w:val="59D34799"/>
    <w:rsid w:val="59D7EFC6"/>
    <w:rsid w:val="59D9D69E"/>
    <w:rsid w:val="59DB5E3B"/>
    <w:rsid w:val="59DD10A0"/>
    <w:rsid w:val="59DE281E"/>
    <w:rsid w:val="59E234A6"/>
    <w:rsid w:val="59E64A32"/>
    <w:rsid w:val="59E8B765"/>
    <w:rsid w:val="59EB634D"/>
    <w:rsid w:val="59EB6C3E"/>
    <w:rsid w:val="59EDA7A3"/>
    <w:rsid w:val="59EE6C47"/>
    <w:rsid w:val="59EF1185"/>
    <w:rsid w:val="59EF28E2"/>
    <w:rsid w:val="59F0A3F7"/>
    <w:rsid w:val="59F2F534"/>
    <w:rsid w:val="59F3D1D4"/>
    <w:rsid w:val="59F61C9C"/>
    <w:rsid w:val="59F72520"/>
    <w:rsid w:val="59FB70A5"/>
    <w:rsid w:val="59FCECED"/>
    <w:rsid w:val="59FFC67D"/>
    <w:rsid w:val="5A01B324"/>
    <w:rsid w:val="5A050856"/>
    <w:rsid w:val="5A084991"/>
    <w:rsid w:val="5A0C076B"/>
    <w:rsid w:val="5A0C7896"/>
    <w:rsid w:val="5A0D4760"/>
    <w:rsid w:val="5A0E4F2A"/>
    <w:rsid w:val="5A107CF2"/>
    <w:rsid w:val="5A112788"/>
    <w:rsid w:val="5A11FE17"/>
    <w:rsid w:val="5A124DC8"/>
    <w:rsid w:val="5A139EFA"/>
    <w:rsid w:val="5A1422B0"/>
    <w:rsid w:val="5A1481C7"/>
    <w:rsid w:val="5A17859E"/>
    <w:rsid w:val="5A1867BE"/>
    <w:rsid w:val="5A1C815F"/>
    <w:rsid w:val="5A1C99B2"/>
    <w:rsid w:val="5A1D1FE5"/>
    <w:rsid w:val="5A2085BB"/>
    <w:rsid w:val="5A2113A7"/>
    <w:rsid w:val="5A215322"/>
    <w:rsid w:val="5A223E28"/>
    <w:rsid w:val="5A226BE9"/>
    <w:rsid w:val="5A230E99"/>
    <w:rsid w:val="5A2354F5"/>
    <w:rsid w:val="5A246D5D"/>
    <w:rsid w:val="5A255756"/>
    <w:rsid w:val="5A26772A"/>
    <w:rsid w:val="5A278330"/>
    <w:rsid w:val="5A285077"/>
    <w:rsid w:val="5A2908AD"/>
    <w:rsid w:val="5A2B898F"/>
    <w:rsid w:val="5A2D3E86"/>
    <w:rsid w:val="5A339D4E"/>
    <w:rsid w:val="5A347F8C"/>
    <w:rsid w:val="5A34C9B7"/>
    <w:rsid w:val="5A35B2D1"/>
    <w:rsid w:val="5A3F1104"/>
    <w:rsid w:val="5A418F62"/>
    <w:rsid w:val="5A444CC4"/>
    <w:rsid w:val="5A454298"/>
    <w:rsid w:val="5A46231B"/>
    <w:rsid w:val="5A492D98"/>
    <w:rsid w:val="5A4BEB25"/>
    <w:rsid w:val="5A4DBBD0"/>
    <w:rsid w:val="5A4DF1A8"/>
    <w:rsid w:val="5A501C80"/>
    <w:rsid w:val="5A59B8F6"/>
    <w:rsid w:val="5A5B1ED1"/>
    <w:rsid w:val="5A61DBE2"/>
    <w:rsid w:val="5A62DC63"/>
    <w:rsid w:val="5A6521FB"/>
    <w:rsid w:val="5A65E959"/>
    <w:rsid w:val="5A675EC9"/>
    <w:rsid w:val="5A679A61"/>
    <w:rsid w:val="5A6AB579"/>
    <w:rsid w:val="5A6DB5B7"/>
    <w:rsid w:val="5A6E2B22"/>
    <w:rsid w:val="5A6E3FB4"/>
    <w:rsid w:val="5A6E92EA"/>
    <w:rsid w:val="5A6F3333"/>
    <w:rsid w:val="5A76FAD4"/>
    <w:rsid w:val="5A784B58"/>
    <w:rsid w:val="5A78E645"/>
    <w:rsid w:val="5A78FE43"/>
    <w:rsid w:val="5A80B3DE"/>
    <w:rsid w:val="5A80DB2D"/>
    <w:rsid w:val="5A8240C9"/>
    <w:rsid w:val="5A82C1A3"/>
    <w:rsid w:val="5A83CC50"/>
    <w:rsid w:val="5A84CA2E"/>
    <w:rsid w:val="5A883033"/>
    <w:rsid w:val="5A897C0E"/>
    <w:rsid w:val="5A8A59EA"/>
    <w:rsid w:val="5A8EBEB5"/>
    <w:rsid w:val="5A8EC6D3"/>
    <w:rsid w:val="5A91343B"/>
    <w:rsid w:val="5A92220F"/>
    <w:rsid w:val="5A92AD11"/>
    <w:rsid w:val="5A9B1EBF"/>
    <w:rsid w:val="5A9BC414"/>
    <w:rsid w:val="5A9C4D26"/>
    <w:rsid w:val="5A9F2202"/>
    <w:rsid w:val="5AA7238D"/>
    <w:rsid w:val="5AA96D96"/>
    <w:rsid w:val="5AABA336"/>
    <w:rsid w:val="5AABE723"/>
    <w:rsid w:val="5AAE0D9D"/>
    <w:rsid w:val="5AAEE457"/>
    <w:rsid w:val="5AAF6851"/>
    <w:rsid w:val="5AB02563"/>
    <w:rsid w:val="5AB1C80C"/>
    <w:rsid w:val="5AB3CB3E"/>
    <w:rsid w:val="5ABF61C4"/>
    <w:rsid w:val="5AC47F91"/>
    <w:rsid w:val="5ACC916E"/>
    <w:rsid w:val="5AD18B89"/>
    <w:rsid w:val="5AD23942"/>
    <w:rsid w:val="5AD2765F"/>
    <w:rsid w:val="5AD277AE"/>
    <w:rsid w:val="5AD39777"/>
    <w:rsid w:val="5AD7F22B"/>
    <w:rsid w:val="5AD9451D"/>
    <w:rsid w:val="5AD95CB9"/>
    <w:rsid w:val="5AD9F9BF"/>
    <w:rsid w:val="5ADA0EB8"/>
    <w:rsid w:val="5ADA916C"/>
    <w:rsid w:val="5ADABAB4"/>
    <w:rsid w:val="5ADC4369"/>
    <w:rsid w:val="5ADC93AB"/>
    <w:rsid w:val="5ADD737A"/>
    <w:rsid w:val="5ADED6B3"/>
    <w:rsid w:val="5AE09B77"/>
    <w:rsid w:val="5AE184CF"/>
    <w:rsid w:val="5AE198C9"/>
    <w:rsid w:val="5AE30E3E"/>
    <w:rsid w:val="5AE3AD19"/>
    <w:rsid w:val="5AE3E601"/>
    <w:rsid w:val="5AE60E04"/>
    <w:rsid w:val="5AE6498F"/>
    <w:rsid w:val="5AE796EF"/>
    <w:rsid w:val="5AE8DC29"/>
    <w:rsid w:val="5AEBF10F"/>
    <w:rsid w:val="5AEEDE0B"/>
    <w:rsid w:val="5AF1B65B"/>
    <w:rsid w:val="5AF40795"/>
    <w:rsid w:val="5AF60FC6"/>
    <w:rsid w:val="5AF61E4E"/>
    <w:rsid w:val="5AF79D0F"/>
    <w:rsid w:val="5AF93D82"/>
    <w:rsid w:val="5AFB153A"/>
    <w:rsid w:val="5B02067B"/>
    <w:rsid w:val="5B03868D"/>
    <w:rsid w:val="5B042864"/>
    <w:rsid w:val="5B079512"/>
    <w:rsid w:val="5B07ED49"/>
    <w:rsid w:val="5B0A7DA1"/>
    <w:rsid w:val="5B0CC947"/>
    <w:rsid w:val="5B0F250E"/>
    <w:rsid w:val="5B1116EC"/>
    <w:rsid w:val="5B121C1E"/>
    <w:rsid w:val="5B12766F"/>
    <w:rsid w:val="5B12C41D"/>
    <w:rsid w:val="5B1846F7"/>
    <w:rsid w:val="5B194DED"/>
    <w:rsid w:val="5B1E0A4A"/>
    <w:rsid w:val="5B210398"/>
    <w:rsid w:val="5B254791"/>
    <w:rsid w:val="5B25C01F"/>
    <w:rsid w:val="5B275BBB"/>
    <w:rsid w:val="5B276308"/>
    <w:rsid w:val="5B27D0A0"/>
    <w:rsid w:val="5B2945A5"/>
    <w:rsid w:val="5B29EAA8"/>
    <w:rsid w:val="5B2A4C80"/>
    <w:rsid w:val="5B2B7691"/>
    <w:rsid w:val="5B2E39B5"/>
    <w:rsid w:val="5B2E893B"/>
    <w:rsid w:val="5B326647"/>
    <w:rsid w:val="5B32C91F"/>
    <w:rsid w:val="5B356893"/>
    <w:rsid w:val="5B369036"/>
    <w:rsid w:val="5B38A61C"/>
    <w:rsid w:val="5B3B2069"/>
    <w:rsid w:val="5B3E6789"/>
    <w:rsid w:val="5B45DA93"/>
    <w:rsid w:val="5B478A58"/>
    <w:rsid w:val="5B48C273"/>
    <w:rsid w:val="5B4F67EB"/>
    <w:rsid w:val="5B511E60"/>
    <w:rsid w:val="5B513CDA"/>
    <w:rsid w:val="5B51779C"/>
    <w:rsid w:val="5B54AA51"/>
    <w:rsid w:val="5B54AD6B"/>
    <w:rsid w:val="5B555516"/>
    <w:rsid w:val="5B5729FF"/>
    <w:rsid w:val="5B578747"/>
    <w:rsid w:val="5B5D42F8"/>
    <w:rsid w:val="5B5EBCE5"/>
    <w:rsid w:val="5B60C023"/>
    <w:rsid w:val="5B62A3AF"/>
    <w:rsid w:val="5B630A13"/>
    <w:rsid w:val="5B65693A"/>
    <w:rsid w:val="5B66ECDA"/>
    <w:rsid w:val="5B6772CA"/>
    <w:rsid w:val="5B6A2728"/>
    <w:rsid w:val="5B71DAE7"/>
    <w:rsid w:val="5B729DCF"/>
    <w:rsid w:val="5B73BE8F"/>
    <w:rsid w:val="5B78D35C"/>
    <w:rsid w:val="5B799FEF"/>
    <w:rsid w:val="5B7C2A15"/>
    <w:rsid w:val="5B7C4926"/>
    <w:rsid w:val="5B7D2FF9"/>
    <w:rsid w:val="5B7DE5C3"/>
    <w:rsid w:val="5B7E104D"/>
    <w:rsid w:val="5B8098AD"/>
    <w:rsid w:val="5B834797"/>
    <w:rsid w:val="5B8627A3"/>
    <w:rsid w:val="5B88226C"/>
    <w:rsid w:val="5B8B62CA"/>
    <w:rsid w:val="5B8CA00A"/>
    <w:rsid w:val="5B8CF729"/>
    <w:rsid w:val="5B8EE524"/>
    <w:rsid w:val="5B8FA5DE"/>
    <w:rsid w:val="5B909886"/>
    <w:rsid w:val="5B90A2D5"/>
    <w:rsid w:val="5B90FA2E"/>
    <w:rsid w:val="5B91E8F6"/>
    <w:rsid w:val="5B9257ED"/>
    <w:rsid w:val="5B930CF1"/>
    <w:rsid w:val="5B94941E"/>
    <w:rsid w:val="5B9737B9"/>
    <w:rsid w:val="5B9B67FE"/>
    <w:rsid w:val="5B9D8CC5"/>
    <w:rsid w:val="5BA3CB9B"/>
    <w:rsid w:val="5BA5E601"/>
    <w:rsid w:val="5BA95247"/>
    <w:rsid w:val="5BA97196"/>
    <w:rsid w:val="5BA9E476"/>
    <w:rsid w:val="5BADEBDE"/>
    <w:rsid w:val="5BAF5711"/>
    <w:rsid w:val="5BB0C127"/>
    <w:rsid w:val="5BB10441"/>
    <w:rsid w:val="5BB4B560"/>
    <w:rsid w:val="5BB78B8D"/>
    <w:rsid w:val="5BBAD207"/>
    <w:rsid w:val="5BBBEED6"/>
    <w:rsid w:val="5BBC010E"/>
    <w:rsid w:val="5BBD8207"/>
    <w:rsid w:val="5BBDFF65"/>
    <w:rsid w:val="5BBEA174"/>
    <w:rsid w:val="5BBEABA0"/>
    <w:rsid w:val="5BBEE796"/>
    <w:rsid w:val="5BBFD4DD"/>
    <w:rsid w:val="5BC0106B"/>
    <w:rsid w:val="5BC17DB2"/>
    <w:rsid w:val="5BC27309"/>
    <w:rsid w:val="5BC2B293"/>
    <w:rsid w:val="5BC68C9A"/>
    <w:rsid w:val="5BC79E1D"/>
    <w:rsid w:val="5BCB8541"/>
    <w:rsid w:val="5BCC1CF4"/>
    <w:rsid w:val="5BD1DBED"/>
    <w:rsid w:val="5BD554E9"/>
    <w:rsid w:val="5BD5B5DE"/>
    <w:rsid w:val="5BD8AC6F"/>
    <w:rsid w:val="5BDB78F5"/>
    <w:rsid w:val="5BDD103A"/>
    <w:rsid w:val="5BDEC925"/>
    <w:rsid w:val="5BDF0FCD"/>
    <w:rsid w:val="5BE37FA8"/>
    <w:rsid w:val="5BE6B811"/>
    <w:rsid w:val="5BE7CAFB"/>
    <w:rsid w:val="5BE90DC0"/>
    <w:rsid w:val="5BEAB4C1"/>
    <w:rsid w:val="5BEBB1D3"/>
    <w:rsid w:val="5BEC5233"/>
    <w:rsid w:val="5BF5EE45"/>
    <w:rsid w:val="5BF66072"/>
    <w:rsid w:val="5BF7B9BC"/>
    <w:rsid w:val="5BF97746"/>
    <w:rsid w:val="5BF97E56"/>
    <w:rsid w:val="5BFC0238"/>
    <w:rsid w:val="5BFC023E"/>
    <w:rsid w:val="5BFC2DD7"/>
    <w:rsid w:val="5BFCBCDC"/>
    <w:rsid w:val="5BFE2DE4"/>
    <w:rsid w:val="5C012D5A"/>
    <w:rsid w:val="5C036AC2"/>
    <w:rsid w:val="5C037761"/>
    <w:rsid w:val="5C0495A3"/>
    <w:rsid w:val="5C05EF2D"/>
    <w:rsid w:val="5C071702"/>
    <w:rsid w:val="5C085B17"/>
    <w:rsid w:val="5C0A5C9A"/>
    <w:rsid w:val="5C0D6F2F"/>
    <w:rsid w:val="5C0ED42C"/>
    <w:rsid w:val="5C0F03E7"/>
    <w:rsid w:val="5C0F6FD5"/>
    <w:rsid w:val="5C10E255"/>
    <w:rsid w:val="5C10E5C5"/>
    <w:rsid w:val="5C11510F"/>
    <w:rsid w:val="5C137C54"/>
    <w:rsid w:val="5C14C1F9"/>
    <w:rsid w:val="5C15E42F"/>
    <w:rsid w:val="5C162113"/>
    <w:rsid w:val="5C163B0B"/>
    <w:rsid w:val="5C163F2A"/>
    <w:rsid w:val="5C16E668"/>
    <w:rsid w:val="5C17369B"/>
    <w:rsid w:val="5C17E58E"/>
    <w:rsid w:val="5C183130"/>
    <w:rsid w:val="5C18F335"/>
    <w:rsid w:val="5C1AA587"/>
    <w:rsid w:val="5C1C258A"/>
    <w:rsid w:val="5C1F44BD"/>
    <w:rsid w:val="5C1FF2A9"/>
    <w:rsid w:val="5C22518D"/>
    <w:rsid w:val="5C2257C9"/>
    <w:rsid w:val="5C261472"/>
    <w:rsid w:val="5C2681B9"/>
    <w:rsid w:val="5C278B57"/>
    <w:rsid w:val="5C284A65"/>
    <w:rsid w:val="5C29820E"/>
    <w:rsid w:val="5C2C4A35"/>
    <w:rsid w:val="5C2F5CC5"/>
    <w:rsid w:val="5C30174E"/>
    <w:rsid w:val="5C30628E"/>
    <w:rsid w:val="5C30DC0C"/>
    <w:rsid w:val="5C3270EB"/>
    <w:rsid w:val="5C32A839"/>
    <w:rsid w:val="5C3306B5"/>
    <w:rsid w:val="5C33625D"/>
    <w:rsid w:val="5C354803"/>
    <w:rsid w:val="5C360F3A"/>
    <w:rsid w:val="5C3A27A9"/>
    <w:rsid w:val="5C3BBF2F"/>
    <w:rsid w:val="5C40948F"/>
    <w:rsid w:val="5C40B9A2"/>
    <w:rsid w:val="5C4460BC"/>
    <w:rsid w:val="5C4570DD"/>
    <w:rsid w:val="5C45BF64"/>
    <w:rsid w:val="5C48D307"/>
    <w:rsid w:val="5C495AE3"/>
    <w:rsid w:val="5C51BA08"/>
    <w:rsid w:val="5C52F4FC"/>
    <w:rsid w:val="5C556469"/>
    <w:rsid w:val="5C55B72A"/>
    <w:rsid w:val="5C56DF80"/>
    <w:rsid w:val="5C56F629"/>
    <w:rsid w:val="5C57D8A2"/>
    <w:rsid w:val="5C58546C"/>
    <w:rsid w:val="5C5CF9D8"/>
    <w:rsid w:val="5C60A45D"/>
    <w:rsid w:val="5C610397"/>
    <w:rsid w:val="5C612B4D"/>
    <w:rsid w:val="5C6225A3"/>
    <w:rsid w:val="5C62EF1A"/>
    <w:rsid w:val="5C63FC29"/>
    <w:rsid w:val="5C642BDB"/>
    <w:rsid w:val="5C67E8FC"/>
    <w:rsid w:val="5C683DDE"/>
    <w:rsid w:val="5C69AEF9"/>
    <w:rsid w:val="5C6FAC31"/>
    <w:rsid w:val="5C70378A"/>
    <w:rsid w:val="5C707F87"/>
    <w:rsid w:val="5C709530"/>
    <w:rsid w:val="5C7386EC"/>
    <w:rsid w:val="5C753903"/>
    <w:rsid w:val="5C765B7C"/>
    <w:rsid w:val="5C766880"/>
    <w:rsid w:val="5C78C5D7"/>
    <w:rsid w:val="5C78F38A"/>
    <w:rsid w:val="5C7FC508"/>
    <w:rsid w:val="5C8A110C"/>
    <w:rsid w:val="5C8A894B"/>
    <w:rsid w:val="5C8AB52C"/>
    <w:rsid w:val="5C90B27C"/>
    <w:rsid w:val="5C920224"/>
    <w:rsid w:val="5C92195F"/>
    <w:rsid w:val="5C95BD11"/>
    <w:rsid w:val="5C9760D0"/>
    <w:rsid w:val="5C97B9BC"/>
    <w:rsid w:val="5C9830FF"/>
    <w:rsid w:val="5C9DA664"/>
    <w:rsid w:val="5CA17D31"/>
    <w:rsid w:val="5CA27513"/>
    <w:rsid w:val="5CA8DE2C"/>
    <w:rsid w:val="5CAAB411"/>
    <w:rsid w:val="5CAC2B1C"/>
    <w:rsid w:val="5CAC5CD2"/>
    <w:rsid w:val="5CAE5159"/>
    <w:rsid w:val="5CAFBC42"/>
    <w:rsid w:val="5CB24A33"/>
    <w:rsid w:val="5CB38733"/>
    <w:rsid w:val="5CB40DE7"/>
    <w:rsid w:val="5CB59028"/>
    <w:rsid w:val="5CB5C1EC"/>
    <w:rsid w:val="5CB75929"/>
    <w:rsid w:val="5CB801A2"/>
    <w:rsid w:val="5CB82076"/>
    <w:rsid w:val="5CBAD438"/>
    <w:rsid w:val="5CBAE5A7"/>
    <w:rsid w:val="5CC38AD7"/>
    <w:rsid w:val="5CC57BBF"/>
    <w:rsid w:val="5CC6FD8A"/>
    <w:rsid w:val="5CC96E3B"/>
    <w:rsid w:val="5CCE9126"/>
    <w:rsid w:val="5CCFB67A"/>
    <w:rsid w:val="5CCFC87A"/>
    <w:rsid w:val="5CD07DAD"/>
    <w:rsid w:val="5CD2974A"/>
    <w:rsid w:val="5CD2FA75"/>
    <w:rsid w:val="5CD39271"/>
    <w:rsid w:val="5CD8DA30"/>
    <w:rsid w:val="5CD96299"/>
    <w:rsid w:val="5CDA32E7"/>
    <w:rsid w:val="5CDA9BF4"/>
    <w:rsid w:val="5CDBC553"/>
    <w:rsid w:val="5CDF8741"/>
    <w:rsid w:val="5CDFA734"/>
    <w:rsid w:val="5CE97594"/>
    <w:rsid w:val="5CE9E1A3"/>
    <w:rsid w:val="5CEDB623"/>
    <w:rsid w:val="5CEE758E"/>
    <w:rsid w:val="5CEF2C9E"/>
    <w:rsid w:val="5CF1D51F"/>
    <w:rsid w:val="5CF355D0"/>
    <w:rsid w:val="5CF452BE"/>
    <w:rsid w:val="5CF52DF5"/>
    <w:rsid w:val="5CF6F151"/>
    <w:rsid w:val="5CF74076"/>
    <w:rsid w:val="5CF88EEC"/>
    <w:rsid w:val="5CF8B37F"/>
    <w:rsid w:val="5CF8B9AD"/>
    <w:rsid w:val="5D00C943"/>
    <w:rsid w:val="5D020316"/>
    <w:rsid w:val="5D02BD3B"/>
    <w:rsid w:val="5D07B262"/>
    <w:rsid w:val="5D09D2EE"/>
    <w:rsid w:val="5D0A52C8"/>
    <w:rsid w:val="5D0AFCFB"/>
    <w:rsid w:val="5D0B584B"/>
    <w:rsid w:val="5D0CE304"/>
    <w:rsid w:val="5D112C7B"/>
    <w:rsid w:val="5D1137F4"/>
    <w:rsid w:val="5D13CA5E"/>
    <w:rsid w:val="5D14F353"/>
    <w:rsid w:val="5D15A108"/>
    <w:rsid w:val="5D169220"/>
    <w:rsid w:val="5D1B6D43"/>
    <w:rsid w:val="5D1BE06A"/>
    <w:rsid w:val="5D207458"/>
    <w:rsid w:val="5D21B8CD"/>
    <w:rsid w:val="5D25EA0D"/>
    <w:rsid w:val="5D2877BF"/>
    <w:rsid w:val="5D2B5ABB"/>
    <w:rsid w:val="5D2B8835"/>
    <w:rsid w:val="5D2EC960"/>
    <w:rsid w:val="5D307392"/>
    <w:rsid w:val="5D30AE70"/>
    <w:rsid w:val="5D30BA54"/>
    <w:rsid w:val="5D33F517"/>
    <w:rsid w:val="5D362AC9"/>
    <w:rsid w:val="5D3652AC"/>
    <w:rsid w:val="5D36C908"/>
    <w:rsid w:val="5D3772A5"/>
    <w:rsid w:val="5D399D6A"/>
    <w:rsid w:val="5D3A4E0B"/>
    <w:rsid w:val="5D407B07"/>
    <w:rsid w:val="5D447265"/>
    <w:rsid w:val="5D469C74"/>
    <w:rsid w:val="5D482E87"/>
    <w:rsid w:val="5D495E83"/>
    <w:rsid w:val="5D4AB988"/>
    <w:rsid w:val="5D4B6618"/>
    <w:rsid w:val="5D4D4225"/>
    <w:rsid w:val="5D522329"/>
    <w:rsid w:val="5D536B23"/>
    <w:rsid w:val="5D538AC3"/>
    <w:rsid w:val="5D56A82E"/>
    <w:rsid w:val="5D570889"/>
    <w:rsid w:val="5D59E4A6"/>
    <w:rsid w:val="5D5A47B7"/>
    <w:rsid w:val="5D5B0DB4"/>
    <w:rsid w:val="5D602B77"/>
    <w:rsid w:val="5D6C3435"/>
    <w:rsid w:val="5D6DF47B"/>
    <w:rsid w:val="5D6E6575"/>
    <w:rsid w:val="5D6E84E5"/>
    <w:rsid w:val="5D737539"/>
    <w:rsid w:val="5D739A21"/>
    <w:rsid w:val="5D7841D8"/>
    <w:rsid w:val="5D7A5ED9"/>
    <w:rsid w:val="5D7E5B49"/>
    <w:rsid w:val="5D807117"/>
    <w:rsid w:val="5D811007"/>
    <w:rsid w:val="5D830922"/>
    <w:rsid w:val="5D85B1E6"/>
    <w:rsid w:val="5D85DDEC"/>
    <w:rsid w:val="5D8AA1AF"/>
    <w:rsid w:val="5D8BCDEE"/>
    <w:rsid w:val="5D8BEF1F"/>
    <w:rsid w:val="5D8C3B65"/>
    <w:rsid w:val="5D8EFEB7"/>
    <w:rsid w:val="5D91E92D"/>
    <w:rsid w:val="5D92C362"/>
    <w:rsid w:val="5D93415E"/>
    <w:rsid w:val="5D9421CE"/>
    <w:rsid w:val="5D94B0DD"/>
    <w:rsid w:val="5D97014D"/>
    <w:rsid w:val="5D995A4D"/>
    <w:rsid w:val="5D99827B"/>
    <w:rsid w:val="5D9C50FA"/>
    <w:rsid w:val="5D9D952D"/>
    <w:rsid w:val="5D9DD06F"/>
    <w:rsid w:val="5DA1C740"/>
    <w:rsid w:val="5DA4E5F7"/>
    <w:rsid w:val="5DA54873"/>
    <w:rsid w:val="5DA96FD9"/>
    <w:rsid w:val="5DAB03DF"/>
    <w:rsid w:val="5DAC2187"/>
    <w:rsid w:val="5DAD1F1C"/>
    <w:rsid w:val="5DB009A2"/>
    <w:rsid w:val="5DB2EF44"/>
    <w:rsid w:val="5DB450A9"/>
    <w:rsid w:val="5DB4A497"/>
    <w:rsid w:val="5DB6D074"/>
    <w:rsid w:val="5DB93905"/>
    <w:rsid w:val="5DBBBB53"/>
    <w:rsid w:val="5DBC652A"/>
    <w:rsid w:val="5DBEB3CF"/>
    <w:rsid w:val="5DBFBC1B"/>
    <w:rsid w:val="5DC1CECB"/>
    <w:rsid w:val="5DC4FB90"/>
    <w:rsid w:val="5DC55ABD"/>
    <w:rsid w:val="5DC55D80"/>
    <w:rsid w:val="5DC6F102"/>
    <w:rsid w:val="5DCB3A42"/>
    <w:rsid w:val="5DCCCC8D"/>
    <w:rsid w:val="5DCD15D6"/>
    <w:rsid w:val="5DCDFA8C"/>
    <w:rsid w:val="5DCFE6A0"/>
    <w:rsid w:val="5DD1737B"/>
    <w:rsid w:val="5DD315E7"/>
    <w:rsid w:val="5DD76017"/>
    <w:rsid w:val="5DD9AE58"/>
    <w:rsid w:val="5DE594DC"/>
    <w:rsid w:val="5DE5B0A3"/>
    <w:rsid w:val="5DE5E371"/>
    <w:rsid w:val="5DE631E4"/>
    <w:rsid w:val="5DE7D9C6"/>
    <w:rsid w:val="5DEB5F0B"/>
    <w:rsid w:val="5DEBC780"/>
    <w:rsid w:val="5DEC7C15"/>
    <w:rsid w:val="5DEDED03"/>
    <w:rsid w:val="5DEE62FB"/>
    <w:rsid w:val="5DEE70A9"/>
    <w:rsid w:val="5DEFFAD2"/>
    <w:rsid w:val="5DF17239"/>
    <w:rsid w:val="5DF1DB7B"/>
    <w:rsid w:val="5DF2C1B2"/>
    <w:rsid w:val="5DF65425"/>
    <w:rsid w:val="5DF75C68"/>
    <w:rsid w:val="5DF77CE0"/>
    <w:rsid w:val="5DFDA028"/>
    <w:rsid w:val="5DFFC2A4"/>
    <w:rsid w:val="5E04A4B3"/>
    <w:rsid w:val="5E06A8AF"/>
    <w:rsid w:val="5E0F88C0"/>
    <w:rsid w:val="5E11D964"/>
    <w:rsid w:val="5E123FD7"/>
    <w:rsid w:val="5E127EAB"/>
    <w:rsid w:val="5E12E13B"/>
    <w:rsid w:val="5E1BD753"/>
    <w:rsid w:val="5E1D1CEC"/>
    <w:rsid w:val="5E1DF4E3"/>
    <w:rsid w:val="5E1EB49A"/>
    <w:rsid w:val="5E23E159"/>
    <w:rsid w:val="5E267237"/>
    <w:rsid w:val="5E2680D0"/>
    <w:rsid w:val="5E278711"/>
    <w:rsid w:val="5E28D623"/>
    <w:rsid w:val="5E2C1F8F"/>
    <w:rsid w:val="5E34B3C8"/>
    <w:rsid w:val="5E36E6F1"/>
    <w:rsid w:val="5E387188"/>
    <w:rsid w:val="5E3C357C"/>
    <w:rsid w:val="5E3C6CE2"/>
    <w:rsid w:val="5E3C8864"/>
    <w:rsid w:val="5E3C9D64"/>
    <w:rsid w:val="5E3D916A"/>
    <w:rsid w:val="5E3D9C98"/>
    <w:rsid w:val="5E408F82"/>
    <w:rsid w:val="5E45CB74"/>
    <w:rsid w:val="5E4734B7"/>
    <w:rsid w:val="5E47AD3D"/>
    <w:rsid w:val="5E4B1502"/>
    <w:rsid w:val="5E508650"/>
    <w:rsid w:val="5E5410E2"/>
    <w:rsid w:val="5E54F27D"/>
    <w:rsid w:val="5E59A079"/>
    <w:rsid w:val="5E5C227C"/>
    <w:rsid w:val="5E5D6FD9"/>
    <w:rsid w:val="5E602893"/>
    <w:rsid w:val="5E6052FF"/>
    <w:rsid w:val="5E61B398"/>
    <w:rsid w:val="5E62B9CA"/>
    <w:rsid w:val="5E692DC9"/>
    <w:rsid w:val="5E6A98FD"/>
    <w:rsid w:val="5E6DCFB7"/>
    <w:rsid w:val="5E732898"/>
    <w:rsid w:val="5E73E8E1"/>
    <w:rsid w:val="5E77D7DF"/>
    <w:rsid w:val="5E78CBE3"/>
    <w:rsid w:val="5E79E346"/>
    <w:rsid w:val="5E7B4539"/>
    <w:rsid w:val="5E7B8A4A"/>
    <w:rsid w:val="5E7C22D6"/>
    <w:rsid w:val="5E7C267D"/>
    <w:rsid w:val="5E7F5FF6"/>
    <w:rsid w:val="5E8259EB"/>
    <w:rsid w:val="5E859168"/>
    <w:rsid w:val="5E87DE36"/>
    <w:rsid w:val="5E8AFA3E"/>
    <w:rsid w:val="5E8B4C05"/>
    <w:rsid w:val="5E908A02"/>
    <w:rsid w:val="5E910CCA"/>
    <w:rsid w:val="5E91218E"/>
    <w:rsid w:val="5E91D8DD"/>
    <w:rsid w:val="5E944A3B"/>
    <w:rsid w:val="5E946E48"/>
    <w:rsid w:val="5E997659"/>
    <w:rsid w:val="5E9BD16A"/>
    <w:rsid w:val="5E9BDDD6"/>
    <w:rsid w:val="5E9CADC4"/>
    <w:rsid w:val="5E9D61D3"/>
    <w:rsid w:val="5EA32D8C"/>
    <w:rsid w:val="5EA38755"/>
    <w:rsid w:val="5EA62D60"/>
    <w:rsid w:val="5EA953BB"/>
    <w:rsid w:val="5EAA533C"/>
    <w:rsid w:val="5EABDF48"/>
    <w:rsid w:val="5EAD70E4"/>
    <w:rsid w:val="5EAED967"/>
    <w:rsid w:val="5EB0327C"/>
    <w:rsid w:val="5EB153A4"/>
    <w:rsid w:val="5EB1CD8B"/>
    <w:rsid w:val="5EB99F96"/>
    <w:rsid w:val="5EBAD873"/>
    <w:rsid w:val="5EBBB6BA"/>
    <w:rsid w:val="5EBD143A"/>
    <w:rsid w:val="5EC36224"/>
    <w:rsid w:val="5EC4E0CC"/>
    <w:rsid w:val="5EC855EB"/>
    <w:rsid w:val="5EC8C31C"/>
    <w:rsid w:val="5EC8C9C2"/>
    <w:rsid w:val="5EC9B033"/>
    <w:rsid w:val="5EC9B20E"/>
    <w:rsid w:val="5ECC55A9"/>
    <w:rsid w:val="5ECD3FCA"/>
    <w:rsid w:val="5ECFE43A"/>
    <w:rsid w:val="5ED41105"/>
    <w:rsid w:val="5ED4C932"/>
    <w:rsid w:val="5ED6191D"/>
    <w:rsid w:val="5ED71D13"/>
    <w:rsid w:val="5ED805BE"/>
    <w:rsid w:val="5ED94A27"/>
    <w:rsid w:val="5EDC81FF"/>
    <w:rsid w:val="5EDF7A4A"/>
    <w:rsid w:val="5EE2CE57"/>
    <w:rsid w:val="5EE8011B"/>
    <w:rsid w:val="5EEC3A6F"/>
    <w:rsid w:val="5EEC6818"/>
    <w:rsid w:val="5EF247B0"/>
    <w:rsid w:val="5EF26616"/>
    <w:rsid w:val="5EF2C606"/>
    <w:rsid w:val="5EF4CA24"/>
    <w:rsid w:val="5EF66DCA"/>
    <w:rsid w:val="5EFB8233"/>
    <w:rsid w:val="5EFBD173"/>
    <w:rsid w:val="5EFBE8BE"/>
    <w:rsid w:val="5EFCA78D"/>
    <w:rsid w:val="5EFCDF98"/>
    <w:rsid w:val="5EFD36E5"/>
    <w:rsid w:val="5F02AC1C"/>
    <w:rsid w:val="5F02FE86"/>
    <w:rsid w:val="5F097B2C"/>
    <w:rsid w:val="5F09C9DB"/>
    <w:rsid w:val="5F0B18AF"/>
    <w:rsid w:val="5F0CB8F9"/>
    <w:rsid w:val="5F0E5010"/>
    <w:rsid w:val="5F0F0458"/>
    <w:rsid w:val="5F0F15E5"/>
    <w:rsid w:val="5F11862F"/>
    <w:rsid w:val="5F11D2A2"/>
    <w:rsid w:val="5F141917"/>
    <w:rsid w:val="5F150800"/>
    <w:rsid w:val="5F1639AB"/>
    <w:rsid w:val="5F16D630"/>
    <w:rsid w:val="5F18A60B"/>
    <w:rsid w:val="5F1941C4"/>
    <w:rsid w:val="5F1AC07B"/>
    <w:rsid w:val="5F20B1EA"/>
    <w:rsid w:val="5F20FD62"/>
    <w:rsid w:val="5F22097B"/>
    <w:rsid w:val="5F22732F"/>
    <w:rsid w:val="5F236A9A"/>
    <w:rsid w:val="5F24A263"/>
    <w:rsid w:val="5F24D162"/>
    <w:rsid w:val="5F252DDC"/>
    <w:rsid w:val="5F2946AD"/>
    <w:rsid w:val="5F2BA9BF"/>
    <w:rsid w:val="5F302BB3"/>
    <w:rsid w:val="5F36A392"/>
    <w:rsid w:val="5F3763F2"/>
    <w:rsid w:val="5F3803C4"/>
    <w:rsid w:val="5F385E5E"/>
    <w:rsid w:val="5F39D524"/>
    <w:rsid w:val="5F39DFB6"/>
    <w:rsid w:val="5F3A4049"/>
    <w:rsid w:val="5F3B0B84"/>
    <w:rsid w:val="5F3BB82C"/>
    <w:rsid w:val="5F3CC8BF"/>
    <w:rsid w:val="5F3E0DDC"/>
    <w:rsid w:val="5F3E221B"/>
    <w:rsid w:val="5F3F5C9B"/>
    <w:rsid w:val="5F404018"/>
    <w:rsid w:val="5F4041FA"/>
    <w:rsid w:val="5F41C7D3"/>
    <w:rsid w:val="5F422497"/>
    <w:rsid w:val="5F42AAF1"/>
    <w:rsid w:val="5F42DB72"/>
    <w:rsid w:val="5F4324DC"/>
    <w:rsid w:val="5F44F19E"/>
    <w:rsid w:val="5F48639E"/>
    <w:rsid w:val="5F498539"/>
    <w:rsid w:val="5F4C92A0"/>
    <w:rsid w:val="5F4D3F6C"/>
    <w:rsid w:val="5F51C2D4"/>
    <w:rsid w:val="5F5244CF"/>
    <w:rsid w:val="5F52E517"/>
    <w:rsid w:val="5F549EC0"/>
    <w:rsid w:val="5F54A97C"/>
    <w:rsid w:val="5F55E2E2"/>
    <w:rsid w:val="5F587E75"/>
    <w:rsid w:val="5F58EAD3"/>
    <w:rsid w:val="5F59A286"/>
    <w:rsid w:val="5F5CD4B9"/>
    <w:rsid w:val="5F5F4134"/>
    <w:rsid w:val="5F61B8A5"/>
    <w:rsid w:val="5F623F5B"/>
    <w:rsid w:val="5F628958"/>
    <w:rsid w:val="5F648141"/>
    <w:rsid w:val="5F649266"/>
    <w:rsid w:val="5F64A911"/>
    <w:rsid w:val="5F6D9220"/>
    <w:rsid w:val="5F6E576A"/>
    <w:rsid w:val="5F711FE3"/>
    <w:rsid w:val="5F7A0245"/>
    <w:rsid w:val="5F7A66B2"/>
    <w:rsid w:val="5F7AEE90"/>
    <w:rsid w:val="5F7CAD42"/>
    <w:rsid w:val="5F7EE644"/>
    <w:rsid w:val="5F803236"/>
    <w:rsid w:val="5F82F570"/>
    <w:rsid w:val="5F85674B"/>
    <w:rsid w:val="5F859E32"/>
    <w:rsid w:val="5F85BD58"/>
    <w:rsid w:val="5F866601"/>
    <w:rsid w:val="5F86CEC8"/>
    <w:rsid w:val="5F8E51B8"/>
    <w:rsid w:val="5F8E540B"/>
    <w:rsid w:val="5F925C26"/>
    <w:rsid w:val="5F93DA88"/>
    <w:rsid w:val="5F958096"/>
    <w:rsid w:val="5F961DBF"/>
    <w:rsid w:val="5F97DF66"/>
    <w:rsid w:val="5F9A1994"/>
    <w:rsid w:val="5F9B1803"/>
    <w:rsid w:val="5F9DDA04"/>
    <w:rsid w:val="5F9E36F2"/>
    <w:rsid w:val="5F9F464A"/>
    <w:rsid w:val="5FA224BF"/>
    <w:rsid w:val="5FA5659D"/>
    <w:rsid w:val="5FA70936"/>
    <w:rsid w:val="5FA71791"/>
    <w:rsid w:val="5FAAA2B3"/>
    <w:rsid w:val="5FAD95A9"/>
    <w:rsid w:val="5FADF54C"/>
    <w:rsid w:val="5FAE285A"/>
    <w:rsid w:val="5FAEF293"/>
    <w:rsid w:val="5FB196A3"/>
    <w:rsid w:val="5FB277D2"/>
    <w:rsid w:val="5FB379B2"/>
    <w:rsid w:val="5FB39EE8"/>
    <w:rsid w:val="5FB70B18"/>
    <w:rsid w:val="5FBC3DA5"/>
    <w:rsid w:val="5FBD7BC5"/>
    <w:rsid w:val="5FBDF87A"/>
    <w:rsid w:val="5FBF1A61"/>
    <w:rsid w:val="5FC136BE"/>
    <w:rsid w:val="5FC31DE4"/>
    <w:rsid w:val="5FCA6D0B"/>
    <w:rsid w:val="5FCBB8DE"/>
    <w:rsid w:val="5FCCCA26"/>
    <w:rsid w:val="5FCE2D84"/>
    <w:rsid w:val="5FCF6AFB"/>
    <w:rsid w:val="5FD14348"/>
    <w:rsid w:val="5FD1B136"/>
    <w:rsid w:val="5FD2D59C"/>
    <w:rsid w:val="5FD3249D"/>
    <w:rsid w:val="5FD49ABE"/>
    <w:rsid w:val="5FD5CB32"/>
    <w:rsid w:val="5FD720D7"/>
    <w:rsid w:val="5FD74F8F"/>
    <w:rsid w:val="5FD85B2C"/>
    <w:rsid w:val="5FD8936F"/>
    <w:rsid w:val="5FDD0F99"/>
    <w:rsid w:val="5FE278B7"/>
    <w:rsid w:val="5FE48657"/>
    <w:rsid w:val="5FE5049A"/>
    <w:rsid w:val="5FE83DEF"/>
    <w:rsid w:val="5FE86730"/>
    <w:rsid w:val="5FEC39C4"/>
    <w:rsid w:val="5FEC7899"/>
    <w:rsid w:val="5FED1A20"/>
    <w:rsid w:val="5FED2180"/>
    <w:rsid w:val="5FED362A"/>
    <w:rsid w:val="5FEEC8CC"/>
    <w:rsid w:val="5FF0201D"/>
    <w:rsid w:val="5FF1F7D9"/>
    <w:rsid w:val="5FF3BBEC"/>
    <w:rsid w:val="5FF42302"/>
    <w:rsid w:val="5FF580A5"/>
    <w:rsid w:val="5FF6DC0E"/>
    <w:rsid w:val="5FFB88B3"/>
    <w:rsid w:val="5FFBC2A1"/>
    <w:rsid w:val="5FFE2CFA"/>
    <w:rsid w:val="5FFF8ACA"/>
    <w:rsid w:val="60025C1C"/>
    <w:rsid w:val="6002AB80"/>
    <w:rsid w:val="6003AACD"/>
    <w:rsid w:val="6006A08B"/>
    <w:rsid w:val="6008320F"/>
    <w:rsid w:val="6009ED43"/>
    <w:rsid w:val="600B0C61"/>
    <w:rsid w:val="60108C06"/>
    <w:rsid w:val="60114EFF"/>
    <w:rsid w:val="601166F5"/>
    <w:rsid w:val="6012C114"/>
    <w:rsid w:val="6016C237"/>
    <w:rsid w:val="601C13F8"/>
    <w:rsid w:val="601F6685"/>
    <w:rsid w:val="6022EDF4"/>
    <w:rsid w:val="60243D9B"/>
    <w:rsid w:val="60267624"/>
    <w:rsid w:val="6026A3BD"/>
    <w:rsid w:val="6026B2AD"/>
    <w:rsid w:val="6026CB16"/>
    <w:rsid w:val="6027ABD5"/>
    <w:rsid w:val="602A4709"/>
    <w:rsid w:val="602ADC9F"/>
    <w:rsid w:val="602AEDFF"/>
    <w:rsid w:val="602BD577"/>
    <w:rsid w:val="602D4997"/>
    <w:rsid w:val="602EF3A0"/>
    <w:rsid w:val="602FD21A"/>
    <w:rsid w:val="603286DA"/>
    <w:rsid w:val="6034832C"/>
    <w:rsid w:val="603B1666"/>
    <w:rsid w:val="603C23F0"/>
    <w:rsid w:val="603C5A21"/>
    <w:rsid w:val="603D7C39"/>
    <w:rsid w:val="603E1780"/>
    <w:rsid w:val="603FC497"/>
    <w:rsid w:val="60404046"/>
    <w:rsid w:val="60416590"/>
    <w:rsid w:val="6041C157"/>
    <w:rsid w:val="6041E908"/>
    <w:rsid w:val="60425509"/>
    <w:rsid w:val="6048186C"/>
    <w:rsid w:val="604ACF56"/>
    <w:rsid w:val="604B0E1D"/>
    <w:rsid w:val="604B9809"/>
    <w:rsid w:val="6051C720"/>
    <w:rsid w:val="605966C2"/>
    <w:rsid w:val="605C9D51"/>
    <w:rsid w:val="605FF406"/>
    <w:rsid w:val="606109B9"/>
    <w:rsid w:val="6063691C"/>
    <w:rsid w:val="6069C64F"/>
    <w:rsid w:val="606BA2FC"/>
    <w:rsid w:val="606E6AF5"/>
    <w:rsid w:val="60708ECA"/>
    <w:rsid w:val="607194FE"/>
    <w:rsid w:val="6074B8C3"/>
    <w:rsid w:val="6074E8B6"/>
    <w:rsid w:val="60794CA1"/>
    <w:rsid w:val="60818F63"/>
    <w:rsid w:val="6081C2CD"/>
    <w:rsid w:val="608517CD"/>
    <w:rsid w:val="60868CBD"/>
    <w:rsid w:val="6088ECA3"/>
    <w:rsid w:val="60890F73"/>
    <w:rsid w:val="6089EA93"/>
    <w:rsid w:val="608BD21B"/>
    <w:rsid w:val="608F2919"/>
    <w:rsid w:val="6093A25F"/>
    <w:rsid w:val="6093B581"/>
    <w:rsid w:val="6095554A"/>
    <w:rsid w:val="6098CDF4"/>
    <w:rsid w:val="609A394F"/>
    <w:rsid w:val="609AC92A"/>
    <w:rsid w:val="609C8599"/>
    <w:rsid w:val="609D53A3"/>
    <w:rsid w:val="609E9E7D"/>
    <w:rsid w:val="60A04291"/>
    <w:rsid w:val="60A2AEE0"/>
    <w:rsid w:val="60A3D6A2"/>
    <w:rsid w:val="60A63C52"/>
    <w:rsid w:val="60A90E76"/>
    <w:rsid w:val="60AAD1D9"/>
    <w:rsid w:val="60AD9D8E"/>
    <w:rsid w:val="60B0E17C"/>
    <w:rsid w:val="60B0F113"/>
    <w:rsid w:val="60B1E43C"/>
    <w:rsid w:val="60B2DF97"/>
    <w:rsid w:val="60B4B990"/>
    <w:rsid w:val="60B9127B"/>
    <w:rsid w:val="60B92295"/>
    <w:rsid w:val="60BDD6B9"/>
    <w:rsid w:val="60C19AB1"/>
    <w:rsid w:val="60C227DE"/>
    <w:rsid w:val="60C469E5"/>
    <w:rsid w:val="60CA9BA0"/>
    <w:rsid w:val="60CD7B8D"/>
    <w:rsid w:val="60CFBEA2"/>
    <w:rsid w:val="60D436D6"/>
    <w:rsid w:val="60D573D9"/>
    <w:rsid w:val="60D58596"/>
    <w:rsid w:val="60D6A8EA"/>
    <w:rsid w:val="60D87B0F"/>
    <w:rsid w:val="60D9B03A"/>
    <w:rsid w:val="60DBAD8F"/>
    <w:rsid w:val="60E11471"/>
    <w:rsid w:val="60E23604"/>
    <w:rsid w:val="60EB8569"/>
    <w:rsid w:val="60F54ADF"/>
    <w:rsid w:val="60F62663"/>
    <w:rsid w:val="60F842B5"/>
    <w:rsid w:val="60F98398"/>
    <w:rsid w:val="60FA21EC"/>
    <w:rsid w:val="60FB13E4"/>
    <w:rsid w:val="60FB7F6A"/>
    <w:rsid w:val="60FE603D"/>
    <w:rsid w:val="60FFF4A8"/>
    <w:rsid w:val="61008A4C"/>
    <w:rsid w:val="610C6C6A"/>
    <w:rsid w:val="610CA2A2"/>
    <w:rsid w:val="610E595A"/>
    <w:rsid w:val="611080BC"/>
    <w:rsid w:val="61130C88"/>
    <w:rsid w:val="61153398"/>
    <w:rsid w:val="611802CF"/>
    <w:rsid w:val="611A3B07"/>
    <w:rsid w:val="611F81D4"/>
    <w:rsid w:val="612151ED"/>
    <w:rsid w:val="61251076"/>
    <w:rsid w:val="61251535"/>
    <w:rsid w:val="6126BC6B"/>
    <w:rsid w:val="6127AFB5"/>
    <w:rsid w:val="6128DCFE"/>
    <w:rsid w:val="612928FF"/>
    <w:rsid w:val="61294EF1"/>
    <w:rsid w:val="612A8050"/>
    <w:rsid w:val="612A9B2D"/>
    <w:rsid w:val="612AB3ED"/>
    <w:rsid w:val="612CEF6D"/>
    <w:rsid w:val="612F3E3C"/>
    <w:rsid w:val="612F8E90"/>
    <w:rsid w:val="6131E2CA"/>
    <w:rsid w:val="6134C2B0"/>
    <w:rsid w:val="6134C4F3"/>
    <w:rsid w:val="6137ADB1"/>
    <w:rsid w:val="6139C8C1"/>
    <w:rsid w:val="613C0425"/>
    <w:rsid w:val="613FC0F4"/>
    <w:rsid w:val="6142389E"/>
    <w:rsid w:val="614250A0"/>
    <w:rsid w:val="6143A8AD"/>
    <w:rsid w:val="61445195"/>
    <w:rsid w:val="6147FC8C"/>
    <w:rsid w:val="614835D0"/>
    <w:rsid w:val="614AD53C"/>
    <w:rsid w:val="614C64AD"/>
    <w:rsid w:val="61510B49"/>
    <w:rsid w:val="615161F4"/>
    <w:rsid w:val="6152F019"/>
    <w:rsid w:val="6154D1F2"/>
    <w:rsid w:val="61560567"/>
    <w:rsid w:val="61575FF6"/>
    <w:rsid w:val="615B08BE"/>
    <w:rsid w:val="615C1D73"/>
    <w:rsid w:val="615CBD83"/>
    <w:rsid w:val="615F2553"/>
    <w:rsid w:val="61605722"/>
    <w:rsid w:val="6160769C"/>
    <w:rsid w:val="61672284"/>
    <w:rsid w:val="61674B5A"/>
    <w:rsid w:val="61699C18"/>
    <w:rsid w:val="6169AB41"/>
    <w:rsid w:val="616C044B"/>
    <w:rsid w:val="616D588C"/>
    <w:rsid w:val="616E4410"/>
    <w:rsid w:val="616F7867"/>
    <w:rsid w:val="61704CE3"/>
    <w:rsid w:val="6171E4F2"/>
    <w:rsid w:val="6178D75F"/>
    <w:rsid w:val="617D1BDA"/>
    <w:rsid w:val="617DBC9C"/>
    <w:rsid w:val="617E96F7"/>
    <w:rsid w:val="617EE11F"/>
    <w:rsid w:val="61819F3F"/>
    <w:rsid w:val="6181D538"/>
    <w:rsid w:val="6185B6A1"/>
    <w:rsid w:val="61878E2E"/>
    <w:rsid w:val="618ADE06"/>
    <w:rsid w:val="618B2268"/>
    <w:rsid w:val="618BE9EB"/>
    <w:rsid w:val="6191FF0A"/>
    <w:rsid w:val="6192B79C"/>
    <w:rsid w:val="6192BE7D"/>
    <w:rsid w:val="61931CA6"/>
    <w:rsid w:val="61950493"/>
    <w:rsid w:val="6196A952"/>
    <w:rsid w:val="6197309B"/>
    <w:rsid w:val="61997F15"/>
    <w:rsid w:val="619A826A"/>
    <w:rsid w:val="619C344A"/>
    <w:rsid w:val="619F03DB"/>
    <w:rsid w:val="61A0A1CC"/>
    <w:rsid w:val="61A25D54"/>
    <w:rsid w:val="61A350CC"/>
    <w:rsid w:val="61A50F1D"/>
    <w:rsid w:val="61A5E46F"/>
    <w:rsid w:val="61A63C21"/>
    <w:rsid w:val="61A94CFA"/>
    <w:rsid w:val="61A9529C"/>
    <w:rsid w:val="61A96240"/>
    <w:rsid w:val="61A9A5FB"/>
    <w:rsid w:val="61AA1809"/>
    <w:rsid w:val="61AA8AC9"/>
    <w:rsid w:val="61AC427B"/>
    <w:rsid w:val="61B27EEE"/>
    <w:rsid w:val="61B28673"/>
    <w:rsid w:val="61B6F1CB"/>
    <w:rsid w:val="61B74594"/>
    <w:rsid w:val="61B894B8"/>
    <w:rsid w:val="61BBD568"/>
    <w:rsid w:val="61BE6F4C"/>
    <w:rsid w:val="61BFB849"/>
    <w:rsid w:val="61C0BBC2"/>
    <w:rsid w:val="61C116A5"/>
    <w:rsid w:val="61C1F5A6"/>
    <w:rsid w:val="61C2B181"/>
    <w:rsid w:val="61C4C2C8"/>
    <w:rsid w:val="61C5C351"/>
    <w:rsid w:val="61C757AF"/>
    <w:rsid w:val="61C7DF82"/>
    <w:rsid w:val="61CAB199"/>
    <w:rsid w:val="61CBC023"/>
    <w:rsid w:val="61CBEF11"/>
    <w:rsid w:val="61CC112B"/>
    <w:rsid w:val="61CCE0B0"/>
    <w:rsid w:val="61CE4141"/>
    <w:rsid w:val="61D00AC3"/>
    <w:rsid w:val="61D35F7B"/>
    <w:rsid w:val="61D8BAF5"/>
    <w:rsid w:val="61E484AF"/>
    <w:rsid w:val="61E4D832"/>
    <w:rsid w:val="61E62C81"/>
    <w:rsid w:val="61E858C3"/>
    <w:rsid w:val="61EA7544"/>
    <w:rsid w:val="61EAF9B3"/>
    <w:rsid w:val="61EF0A4C"/>
    <w:rsid w:val="61F1865A"/>
    <w:rsid w:val="61F1DE05"/>
    <w:rsid w:val="61F5E9E9"/>
    <w:rsid w:val="61F705CA"/>
    <w:rsid w:val="61F9932F"/>
    <w:rsid w:val="61FB10B5"/>
    <w:rsid w:val="6200A573"/>
    <w:rsid w:val="6201787D"/>
    <w:rsid w:val="6204568E"/>
    <w:rsid w:val="62086F1D"/>
    <w:rsid w:val="620BC82E"/>
    <w:rsid w:val="620DFDA4"/>
    <w:rsid w:val="621240CA"/>
    <w:rsid w:val="6212ADCC"/>
    <w:rsid w:val="6215BEBD"/>
    <w:rsid w:val="6219FF11"/>
    <w:rsid w:val="621AA405"/>
    <w:rsid w:val="621DF63A"/>
    <w:rsid w:val="621E2B5C"/>
    <w:rsid w:val="621F28C2"/>
    <w:rsid w:val="6222A004"/>
    <w:rsid w:val="622644C3"/>
    <w:rsid w:val="62276132"/>
    <w:rsid w:val="622A6CB6"/>
    <w:rsid w:val="622B5775"/>
    <w:rsid w:val="622D3F81"/>
    <w:rsid w:val="622E47BD"/>
    <w:rsid w:val="62315EF9"/>
    <w:rsid w:val="6233303D"/>
    <w:rsid w:val="62352AA2"/>
    <w:rsid w:val="6237125A"/>
    <w:rsid w:val="623835BA"/>
    <w:rsid w:val="623A3FEB"/>
    <w:rsid w:val="623B90D7"/>
    <w:rsid w:val="623D1D71"/>
    <w:rsid w:val="62400E35"/>
    <w:rsid w:val="624027A0"/>
    <w:rsid w:val="62403FE7"/>
    <w:rsid w:val="6240957D"/>
    <w:rsid w:val="6242E044"/>
    <w:rsid w:val="62466941"/>
    <w:rsid w:val="6246AFD2"/>
    <w:rsid w:val="624790AD"/>
    <w:rsid w:val="6247FDA5"/>
    <w:rsid w:val="624954AC"/>
    <w:rsid w:val="624AC934"/>
    <w:rsid w:val="624BDBB2"/>
    <w:rsid w:val="624D20D9"/>
    <w:rsid w:val="624F0F96"/>
    <w:rsid w:val="62508154"/>
    <w:rsid w:val="6250FDB8"/>
    <w:rsid w:val="625231FD"/>
    <w:rsid w:val="6253E65E"/>
    <w:rsid w:val="62563472"/>
    <w:rsid w:val="62580CB9"/>
    <w:rsid w:val="62583ABB"/>
    <w:rsid w:val="62592ACD"/>
    <w:rsid w:val="625B101E"/>
    <w:rsid w:val="625FE687"/>
    <w:rsid w:val="6261B791"/>
    <w:rsid w:val="6261EF8C"/>
    <w:rsid w:val="62639AEA"/>
    <w:rsid w:val="62663BEA"/>
    <w:rsid w:val="626716D3"/>
    <w:rsid w:val="6269809A"/>
    <w:rsid w:val="626A7AE1"/>
    <w:rsid w:val="626CEA27"/>
    <w:rsid w:val="626D00F5"/>
    <w:rsid w:val="626D3430"/>
    <w:rsid w:val="626E9470"/>
    <w:rsid w:val="626F540E"/>
    <w:rsid w:val="6272778E"/>
    <w:rsid w:val="6272DA33"/>
    <w:rsid w:val="6274E4A7"/>
    <w:rsid w:val="62754FFE"/>
    <w:rsid w:val="62767165"/>
    <w:rsid w:val="62778EA2"/>
    <w:rsid w:val="6277A0F0"/>
    <w:rsid w:val="62786390"/>
    <w:rsid w:val="6279AA49"/>
    <w:rsid w:val="627A2989"/>
    <w:rsid w:val="627D6D2C"/>
    <w:rsid w:val="627F25F3"/>
    <w:rsid w:val="6281E11A"/>
    <w:rsid w:val="628394F2"/>
    <w:rsid w:val="62845960"/>
    <w:rsid w:val="628758FC"/>
    <w:rsid w:val="6287D568"/>
    <w:rsid w:val="628C0CD3"/>
    <w:rsid w:val="628EDE2A"/>
    <w:rsid w:val="628F815F"/>
    <w:rsid w:val="629058FE"/>
    <w:rsid w:val="6291EA39"/>
    <w:rsid w:val="6295A76C"/>
    <w:rsid w:val="6297C00E"/>
    <w:rsid w:val="6297CD5C"/>
    <w:rsid w:val="6299D73A"/>
    <w:rsid w:val="629DF544"/>
    <w:rsid w:val="62A287E6"/>
    <w:rsid w:val="62AC8177"/>
    <w:rsid w:val="62AC834B"/>
    <w:rsid w:val="62AED195"/>
    <w:rsid w:val="62B0F076"/>
    <w:rsid w:val="62B320C6"/>
    <w:rsid w:val="62B81940"/>
    <w:rsid w:val="62B8931C"/>
    <w:rsid w:val="62BAB636"/>
    <w:rsid w:val="62BC7A1A"/>
    <w:rsid w:val="62BEB203"/>
    <w:rsid w:val="62C03D63"/>
    <w:rsid w:val="62C3DFD0"/>
    <w:rsid w:val="62C49B79"/>
    <w:rsid w:val="62CB7CAF"/>
    <w:rsid w:val="62CCD201"/>
    <w:rsid w:val="62CD3EF4"/>
    <w:rsid w:val="62CEBDBA"/>
    <w:rsid w:val="62CF7BE6"/>
    <w:rsid w:val="62CF9E3A"/>
    <w:rsid w:val="62D099CA"/>
    <w:rsid w:val="62D35EDD"/>
    <w:rsid w:val="62D5FF02"/>
    <w:rsid w:val="62D80220"/>
    <w:rsid w:val="62D83C0F"/>
    <w:rsid w:val="62DB2E51"/>
    <w:rsid w:val="62DC03B8"/>
    <w:rsid w:val="62DC3902"/>
    <w:rsid w:val="62E1BE2D"/>
    <w:rsid w:val="62E21500"/>
    <w:rsid w:val="62E34817"/>
    <w:rsid w:val="62E44BA4"/>
    <w:rsid w:val="62E6724B"/>
    <w:rsid w:val="62EE866A"/>
    <w:rsid w:val="62F0E0F1"/>
    <w:rsid w:val="62F17866"/>
    <w:rsid w:val="62F225FF"/>
    <w:rsid w:val="62F2A257"/>
    <w:rsid w:val="62F3EFDA"/>
    <w:rsid w:val="62F76F84"/>
    <w:rsid w:val="62F7D761"/>
    <w:rsid w:val="62F9FED9"/>
    <w:rsid w:val="62FC26D6"/>
    <w:rsid w:val="62FC59A7"/>
    <w:rsid w:val="62FC6C2B"/>
    <w:rsid w:val="62FE78BC"/>
    <w:rsid w:val="6300D03C"/>
    <w:rsid w:val="630173A7"/>
    <w:rsid w:val="6303F558"/>
    <w:rsid w:val="63046227"/>
    <w:rsid w:val="63099B44"/>
    <w:rsid w:val="630F5EC3"/>
    <w:rsid w:val="6310BF9C"/>
    <w:rsid w:val="6313F930"/>
    <w:rsid w:val="6314DB0D"/>
    <w:rsid w:val="63150E78"/>
    <w:rsid w:val="63167008"/>
    <w:rsid w:val="63176A4F"/>
    <w:rsid w:val="631979AF"/>
    <w:rsid w:val="63198178"/>
    <w:rsid w:val="6319C7FE"/>
    <w:rsid w:val="6319D8A0"/>
    <w:rsid w:val="631A2CF6"/>
    <w:rsid w:val="631DF88F"/>
    <w:rsid w:val="631F6786"/>
    <w:rsid w:val="63205DDC"/>
    <w:rsid w:val="63222738"/>
    <w:rsid w:val="6327FF29"/>
    <w:rsid w:val="632A0B6F"/>
    <w:rsid w:val="632EED07"/>
    <w:rsid w:val="63322EE3"/>
    <w:rsid w:val="6335CD6C"/>
    <w:rsid w:val="63372380"/>
    <w:rsid w:val="633757D5"/>
    <w:rsid w:val="6337B189"/>
    <w:rsid w:val="63386EA1"/>
    <w:rsid w:val="633DD3D2"/>
    <w:rsid w:val="634088B5"/>
    <w:rsid w:val="6341F033"/>
    <w:rsid w:val="6341F9E3"/>
    <w:rsid w:val="6344CD0B"/>
    <w:rsid w:val="6345EF34"/>
    <w:rsid w:val="63463F8A"/>
    <w:rsid w:val="6347333C"/>
    <w:rsid w:val="6348E5A5"/>
    <w:rsid w:val="634B8952"/>
    <w:rsid w:val="634C1C1B"/>
    <w:rsid w:val="635280A2"/>
    <w:rsid w:val="6352D3CD"/>
    <w:rsid w:val="635A1513"/>
    <w:rsid w:val="635E774A"/>
    <w:rsid w:val="635EF331"/>
    <w:rsid w:val="635F0B7C"/>
    <w:rsid w:val="635F67EB"/>
    <w:rsid w:val="636095C8"/>
    <w:rsid w:val="63631F9E"/>
    <w:rsid w:val="6368FA62"/>
    <w:rsid w:val="6369BC7E"/>
    <w:rsid w:val="636D5EDC"/>
    <w:rsid w:val="636EC8C9"/>
    <w:rsid w:val="6370481D"/>
    <w:rsid w:val="6373377B"/>
    <w:rsid w:val="63758419"/>
    <w:rsid w:val="6377EF5A"/>
    <w:rsid w:val="637983BF"/>
    <w:rsid w:val="637AF43D"/>
    <w:rsid w:val="637C6BCF"/>
    <w:rsid w:val="637E1DEC"/>
    <w:rsid w:val="63808884"/>
    <w:rsid w:val="6381350E"/>
    <w:rsid w:val="6382E4C6"/>
    <w:rsid w:val="6383BF72"/>
    <w:rsid w:val="638453CE"/>
    <w:rsid w:val="6384F6F3"/>
    <w:rsid w:val="63889489"/>
    <w:rsid w:val="6389B16E"/>
    <w:rsid w:val="638B272A"/>
    <w:rsid w:val="638E0065"/>
    <w:rsid w:val="638F7C3F"/>
    <w:rsid w:val="639343BB"/>
    <w:rsid w:val="63942E80"/>
    <w:rsid w:val="6394418D"/>
    <w:rsid w:val="6394AD29"/>
    <w:rsid w:val="63978CFA"/>
    <w:rsid w:val="6397FF4C"/>
    <w:rsid w:val="6399D3DD"/>
    <w:rsid w:val="639FE10D"/>
    <w:rsid w:val="63A0D92E"/>
    <w:rsid w:val="63A166D0"/>
    <w:rsid w:val="63A22002"/>
    <w:rsid w:val="63A5DB7B"/>
    <w:rsid w:val="63A62226"/>
    <w:rsid w:val="63A9C260"/>
    <w:rsid w:val="63B00BD7"/>
    <w:rsid w:val="63B1A37F"/>
    <w:rsid w:val="63B4912F"/>
    <w:rsid w:val="63B5FEFB"/>
    <w:rsid w:val="63C11F24"/>
    <w:rsid w:val="63C1570E"/>
    <w:rsid w:val="63C2DED1"/>
    <w:rsid w:val="63C3EA3E"/>
    <w:rsid w:val="63C5B2A3"/>
    <w:rsid w:val="63C6A943"/>
    <w:rsid w:val="63C78A10"/>
    <w:rsid w:val="63C9F6D1"/>
    <w:rsid w:val="63CA5A85"/>
    <w:rsid w:val="63CB49D5"/>
    <w:rsid w:val="63CE8FCA"/>
    <w:rsid w:val="63CFF3DE"/>
    <w:rsid w:val="63D0A316"/>
    <w:rsid w:val="63D0FA38"/>
    <w:rsid w:val="63D10EC5"/>
    <w:rsid w:val="63D15853"/>
    <w:rsid w:val="63D5BAD9"/>
    <w:rsid w:val="63D5D602"/>
    <w:rsid w:val="63D76FF0"/>
    <w:rsid w:val="63D90C3C"/>
    <w:rsid w:val="63DAD827"/>
    <w:rsid w:val="63DB42F5"/>
    <w:rsid w:val="63DDC7BF"/>
    <w:rsid w:val="63DDF91B"/>
    <w:rsid w:val="63DF3D7E"/>
    <w:rsid w:val="63E0D330"/>
    <w:rsid w:val="63E99452"/>
    <w:rsid w:val="63EC0365"/>
    <w:rsid w:val="63EF56C0"/>
    <w:rsid w:val="63F1A75C"/>
    <w:rsid w:val="63F1AD88"/>
    <w:rsid w:val="63F214B9"/>
    <w:rsid w:val="63F5FEC0"/>
    <w:rsid w:val="63F76B6B"/>
    <w:rsid w:val="63F89E7D"/>
    <w:rsid w:val="63F9D5F2"/>
    <w:rsid w:val="63F9FBC4"/>
    <w:rsid w:val="63FA2DFB"/>
    <w:rsid w:val="63FDC5E1"/>
    <w:rsid w:val="63FDEA01"/>
    <w:rsid w:val="640101DB"/>
    <w:rsid w:val="6405926C"/>
    <w:rsid w:val="6407C018"/>
    <w:rsid w:val="64102BEE"/>
    <w:rsid w:val="64104E32"/>
    <w:rsid w:val="64140BBA"/>
    <w:rsid w:val="64142FA8"/>
    <w:rsid w:val="64149DE6"/>
    <w:rsid w:val="64166A2D"/>
    <w:rsid w:val="64183594"/>
    <w:rsid w:val="6418653E"/>
    <w:rsid w:val="641A9185"/>
    <w:rsid w:val="641A974B"/>
    <w:rsid w:val="641C1975"/>
    <w:rsid w:val="641C74CF"/>
    <w:rsid w:val="641D6048"/>
    <w:rsid w:val="641DAB60"/>
    <w:rsid w:val="641FB3CA"/>
    <w:rsid w:val="64203AF1"/>
    <w:rsid w:val="6422FB8E"/>
    <w:rsid w:val="64252BE3"/>
    <w:rsid w:val="64253D82"/>
    <w:rsid w:val="64281A86"/>
    <w:rsid w:val="64285FB0"/>
    <w:rsid w:val="64293CB3"/>
    <w:rsid w:val="64298CE2"/>
    <w:rsid w:val="642B9D05"/>
    <w:rsid w:val="642C5ECA"/>
    <w:rsid w:val="642E7FF5"/>
    <w:rsid w:val="642F00C4"/>
    <w:rsid w:val="64321031"/>
    <w:rsid w:val="6433DDC8"/>
    <w:rsid w:val="64351D82"/>
    <w:rsid w:val="6436791B"/>
    <w:rsid w:val="64382600"/>
    <w:rsid w:val="643D521E"/>
    <w:rsid w:val="644038C7"/>
    <w:rsid w:val="6441A294"/>
    <w:rsid w:val="64484D69"/>
    <w:rsid w:val="644886F1"/>
    <w:rsid w:val="644AC3F5"/>
    <w:rsid w:val="644FB497"/>
    <w:rsid w:val="6454F489"/>
    <w:rsid w:val="64577A67"/>
    <w:rsid w:val="64583FC7"/>
    <w:rsid w:val="645B485B"/>
    <w:rsid w:val="645B5687"/>
    <w:rsid w:val="645BC2B5"/>
    <w:rsid w:val="6466CE4D"/>
    <w:rsid w:val="6466FF7E"/>
    <w:rsid w:val="6467F0C4"/>
    <w:rsid w:val="646A2142"/>
    <w:rsid w:val="646A36A8"/>
    <w:rsid w:val="646E10B7"/>
    <w:rsid w:val="646E79C0"/>
    <w:rsid w:val="646FC82A"/>
    <w:rsid w:val="647561C8"/>
    <w:rsid w:val="6475F053"/>
    <w:rsid w:val="647738D3"/>
    <w:rsid w:val="64798BA4"/>
    <w:rsid w:val="6479923B"/>
    <w:rsid w:val="647A8F8A"/>
    <w:rsid w:val="647C0DC6"/>
    <w:rsid w:val="64869F6B"/>
    <w:rsid w:val="64891AC9"/>
    <w:rsid w:val="6489A632"/>
    <w:rsid w:val="648A211F"/>
    <w:rsid w:val="648D4733"/>
    <w:rsid w:val="648D4BB6"/>
    <w:rsid w:val="648F245F"/>
    <w:rsid w:val="6490F35E"/>
    <w:rsid w:val="64922ED0"/>
    <w:rsid w:val="6494E8E4"/>
    <w:rsid w:val="64963E46"/>
    <w:rsid w:val="64987566"/>
    <w:rsid w:val="6498B6AC"/>
    <w:rsid w:val="649B535C"/>
    <w:rsid w:val="649EBEC2"/>
    <w:rsid w:val="64A017D7"/>
    <w:rsid w:val="64A7DE9F"/>
    <w:rsid w:val="64AC18B2"/>
    <w:rsid w:val="64AE7163"/>
    <w:rsid w:val="64AECA75"/>
    <w:rsid w:val="64AFCEB4"/>
    <w:rsid w:val="64B0E7D6"/>
    <w:rsid w:val="64B4E466"/>
    <w:rsid w:val="64B5C44A"/>
    <w:rsid w:val="64B65AD7"/>
    <w:rsid w:val="64BC80EA"/>
    <w:rsid w:val="64C1901C"/>
    <w:rsid w:val="64C27A2D"/>
    <w:rsid w:val="64C401B7"/>
    <w:rsid w:val="64C75536"/>
    <w:rsid w:val="64C8D075"/>
    <w:rsid w:val="64C9B22E"/>
    <w:rsid w:val="64CA232A"/>
    <w:rsid w:val="64CB62A4"/>
    <w:rsid w:val="64CBCD8B"/>
    <w:rsid w:val="64CBE3C8"/>
    <w:rsid w:val="64D1F061"/>
    <w:rsid w:val="64D2D793"/>
    <w:rsid w:val="64D35FDE"/>
    <w:rsid w:val="64D3D8D0"/>
    <w:rsid w:val="64D4A4D1"/>
    <w:rsid w:val="64DD4F04"/>
    <w:rsid w:val="64DEC2BA"/>
    <w:rsid w:val="64DF5D35"/>
    <w:rsid w:val="64E4B8FD"/>
    <w:rsid w:val="64EA5C73"/>
    <w:rsid w:val="64EC3E92"/>
    <w:rsid w:val="64ED4E31"/>
    <w:rsid w:val="64EF1F5B"/>
    <w:rsid w:val="64F09FDA"/>
    <w:rsid w:val="64F2ED87"/>
    <w:rsid w:val="64F53695"/>
    <w:rsid w:val="64F7E299"/>
    <w:rsid w:val="64F7FA1B"/>
    <w:rsid w:val="64FACB20"/>
    <w:rsid w:val="64FAEBCA"/>
    <w:rsid w:val="64FBBA26"/>
    <w:rsid w:val="64FDC6AE"/>
    <w:rsid w:val="64FE3B7A"/>
    <w:rsid w:val="64FF1BDF"/>
    <w:rsid w:val="650085A4"/>
    <w:rsid w:val="6505611F"/>
    <w:rsid w:val="6508A1C9"/>
    <w:rsid w:val="6509C59C"/>
    <w:rsid w:val="650A8838"/>
    <w:rsid w:val="650F2912"/>
    <w:rsid w:val="65103DE7"/>
    <w:rsid w:val="6511468B"/>
    <w:rsid w:val="6517A29E"/>
    <w:rsid w:val="65189DFE"/>
    <w:rsid w:val="65191630"/>
    <w:rsid w:val="651CB830"/>
    <w:rsid w:val="651E4B35"/>
    <w:rsid w:val="651F269D"/>
    <w:rsid w:val="6521DA93"/>
    <w:rsid w:val="65253843"/>
    <w:rsid w:val="652832D1"/>
    <w:rsid w:val="652A9DC1"/>
    <w:rsid w:val="652D4875"/>
    <w:rsid w:val="652E828B"/>
    <w:rsid w:val="6530212D"/>
    <w:rsid w:val="65307DD4"/>
    <w:rsid w:val="65309E37"/>
    <w:rsid w:val="65355ADB"/>
    <w:rsid w:val="65368F21"/>
    <w:rsid w:val="6536AEDD"/>
    <w:rsid w:val="653B2C07"/>
    <w:rsid w:val="653EB80A"/>
    <w:rsid w:val="653EF60F"/>
    <w:rsid w:val="654048C5"/>
    <w:rsid w:val="654146ED"/>
    <w:rsid w:val="65454052"/>
    <w:rsid w:val="65462E15"/>
    <w:rsid w:val="654634D1"/>
    <w:rsid w:val="654848DF"/>
    <w:rsid w:val="654C8DC2"/>
    <w:rsid w:val="654D846E"/>
    <w:rsid w:val="654E9E03"/>
    <w:rsid w:val="654F3846"/>
    <w:rsid w:val="654FB63D"/>
    <w:rsid w:val="654FCDF4"/>
    <w:rsid w:val="6554BED3"/>
    <w:rsid w:val="65564640"/>
    <w:rsid w:val="65585DF9"/>
    <w:rsid w:val="6559AC7E"/>
    <w:rsid w:val="655A2292"/>
    <w:rsid w:val="655A5814"/>
    <w:rsid w:val="655BB9D7"/>
    <w:rsid w:val="655DC844"/>
    <w:rsid w:val="6560C5A7"/>
    <w:rsid w:val="6561207F"/>
    <w:rsid w:val="6561A46B"/>
    <w:rsid w:val="656468B0"/>
    <w:rsid w:val="6566368D"/>
    <w:rsid w:val="6566A883"/>
    <w:rsid w:val="65695A39"/>
    <w:rsid w:val="656FC041"/>
    <w:rsid w:val="656FCBDE"/>
    <w:rsid w:val="65746429"/>
    <w:rsid w:val="657715A1"/>
    <w:rsid w:val="657A080D"/>
    <w:rsid w:val="657F21A9"/>
    <w:rsid w:val="65833A11"/>
    <w:rsid w:val="6584E594"/>
    <w:rsid w:val="658515EB"/>
    <w:rsid w:val="6586DA41"/>
    <w:rsid w:val="65875631"/>
    <w:rsid w:val="658902E0"/>
    <w:rsid w:val="658932C7"/>
    <w:rsid w:val="658FA5B9"/>
    <w:rsid w:val="65906231"/>
    <w:rsid w:val="65929CB6"/>
    <w:rsid w:val="659329FD"/>
    <w:rsid w:val="65978A11"/>
    <w:rsid w:val="65981DF1"/>
    <w:rsid w:val="659BA1A4"/>
    <w:rsid w:val="659E24D7"/>
    <w:rsid w:val="659F37A7"/>
    <w:rsid w:val="65A11673"/>
    <w:rsid w:val="65A1733B"/>
    <w:rsid w:val="65A71681"/>
    <w:rsid w:val="65A9AB41"/>
    <w:rsid w:val="65AAAB63"/>
    <w:rsid w:val="65ADD6AF"/>
    <w:rsid w:val="65AF1F1D"/>
    <w:rsid w:val="65B17FF3"/>
    <w:rsid w:val="65B487E6"/>
    <w:rsid w:val="65B598D1"/>
    <w:rsid w:val="65B5C355"/>
    <w:rsid w:val="65B80AE4"/>
    <w:rsid w:val="65B930A9"/>
    <w:rsid w:val="65BB44F7"/>
    <w:rsid w:val="65BC2A0E"/>
    <w:rsid w:val="65BD6842"/>
    <w:rsid w:val="65BFBADC"/>
    <w:rsid w:val="65C27A84"/>
    <w:rsid w:val="65C2DC55"/>
    <w:rsid w:val="65C7A45E"/>
    <w:rsid w:val="65C9C5CD"/>
    <w:rsid w:val="65CAE157"/>
    <w:rsid w:val="65CD0150"/>
    <w:rsid w:val="65CF1F38"/>
    <w:rsid w:val="65D0D2CF"/>
    <w:rsid w:val="65D20DD6"/>
    <w:rsid w:val="65D3BE8D"/>
    <w:rsid w:val="65D4845B"/>
    <w:rsid w:val="65D5F8C2"/>
    <w:rsid w:val="65DBB17E"/>
    <w:rsid w:val="65DFA884"/>
    <w:rsid w:val="65E07845"/>
    <w:rsid w:val="65E24A94"/>
    <w:rsid w:val="65E3F292"/>
    <w:rsid w:val="65E47AF6"/>
    <w:rsid w:val="65E5CF99"/>
    <w:rsid w:val="65E6C0D7"/>
    <w:rsid w:val="65EAE1AC"/>
    <w:rsid w:val="65EB5D8C"/>
    <w:rsid w:val="65EB856D"/>
    <w:rsid w:val="65EF49F1"/>
    <w:rsid w:val="65EFC96A"/>
    <w:rsid w:val="65F19A34"/>
    <w:rsid w:val="65F2F0BE"/>
    <w:rsid w:val="65F55B9C"/>
    <w:rsid w:val="65F737F0"/>
    <w:rsid w:val="65FB5F34"/>
    <w:rsid w:val="65FBDCD5"/>
    <w:rsid w:val="65FD702B"/>
    <w:rsid w:val="65FEA750"/>
    <w:rsid w:val="66021E9A"/>
    <w:rsid w:val="66038AD7"/>
    <w:rsid w:val="6603ABF6"/>
    <w:rsid w:val="6606A282"/>
    <w:rsid w:val="660AFE8B"/>
    <w:rsid w:val="660C614D"/>
    <w:rsid w:val="660C67AC"/>
    <w:rsid w:val="660E93EF"/>
    <w:rsid w:val="661826E8"/>
    <w:rsid w:val="661CBAFB"/>
    <w:rsid w:val="661CF3CC"/>
    <w:rsid w:val="661DA7EE"/>
    <w:rsid w:val="661E3D04"/>
    <w:rsid w:val="662179E4"/>
    <w:rsid w:val="6622BBDC"/>
    <w:rsid w:val="6624DD3C"/>
    <w:rsid w:val="6625B0F6"/>
    <w:rsid w:val="6625BF07"/>
    <w:rsid w:val="6625E51E"/>
    <w:rsid w:val="66267950"/>
    <w:rsid w:val="6626A466"/>
    <w:rsid w:val="662A004A"/>
    <w:rsid w:val="662A12DA"/>
    <w:rsid w:val="662A1A2D"/>
    <w:rsid w:val="662A86F8"/>
    <w:rsid w:val="662BF770"/>
    <w:rsid w:val="66302EA6"/>
    <w:rsid w:val="6635272B"/>
    <w:rsid w:val="6636364B"/>
    <w:rsid w:val="663852E3"/>
    <w:rsid w:val="663A3A5B"/>
    <w:rsid w:val="663CCA2D"/>
    <w:rsid w:val="663D78AB"/>
    <w:rsid w:val="663F0636"/>
    <w:rsid w:val="66401DA1"/>
    <w:rsid w:val="6640D95B"/>
    <w:rsid w:val="6646F594"/>
    <w:rsid w:val="6647E43A"/>
    <w:rsid w:val="664A2D0C"/>
    <w:rsid w:val="664DBE1B"/>
    <w:rsid w:val="66501551"/>
    <w:rsid w:val="66509353"/>
    <w:rsid w:val="66518575"/>
    <w:rsid w:val="665232B2"/>
    <w:rsid w:val="6653E672"/>
    <w:rsid w:val="66549FE1"/>
    <w:rsid w:val="665662F7"/>
    <w:rsid w:val="6657AAFA"/>
    <w:rsid w:val="66582558"/>
    <w:rsid w:val="6658491D"/>
    <w:rsid w:val="66598CA5"/>
    <w:rsid w:val="665AD6D4"/>
    <w:rsid w:val="6661124F"/>
    <w:rsid w:val="6661A5B2"/>
    <w:rsid w:val="666582A5"/>
    <w:rsid w:val="6668D1F0"/>
    <w:rsid w:val="666A0107"/>
    <w:rsid w:val="666A8915"/>
    <w:rsid w:val="666BC383"/>
    <w:rsid w:val="666C33E7"/>
    <w:rsid w:val="6673D20B"/>
    <w:rsid w:val="66750D27"/>
    <w:rsid w:val="66766024"/>
    <w:rsid w:val="667F8AF0"/>
    <w:rsid w:val="668083DA"/>
    <w:rsid w:val="668884DE"/>
    <w:rsid w:val="668AC9F9"/>
    <w:rsid w:val="668C5401"/>
    <w:rsid w:val="668CCFD2"/>
    <w:rsid w:val="6693B503"/>
    <w:rsid w:val="6696A144"/>
    <w:rsid w:val="6699DFEC"/>
    <w:rsid w:val="669A4608"/>
    <w:rsid w:val="669C6C33"/>
    <w:rsid w:val="669D9B23"/>
    <w:rsid w:val="669EDEEA"/>
    <w:rsid w:val="66A02124"/>
    <w:rsid w:val="66A12978"/>
    <w:rsid w:val="66A9E1AB"/>
    <w:rsid w:val="66AA116A"/>
    <w:rsid w:val="66ACA627"/>
    <w:rsid w:val="66ACE3BF"/>
    <w:rsid w:val="66ADDC3C"/>
    <w:rsid w:val="66AE7126"/>
    <w:rsid w:val="66B12F48"/>
    <w:rsid w:val="66B251A7"/>
    <w:rsid w:val="66B3796F"/>
    <w:rsid w:val="66B40893"/>
    <w:rsid w:val="66BC191F"/>
    <w:rsid w:val="66BD44DE"/>
    <w:rsid w:val="66BDF155"/>
    <w:rsid w:val="66C04704"/>
    <w:rsid w:val="66C12CB8"/>
    <w:rsid w:val="66C137CC"/>
    <w:rsid w:val="66C65A97"/>
    <w:rsid w:val="66C72504"/>
    <w:rsid w:val="66C81AB9"/>
    <w:rsid w:val="66CADDD7"/>
    <w:rsid w:val="66CDDD05"/>
    <w:rsid w:val="66D06333"/>
    <w:rsid w:val="66D152A5"/>
    <w:rsid w:val="66D2279B"/>
    <w:rsid w:val="66D62D36"/>
    <w:rsid w:val="66D87C64"/>
    <w:rsid w:val="66DFAEFA"/>
    <w:rsid w:val="66E959FF"/>
    <w:rsid w:val="66E9D53E"/>
    <w:rsid w:val="66EA8A5B"/>
    <w:rsid w:val="66EB623C"/>
    <w:rsid w:val="66ED52A2"/>
    <w:rsid w:val="66EFFCD8"/>
    <w:rsid w:val="66F12AB8"/>
    <w:rsid w:val="66F2EFBD"/>
    <w:rsid w:val="66F3AF45"/>
    <w:rsid w:val="66F42237"/>
    <w:rsid w:val="66F677AB"/>
    <w:rsid w:val="66FC90B2"/>
    <w:rsid w:val="6700B99A"/>
    <w:rsid w:val="670226B8"/>
    <w:rsid w:val="6704373C"/>
    <w:rsid w:val="67072739"/>
    <w:rsid w:val="67081E19"/>
    <w:rsid w:val="670E76CF"/>
    <w:rsid w:val="670F6259"/>
    <w:rsid w:val="6711AF8E"/>
    <w:rsid w:val="6711BE2A"/>
    <w:rsid w:val="671258A2"/>
    <w:rsid w:val="671316F5"/>
    <w:rsid w:val="6714EC7A"/>
    <w:rsid w:val="6717C944"/>
    <w:rsid w:val="6718BF74"/>
    <w:rsid w:val="671B7EBE"/>
    <w:rsid w:val="671C3FCE"/>
    <w:rsid w:val="671D79FD"/>
    <w:rsid w:val="6720AA21"/>
    <w:rsid w:val="6724EAB1"/>
    <w:rsid w:val="672A8400"/>
    <w:rsid w:val="672BA212"/>
    <w:rsid w:val="672DAA77"/>
    <w:rsid w:val="672E8A37"/>
    <w:rsid w:val="672F6821"/>
    <w:rsid w:val="67302589"/>
    <w:rsid w:val="6731B2B7"/>
    <w:rsid w:val="6734E72E"/>
    <w:rsid w:val="6736AEF4"/>
    <w:rsid w:val="673C7BA6"/>
    <w:rsid w:val="673CBC50"/>
    <w:rsid w:val="67407CFD"/>
    <w:rsid w:val="674149E0"/>
    <w:rsid w:val="6743A433"/>
    <w:rsid w:val="6745F9B0"/>
    <w:rsid w:val="67483C58"/>
    <w:rsid w:val="674846D2"/>
    <w:rsid w:val="6748DA49"/>
    <w:rsid w:val="6750D463"/>
    <w:rsid w:val="6751B935"/>
    <w:rsid w:val="675213A9"/>
    <w:rsid w:val="675446E1"/>
    <w:rsid w:val="6755B164"/>
    <w:rsid w:val="675727A2"/>
    <w:rsid w:val="675BFA7E"/>
    <w:rsid w:val="675C2D8E"/>
    <w:rsid w:val="675D3383"/>
    <w:rsid w:val="675E750B"/>
    <w:rsid w:val="675F2EF5"/>
    <w:rsid w:val="675FC6E9"/>
    <w:rsid w:val="6761FE24"/>
    <w:rsid w:val="67623384"/>
    <w:rsid w:val="6763360E"/>
    <w:rsid w:val="6763398E"/>
    <w:rsid w:val="6769108E"/>
    <w:rsid w:val="676A1EFB"/>
    <w:rsid w:val="676A7D05"/>
    <w:rsid w:val="676B8950"/>
    <w:rsid w:val="676E1322"/>
    <w:rsid w:val="676ECD44"/>
    <w:rsid w:val="676F6A7B"/>
    <w:rsid w:val="67739B6D"/>
    <w:rsid w:val="677625B5"/>
    <w:rsid w:val="6778BD52"/>
    <w:rsid w:val="677A4A41"/>
    <w:rsid w:val="6781CE35"/>
    <w:rsid w:val="6784F985"/>
    <w:rsid w:val="67873C10"/>
    <w:rsid w:val="678A0293"/>
    <w:rsid w:val="678C9A46"/>
    <w:rsid w:val="67903CD5"/>
    <w:rsid w:val="6791A427"/>
    <w:rsid w:val="6792C159"/>
    <w:rsid w:val="67934400"/>
    <w:rsid w:val="6793D4CE"/>
    <w:rsid w:val="6795261E"/>
    <w:rsid w:val="6796DF9D"/>
    <w:rsid w:val="679AAC39"/>
    <w:rsid w:val="679C7531"/>
    <w:rsid w:val="679DAF2E"/>
    <w:rsid w:val="679E6ABD"/>
    <w:rsid w:val="679FA021"/>
    <w:rsid w:val="679FB298"/>
    <w:rsid w:val="67A0787D"/>
    <w:rsid w:val="67A24A29"/>
    <w:rsid w:val="67A2E0EE"/>
    <w:rsid w:val="67ADBA2D"/>
    <w:rsid w:val="67AF18F6"/>
    <w:rsid w:val="67B47E70"/>
    <w:rsid w:val="67B500B9"/>
    <w:rsid w:val="67B85684"/>
    <w:rsid w:val="67BAD19E"/>
    <w:rsid w:val="67BB667B"/>
    <w:rsid w:val="67BEDED8"/>
    <w:rsid w:val="67BF031C"/>
    <w:rsid w:val="67C0F08D"/>
    <w:rsid w:val="67C2D79D"/>
    <w:rsid w:val="67C2E5BB"/>
    <w:rsid w:val="67C4E8E2"/>
    <w:rsid w:val="67C52E16"/>
    <w:rsid w:val="67C73346"/>
    <w:rsid w:val="67C8EB7B"/>
    <w:rsid w:val="67CA027D"/>
    <w:rsid w:val="67CC81F2"/>
    <w:rsid w:val="67CF8405"/>
    <w:rsid w:val="67D3C280"/>
    <w:rsid w:val="67D4EED7"/>
    <w:rsid w:val="67D6D10B"/>
    <w:rsid w:val="67D717EC"/>
    <w:rsid w:val="67D982C7"/>
    <w:rsid w:val="67DA6F05"/>
    <w:rsid w:val="67DCF5D5"/>
    <w:rsid w:val="67E16E9A"/>
    <w:rsid w:val="67E232BC"/>
    <w:rsid w:val="67E5DE21"/>
    <w:rsid w:val="67E7E535"/>
    <w:rsid w:val="67EB1F13"/>
    <w:rsid w:val="67EC4150"/>
    <w:rsid w:val="67EDF6D8"/>
    <w:rsid w:val="67EF9A8B"/>
    <w:rsid w:val="67F1681D"/>
    <w:rsid w:val="67F22159"/>
    <w:rsid w:val="67F31CF7"/>
    <w:rsid w:val="67F71874"/>
    <w:rsid w:val="67F72610"/>
    <w:rsid w:val="67F7CBEA"/>
    <w:rsid w:val="67F89BE6"/>
    <w:rsid w:val="67F91A98"/>
    <w:rsid w:val="67F99448"/>
    <w:rsid w:val="67F9A659"/>
    <w:rsid w:val="67F9C0D4"/>
    <w:rsid w:val="67FA1E99"/>
    <w:rsid w:val="67FD5D19"/>
    <w:rsid w:val="67FF2604"/>
    <w:rsid w:val="68032357"/>
    <w:rsid w:val="68038F44"/>
    <w:rsid w:val="68081CD7"/>
    <w:rsid w:val="680A975A"/>
    <w:rsid w:val="680B68E0"/>
    <w:rsid w:val="680BB3C9"/>
    <w:rsid w:val="680C52B7"/>
    <w:rsid w:val="6811C9D7"/>
    <w:rsid w:val="68136B2B"/>
    <w:rsid w:val="68142013"/>
    <w:rsid w:val="6814984E"/>
    <w:rsid w:val="6815CDE2"/>
    <w:rsid w:val="6815CE79"/>
    <w:rsid w:val="6819D486"/>
    <w:rsid w:val="681A5AD3"/>
    <w:rsid w:val="681C18A4"/>
    <w:rsid w:val="681D304E"/>
    <w:rsid w:val="6820C12B"/>
    <w:rsid w:val="6820C1D0"/>
    <w:rsid w:val="6823EFE6"/>
    <w:rsid w:val="68271418"/>
    <w:rsid w:val="68285B4D"/>
    <w:rsid w:val="6828A21F"/>
    <w:rsid w:val="6828E31F"/>
    <w:rsid w:val="6829792D"/>
    <w:rsid w:val="682AB9FC"/>
    <w:rsid w:val="682EBB42"/>
    <w:rsid w:val="682EE7FC"/>
    <w:rsid w:val="682FD3E0"/>
    <w:rsid w:val="68313694"/>
    <w:rsid w:val="68342BE2"/>
    <w:rsid w:val="683587DD"/>
    <w:rsid w:val="6835DA34"/>
    <w:rsid w:val="68370E94"/>
    <w:rsid w:val="68387573"/>
    <w:rsid w:val="6838CCF4"/>
    <w:rsid w:val="683BD897"/>
    <w:rsid w:val="683C31FF"/>
    <w:rsid w:val="683F0D1A"/>
    <w:rsid w:val="6841E4A9"/>
    <w:rsid w:val="6842ADA5"/>
    <w:rsid w:val="684321D9"/>
    <w:rsid w:val="68475631"/>
    <w:rsid w:val="684951BD"/>
    <w:rsid w:val="684A6C54"/>
    <w:rsid w:val="684B05C0"/>
    <w:rsid w:val="684C68A4"/>
    <w:rsid w:val="684DFFF6"/>
    <w:rsid w:val="684F1DCC"/>
    <w:rsid w:val="6851F596"/>
    <w:rsid w:val="68524733"/>
    <w:rsid w:val="685353E6"/>
    <w:rsid w:val="6857311E"/>
    <w:rsid w:val="685BB6C1"/>
    <w:rsid w:val="685C289C"/>
    <w:rsid w:val="685C55E0"/>
    <w:rsid w:val="685D78FA"/>
    <w:rsid w:val="685FCE37"/>
    <w:rsid w:val="68607F6A"/>
    <w:rsid w:val="686083C5"/>
    <w:rsid w:val="6861BC44"/>
    <w:rsid w:val="6864AAAB"/>
    <w:rsid w:val="6864E659"/>
    <w:rsid w:val="6865F110"/>
    <w:rsid w:val="686694A1"/>
    <w:rsid w:val="68671C26"/>
    <w:rsid w:val="686BC9E3"/>
    <w:rsid w:val="686BD314"/>
    <w:rsid w:val="686CABD4"/>
    <w:rsid w:val="686E20E8"/>
    <w:rsid w:val="68705C3E"/>
    <w:rsid w:val="68710100"/>
    <w:rsid w:val="68759128"/>
    <w:rsid w:val="68779874"/>
    <w:rsid w:val="68790572"/>
    <w:rsid w:val="687AAF15"/>
    <w:rsid w:val="6882AC60"/>
    <w:rsid w:val="6883F057"/>
    <w:rsid w:val="688561D1"/>
    <w:rsid w:val="688812BD"/>
    <w:rsid w:val="6889701E"/>
    <w:rsid w:val="688A4D5C"/>
    <w:rsid w:val="688ACBCC"/>
    <w:rsid w:val="688C5012"/>
    <w:rsid w:val="688D4A6D"/>
    <w:rsid w:val="688E9504"/>
    <w:rsid w:val="689105EB"/>
    <w:rsid w:val="6891D143"/>
    <w:rsid w:val="689411D6"/>
    <w:rsid w:val="6894D12B"/>
    <w:rsid w:val="68965D97"/>
    <w:rsid w:val="689752F2"/>
    <w:rsid w:val="689A48D1"/>
    <w:rsid w:val="689ADED1"/>
    <w:rsid w:val="689BF585"/>
    <w:rsid w:val="68A0639E"/>
    <w:rsid w:val="68A0C84F"/>
    <w:rsid w:val="68A1066D"/>
    <w:rsid w:val="68A14CCF"/>
    <w:rsid w:val="68A29723"/>
    <w:rsid w:val="68A77517"/>
    <w:rsid w:val="68A7ECCF"/>
    <w:rsid w:val="68AA6309"/>
    <w:rsid w:val="68AB3FC7"/>
    <w:rsid w:val="68ABC498"/>
    <w:rsid w:val="68AC3D1B"/>
    <w:rsid w:val="68B209A7"/>
    <w:rsid w:val="68B347CF"/>
    <w:rsid w:val="68B769A9"/>
    <w:rsid w:val="68B81C72"/>
    <w:rsid w:val="68BB411B"/>
    <w:rsid w:val="68BD031B"/>
    <w:rsid w:val="68BE4EBF"/>
    <w:rsid w:val="68BF3723"/>
    <w:rsid w:val="68BF5DAA"/>
    <w:rsid w:val="68BFF413"/>
    <w:rsid w:val="68C24752"/>
    <w:rsid w:val="68C38888"/>
    <w:rsid w:val="68C4BAD8"/>
    <w:rsid w:val="68C741C8"/>
    <w:rsid w:val="68C78C7A"/>
    <w:rsid w:val="68C7C640"/>
    <w:rsid w:val="68CA0D06"/>
    <w:rsid w:val="68CB921A"/>
    <w:rsid w:val="68CCFF37"/>
    <w:rsid w:val="68D3AE41"/>
    <w:rsid w:val="68D5C3EA"/>
    <w:rsid w:val="68D70600"/>
    <w:rsid w:val="68DDD048"/>
    <w:rsid w:val="68DF1E11"/>
    <w:rsid w:val="68DF4300"/>
    <w:rsid w:val="68E2D105"/>
    <w:rsid w:val="68E30EE2"/>
    <w:rsid w:val="68E31991"/>
    <w:rsid w:val="68E34A43"/>
    <w:rsid w:val="68E41801"/>
    <w:rsid w:val="68E4B8F0"/>
    <w:rsid w:val="68E536E0"/>
    <w:rsid w:val="68E53DFF"/>
    <w:rsid w:val="68E5AC70"/>
    <w:rsid w:val="68E66F56"/>
    <w:rsid w:val="68E724A4"/>
    <w:rsid w:val="68E73CFF"/>
    <w:rsid w:val="68E76378"/>
    <w:rsid w:val="68E91C55"/>
    <w:rsid w:val="68EA586F"/>
    <w:rsid w:val="68EACC16"/>
    <w:rsid w:val="68F1C4C6"/>
    <w:rsid w:val="68F21598"/>
    <w:rsid w:val="68F28620"/>
    <w:rsid w:val="68F4B014"/>
    <w:rsid w:val="68F59514"/>
    <w:rsid w:val="68F604AE"/>
    <w:rsid w:val="68F7F85A"/>
    <w:rsid w:val="68F8B143"/>
    <w:rsid w:val="68FE38D0"/>
    <w:rsid w:val="68FF73F3"/>
    <w:rsid w:val="6901467B"/>
    <w:rsid w:val="6905D3A5"/>
    <w:rsid w:val="690CA19E"/>
    <w:rsid w:val="690D5B38"/>
    <w:rsid w:val="690DB370"/>
    <w:rsid w:val="690DDB92"/>
    <w:rsid w:val="690F8F91"/>
    <w:rsid w:val="690F948F"/>
    <w:rsid w:val="6911203C"/>
    <w:rsid w:val="69124FE9"/>
    <w:rsid w:val="6912DC9C"/>
    <w:rsid w:val="6913FA9F"/>
    <w:rsid w:val="691620E3"/>
    <w:rsid w:val="6917FFE8"/>
    <w:rsid w:val="69185E97"/>
    <w:rsid w:val="6918B9A9"/>
    <w:rsid w:val="6918BD75"/>
    <w:rsid w:val="6919447C"/>
    <w:rsid w:val="691A165F"/>
    <w:rsid w:val="691C0073"/>
    <w:rsid w:val="691C6BE3"/>
    <w:rsid w:val="691D9E96"/>
    <w:rsid w:val="691E83D3"/>
    <w:rsid w:val="6921092F"/>
    <w:rsid w:val="6922302C"/>
    <w:rsid w:val="6922323D"/>
    <w:rsid w:val="6922334F"/>
    <w:rsid w:val="692439AC"/>
    <w:rsid w:val="6924E98C"/>
    <w:rsid w:val="69256615"/>
    <w:rsid w:val="6928FA2E"/>
    <w:rsid w:val="692EC6B9"/>
    <w:rsid w:val="69328CD9"/>
    <w:rsid w:val="6932C64F"/>
    <w:rsid w:val="6933ACC8"/>
    <w:rsid w:val="69343613"/>
    <w:rsid w:val="6936419E"/>
    <w:rsid w:val="693656E7"/>
    <w:rsid w:val="693707AA"/>
    <w:rsid w:val="69392010"/>
    <w:rsid w:val="693BBB0E"/>
    <w:rsid w:val="693CD58C"/>
    <w:rsid w:val="693DFA31"/>
    <w:rsid w:val="6947FC41"/>
    <w:rsid w:val="6948B82D"/>
    <w:rsid w:val="694BB09A"/>
    <w:rsid w:val="694CA3A5"/>
    <w:rsid w:val="694CF1A0"/>
    <w:rsid w:val="694D9C05"/>
    <w:rsid w:val="694DFE64"/>
    <w:rsid w:val="694E4439"/>
    <w:rsid w:val="694EAA32"/>
    <w:rsid w:val="69529BFF"/>
    <w:rsid w:val="69571319"/>
    <w:rsid w:val="6957FF3C"/>
    <w:rsid w:val="6959594F"/>
    <w:rsid w:val="695AADC5"/>
    <w:rsid w:val="695AC39C"/>
    <w:rsid w:val="695AD643"/>
    <w:rsid w:val="695E20A4"/>
    <w:rsid w:val="695E8A13"/>
    <w:rsid w:val="696121FE"/>
    <w:rsid w:val="696189E0"/>
    <w:rsid w:val="69629E0A"/>
    <w:rsid w:val="6963F92A"/>
    <w:rsid w:val="6964098C"/>
    <w:rsid w:val="6965F99A"/>
    <w:rsid w:val="69662692"/>
    <w:rsid w:val="69665A88"/>
    <w:rsid w:val="6966E06C"/>
    <w:rsid w:val="696B4A94"/>
    <w:rsid w:val="696BF39C"/>
    <w:rsid w:val="696F96B1"/>
    <w:rsid w:val="69726400"/>
    <w:rsid w:val="69735F72"/>
    <w:rsid w:val="6973B40C"/>
    <w:rsid w:val="6974725B"/>
    <w:rsid w:val="69771AEB"/>
    <w:rsid w:val="697B03AE"/>
    <w:rsid w:val="697CBA8A"/>
    <w:rsid w:val="697DE201"/>
    <w:rsid w:val="698133A1"/>
    <w:rsid w:val="6981352E"/>
    <w:rsid w:val="6983102C"/>
    <w:rsid w:val="6984DEF3"/>
    <w:rsid w:val="698502E0"/>
    <w:rsid w:val="69855C25"/>
    <w:rsid w:val="6985EEC4"/>
    <w:rsid w:val="69869203"/>
    <w:rsid w:val="6988CC18"/>
    <w:rsid w:val="69899B90"/>
    <w:rsid w:val="698AC5E0"/>
    <w:rsid w:val="698B48C4"/>
    <w:rsid w:val="698CC773"/>
    <w:rsid w:val="698EF1B1"/>
    <w:rsid w:val="69927D28"/>
    <w:rsid w:val="69927F0D"/>
    <w:rsid w:val="6993BA44"/>
    <w:rsid w:val="699422FF"/>
    <w:rsid w:val="69949DB8"/>
    <w:rsid w:val="69957CDD"/>
    <w:rsid w:val="69966877"/>
    <w:rsid w:val="6996F5E0"/>
    <w:rsid w:val="69971ABD"/>
    <w:rsid w:val="69989857"/>
    <w:rsid w:val="699BF5AF"/>
    <w:rsid w:val="699EA7DF"/>
    <w:rsid w:val="699F6587"/>
    <w:rsid w:val="69A06273"/>
    <w:rsid w:val="69A3067B"/>
    <w:rsid w:val="69A3C8CC"/>
    <w:rsid w:val="69A40A2B"/>
    <w:rsid w:val="69A4419C"/>
    <w:rsid w:val="69A4D1FA"/>
    <w:rsid w:val="69A7A5B3"/>
    <w:rsid w:val="69AABEB8"/>
    <w:rsid w:val="69ABDAD9"/>
    <w:rsid w:val="69AE0A58"/>
    <w:rsid w:val="69B1C442"/>
    <w:rsid w:val="69B3F40E"/>
    <w:rsid w:val="69B499B0"/>
    <w:rsid w:val="69B76135"/>
    <w:rsid w:val="69B8E821"/>
    <w:rsid w:val="69B8F707"/>
    <w:rsid w:val="69B92EBC"/>
    <w:rsid w:val="69BA6BE3"/>
    <w:rsid w:val="69BA73F1"/>
    <w:rsid w:val="69BADF3D"/>
    <w:rsid w:val="69BBA7FD"/>
    <w:rsid w:val="69BBDA7C"/>
    <w:rsid w:val="69BD86FA"/>
    <w:rsid w:val="69BDC1FC"/>
    <w:rsid w:val="69BDFBB0"/>
    <w:rsid w:val="69BEDA43"/>
    <w:rsid w:val="69BF8D3B"/>
    <w:rsid w:val="69BF9B2F"/>
    <w:rsid w:val="69C06D7B"/>
    <w:rsid w:val="69C27309"/>
    <w:rsid w:val="69C3D6B4"/>
    <w:rsid w:val="69C5A08B"/>
    <w:rsid w:val="69C61690"/>
    <w:rsid w:val="69CE98E5"/>
    <w:rsid w:val="69D9888A"/>
    <w:rsid w:val="69DAA94B"/>
    <w:rsid w:val="69DAAF23"/>
    <w:rsid w:val="69DBCA2C"/>
    <w:rsid w:val="69E24780"/>
    <w:rsid w:val="69E49635"/>
    <w:rsid w:val="69E7F6AE"/>
    <w:rsid w:val="69EAD3D5"/>
    <w:rsid w:val="69EB7B6A"/>
    <w:rsid w:val="69ECACE6"/>
    <w:rsid w:val="69ECB4CB"/>
    <w:rsid w:val="69EFA508"/>
    <w:rsid w:val="69F5441A"/>
    <w:rsid w:val="69F8992D"/>
    <w:rsid w:val="69F8A966"/>
    <w:rsid w:val="6A00D820"/>
    <w:rsid w:val="6A0AF1C5"/>
    <w:rsid w:val="6A0B625B"/>
    <w:rsid w:val="6A0C1A74"/>
    <w:rsid w:val="6A0C4F86"/>
    <w:rsid w:val="6A0C9C59"/>
    <w:rsid w:val="6A0E5C97"/>
    <w:rsid w:val="6A0E7853"/>
    <w:rsid w:val="6A11F3E0"/>
    <w:rsid w:val="6A12FE0B"/>
    <w:rsid w:val="6A17CF99"/>
    <w:rsid w:val="6A1946F9"/>
    <w:rsid w:val="6A1A1140"/>
    <w:rsid w:val="6A1A6173"/>
    <w:rsid w:val="6A1D5ACF"/>
    <w:rsid w:val="6A1E0DA2"/>
    <w:rsid w:val="6A216BC4"/>
    <w:rsid w:val="6A22A59A"/>
    <w:rsid w:val="6A256401"/>
    <w:rsid w:val="6A29F563"/>
    <w:rsid w:val="6A2DF9BB"/>
    <w:rsid w:val="6A334CCB"/>
    <w:rsid w:val="6A35F624"/>
    <w:rsid w:val="6A364E61"/>
    <w:rsid w:val="6A365D71"/>
    <w:rsid w:val="6A3773B1"/>
    <w:rsid w:val="6A3EC9B1"/>
    <w:rsid w:val="6A3FFACA"/>
    <w:rsid w:val="6A40C6E9"/>
    <w:rsid w:val="6A414A8E"/>
    <w:rsid w:val="6A4540A6"/>
    <w:rsid w:val="6A475FF0"/>
    <w:rsid w:val="6A4ADFA3"/>
    <w:rsid w:val="6A4BBF25"/>
    <w:rsid w:val="6A4DB498"/>
    <w:rsid w:val="6A4E27A0"/>
    <w:rsid w:val="6A4E4959"/>
    <w:rsid w:val="6A4F04E2"/>
    <w:rsid w:val="6A4F21CB"/>
    <w:rsid w:val="6A51C8B1"/>
    <w:rsid w:val="6A53B152"/>
    <w:rsid w:val="6A53E2AA"/>
    <w:rsid w:val="6A550AA3"/>
    <w:rsid w:val="6A56AE1A"/>
    <w:rsid w:val="6A5749F3"/>
    <w:rsid w:val="6A5CA635"/>
    <w:rsid w:val="6A5CD518"/>
    <w:rsid w:val="6A5D08D4"/>
    <w:rsid w:val="6A5D32B9"/>
    <w:rsid w:val="6A5E5CA7"/>
    <w:rsid w:val="6A5EEA7D"/>
    <w:rsid w:val="6A622B4E"/>
    <w:rsid w:val="6A6431B6"/>
    <w:rsid w:val="6A6882FE"/>
    <w:rsid w:val="6A6B03A4"/>
    <w:rsid w:val="6A6DA854"/>
    <w:rsid w:val="6A6EC9C8"/>
    <w:rsid w:val="6A6F50AF"/>
    <w:rsid w:val="6A708905"/>
    <w:rsid w:val="6A70A904"/>
    <w:rsid w:val="6A71EC9B"/>
    <w:rsid w:val="6A7417D4"/>
    <w:rsid w:val="6A7441F1"/>
    <w:rsid w:val="6A749AA9"/>
    <w:rsid w:val="6A74A61F"/>
    <w:rsid w:val="6A7B900E"/>
    <w:rsid w:val="6A7D29D5"/>
    <w:rsid w:val="6A7FDC25"/>
    <w:rsid w:val="6A7FECA6"/>
    <w:rsid w:val="6A80F612"/>
    <w:rsid w:val="6A8488EA"/>
    <w:rsid w:val="6A857914"/>
    <w:rsid w:val="6A85A9EF"/>
    <w:rsid w:val="6A8855A4"/>
    <w:rsid w:val="6A89DF5E"/>
    <w:rsid w:val="6A8CA1CC"/>
    <w:rsid w:val="6A8E6DAD"/>
    <w:rsid w:val="6A8F8933"/>
    <w:rsid w:val="6A91EEDD"/>
    <w:rsid w:val="6A9244F4"/>
    <w:rsid w:val="6A93900C"/>
    <w:rsid w:val="6A982741"/>
    <w:rsid w:val="6A99C2EF"/>
    <w:rsid w:val="6A9F85C9"/>
    <w:rsid w:val="6AA150D5"/>
    <w:rsid w:val="6AA18C15"/>
    <w:rsid w:val="6AA1FB1B"/>
    <w:rsid w:val="6AA23E44"/>
    <w:rsid w:val="6AA24080"/>
    <w:rsid w:val="6AA6A200"/>
    <w:rsid w:val="6AA7AFF0"/>
    <w:rsid w:val="6AABA310"/>
    <w:rsid w:val="6AAC6309"/>
    <w:rsid w:val="6AAD5D23"/>
    <w:rsid w:val="6AAE0B9C"/>
    <w:rsid w:val="6AB2A290"/>
    <w:rsid w:val="6AB2E5D3"/>
    <w:rsid w:val="6AB33C42"/>
    <w:rsid w:val="6AB3A38A"/>
    <w:rsid w:val="6AB486FB"/>
    <w:rsid w:val="6AB6EDC9"/>
    <w:rsid w:val="6AB8092F"/>
    <w:rsid w:val="6ABB8D3F"/>
    <w:rsid w:val="6ABD1283"/>
    <w:rsid w:val="6ABDD3F6"/>
    <w:rsid w:val="6ABDEBCF"/>
    <w:rsid w:val="6ABF983C"/>
    <w:rsid w:val="6AC00193"/>
    <w:rsid w:val="6AC022E4"/>
    <w:rsid w:val="6AC1972F"/>
    <w:rsid w:val="6AC3DD5E"/>
    <w:rsid w:val="6AC922A2"/>
    <w:rsid w:val="6ACABEE1"/>
    <w:rsid w:val="6ACBFC59"/>
    <w:rsid w:val="6ACCBB05"/>
    <w:rsid w:val="6AD2780A"/>
    <w:rsid w:val="6AD53469"/>
    <w:rsid w:val="6AD55659"/>
    <w:rsid w:val="6AD56024"/>
    <w:rsid w:val="6AD6DAE0"/>
    <w:rsid w:val="6AD70146"/>
    <w:rsid w:val="6AD9A1EB"/>
    <w:rsid w:val="6ADA3D11"/>
    <w:rsid w:val="6ADEB2BC"/>
    <w:rsid w:val="6ADF24D4"/>
    <w:rsid w:val="6AE3D22B"/>
    <w:rsid w:val="6AE418D7"/>
    <w:rsid w:val="6AE4AAA0"/>
    <w:rsid w:val="6AECFBA8"/>
    <w:rsid w:val="6AEE682B"/>
    <w:rsid w:val="6AEEFFE3"/>
    <w:rsid w:val="6AEF48BB"/>
    <w:rsid w:val="6AEF7E1C"/>
    <w:rsid w:val="6AF5E972"/>
    <w:rsid w:val="6AF852D2"/>
    <w:rsid w:val="6AF8EA03"/>
    <w:rsid w:val="6AF95A71"/>
    <w:rsid w:val="6AFB573E"/>
    <w:rsid w:val="6AFC5A34"/>
    <w:rsid w:val="6AFCF391"/>
    <w:rsid w:val="6B0009FB"/>
    <w:rsid w:val="6B091FF3"/>
    <w:rsid w:val="6B0A9B1B"/>
    <w:rsid w:val="6B0D39ED"/>
    <w:rsid w:val="6B0E18D1"/>
    <w:rsid w:val="6B0E7E68"/>
    <w:rsid w:val="6B0F1826"/>
    <w:rsid w:val="6B10499C"/>
    <w:rsid w:val="6B107046"/>
    <w:rsid w:val="6B117063"/>
    <w:rsid w:val="6B168B04"/>
    <w:rsid w:val="6B190FFD"/>
    <w:rsid w:val="6B1DD972"/>
    <w:rsid w:val="6B1ECC95"/>
    <w:rsid w:val="6B207866"/>
    <w:rsid w:val="6B22D768"/>
    <w:rsid w:val="6B238A1E"/>
    <w:rsid w:val="6B247249"/>
    <w:rsid w:val="6B2783D5"/>
    <w:rsid w:val="6B27FD55"/>
    <w:rsid w:val="6B29298B"/>
    <w:rsid w:val="6B29F17F"/>
    <w:rsid w:val="6B2C1B64"/>
    <w:rsid w:val="6B2CFF80"/>
    <w:rsid w:val="6B2DC523"/>
    <w:rsid w:val="6B2EA7F1"/>
    <w:rsid w:val="6B2F0906"/>
    <w:rsid w:val="6B327031"/>
    <w:rsid w:val="6B347311"/>
    <w:rsid w:val="6B34CF8D"/>
    <w:rsid w:val="6B35526B"/>
    <w:rsid w:val="6B3681B1"/>
    <w:rsid w:val="6B3D4FD2"/>
    <w:rsid w:val="6B3EF0E8"/>
    <w:rsid w:val="6B3FD968"/>
    <w:rsid w:val="6B414DC5"/>
    <w:rsid w:val="6B415886"/>
    <w:rsid w:val="6B43F590"/>
    <w:rsid w:val="6B45DF74"/>
    <w:rsid w:val="6B471A58"/>
    <w:rsid w:val="6B487466"/>
    <w:rsid w:val="6B494C06"/>
    <w:rsid w:val="6B4CFBCB"/>
    <w:rsid w:val="6B5191D7"/>
    <w:rsid w:val="6B5342BD"/>
    <w:rsid w:val="6B541029"/>
    <w:rsid w:val="6B568422"/>
    <w:rsid w:val="6B579647"/>
    <w:rsid w:val="6B580BF3"/>
    <w:rsid w:val="6B583981"/>
    <w:rsid w:val="6B597602"/>
    <w:rsid w:val="6B5A8B31"/>
    <w:rsid w:val="6B5C29B1"/>
    <w:rsid w:val="6B62D8B2"/>
    <w:rsid w:val="6B647492"/>
    <w:rsid w:val="6B652F9C"/>
    <w:rsid w:val="6B65AA35"/>
    <w:rsid w:val="6B65C170"/>
    <w:rsid w:val="6B677543"/>
    <w:rsid w:val="6B69B9B8"/>
    <w:rsid w:val="6B6D0E6A"/>
    <w:rsid w:val="6B6D3C65"/>
    <w:rsid w:val="6B72261E"/>
    <w:rsid w:val="6B765419"/>
    <w:rsid w:val="6B780A08"/>
    <w:rsid w:val="6B7860F5"/>
    <w:rsid w:val="6B795023"/>
    <w:rsid w:val="6B79810D"/>
    <w:rsid w:val="6B7AB49E"/>
    <w:rsid w:val="6B7AD6C5"/>
    <w:rsid w:val="6B7C9AD1"/>
    <w:rsid w:val="6B7D3C1A"/>
    <w:rsid w:val="6B7D4ADD"/>
    <w:rsid w:val="6B823813"/>
    <w:rsid w:val="6B823893"/>
    <w:rsid w:val="6B84D132"/>
    <w:rsid w:val="6B85AF46"/>
    <w:rsid w:val="6B867BA4"/>
    <w:rsid w:val="6B873DA2"/>
    <w:rsid w:val="6B89322E"/>
    <w:rsid w:val="6B8A1354"/>
    <w:rsid w:val="6B8AA856"/>
    <w:rsid w:val="6B8D3A6A"/>
    <w:rsid w:val="6B8D3C93"/>
    <w:rsid w:val="6B92D770"/>
    <w:rsid w:val="6B963E37"/>
    <w:rsid w:val="6B980A2B"/>
    <w:rsid w:val="6B9D8AA7"/>
    <w:rsid w:val="6BA1BCD8"/>
    <w:rsid w:val="6BA2B3B8"/>
    <w:rsid w:val="6BA34B17"/>
    <w:rsid w:val="6BA88A5A"/>
    <w:rsid w:val="6BAC9DC0"/>
    <w:rsid w:val="6BB31AC5"/>
    <w:rsid w:val="6BB3E7BB"/>
    <w:rsid w:val="6BB97BFD"/>
    <w:rsid w:val="6BB9F1F3"/>
    <w:rsid w:val="6BBADB09"/>
    <w:rsid w:val="6BBB9102"/>
    <w:rsid w:val="6BBCA5A8"/>
    <w:rsid w:val="6BBE2CB4"/>
    <w:rsid w:val="6BC1D6C4"/>
    <w:rsid w:val="6BC23177"/>
    <w:rsid w:val="6BC311CD"/>
    <w:rsid w:val="6BC50DA2"/>
    <w:rsid w:val="6BC51341"/>
    <w:rsid w:val="6BC73150"/>
    <w:rsid w:val="6BC9A219"/>
    <w:rsid w:val="6BD23764"/>
    <w:rsid w:val="6BD3E03E"/>
    <w:rsid w:val="6BD591C4"/>
    <w:rsid w:val="6BD5936B"/>
    <w:rsid w:val="6BD6262B"/>
    <w:rsid w:val="6BD66EBE"/>
    <w:rsid w:val="6BD6B3C4"/>
    <w:rsid w:val="6BD7230C"/>
    <w:rsid w:val="6BD9484C"/>
    <w:rsid w:val="6BD94978"/>
    <w:rsid w:val="6BD96D71"/>
    <w:rsid w:val="6BDD9751"/>
    <w:rsid w:val="6BDDBAB1"/>
    <w:rsid w:val="6BDFCC51"/>
    <w:rsid w:val="6BE133A1"/>
    <w:rsid w:val="6BE13CDA"/>
    <w:rsid w:val="6BE34AE4"/>
    <w:rsid w:val="6BE81E75"/>
    <w:rsid w:val="6BE99BB7"/>
    <w:rsid w:val="6BEEAEED"/>
    <w:rsid w:val="6BF04B4E"/>
    <w:rsid w:val="6BF162D9"/>
    <w:rsid w:val="6BF48A73"/>
    <w:rsid w:val="6BF48B53"/>
    <w:rsid w:val="6BF492C7"/>
    <w:rsid w:val="6BF619B1"/>
    <w:rsid w:val="6BF8E42D"/>
    <w:rsid w:val="6BF9A9A0"/>
    <w:rsid w:val="6BFB56F9"/>
    <w:rsid w:val="6BFBF99A"/>
    <w:rsid w:val="6BFC6AC9"/>
    <w:rsid w:val="6BFDEE52"/>
    <w:rsid w:val="6C002205"/>
    <w:rsid w:val="6C01A1D7"/>
    <w:rsid w:val="6C022FBE"/>
    <w:rsid w:val="6C043F97"/>
    <w:rsid w:val="6C0BCCF9"/>
    <w:rsid w:val="6C10886A"/>
    <w:rsid w:val="6C14F893"/>
    <w:rsid w:val="6C1BFA6D"/>
    <w:rsid w:val="6C1FD2EF"/>
    <w:rsid w:val="6C2220E2"/>
    <w:rsid w:val="6C2F71A5"/>
    <w:rsid w:val="6C3369E2"/>
    <w:rsid w:val="6C35787A"/>
    <w:rsid w:val="6C3711FC"/>
    <w:rsid w:val="6C3B9F7E"/>
    <w:rsid w:val="6C3BC229"/>
    <w:rsid w:val="6C3CF4A4"/>
    <w:rsid w:val="6C41B952"/>
    <w:rsid w:val="6C446FBC"/>
    <w:rsid w:val="6C46A90E"/>
    <w:rsid w:val="6C48856F"/>
    <w:rsid w:val="6C4B6BD6"/>
    <w:rsid w:val="6C4D7A57"/>
    <w:rsid w:val="6C4F64AB"/>
    <w:rsid w:val="6C522496"/>
    <w:rsid w:val="6C570049"/>
    <w:rsid w:val="6C579E84"/>
    <w:rsid w:val="6C595A64"/>
    <w:rsid w:val="6C5B53CA"/>
    <w:rsid w:val="6C5D40FD"/>
    <w:rsid w:val="6C5FBD41"/>
    <w:rsid w:val="6C611447"/>
    <w:rsid w:val="6C61B5E7"/>
    <w:rsid w:val="6C622D8F"/>
    <w:rsid w:val="6C637255"/>
    <w:rsid w:val="6C668DE8"/>
    <w:rsid w:val="6C696734"/>
    <w:rsid w:val="6C69EAFE"/>
    <w:rsid w:val="6C6A2D9B"/>
    <w:rsid w:val="6C6CCE58"/>
    <w:rsid w:val="6C6DF778"/>
    <w:rsid w:val="6C6ED4C5"/>
    <w:rsid w:val="6C6EFF39"/>
    <w:rsid w:val="6C722F1B"/>
    <w:rsid w:val="6C77CCF2"/>
    <w:rsid w:val="6C79F801"/>
    <w:rsid w:val="6C7B646A"/>
    <w:rsid w:val="6C7BB822"/>
    <w:rsid w:val="6C7C9852"/>
    <w:rsid w:val="6C7EFBC0"/>
    <w:rsid w:val="6C7F072C"/>
    <w:rsid w:val="6C7F6B82"/>
    <w:rsid w:val="6C817E9E"/>
    <w:rsid w:val="6C8582AF"/>
    <w:rsid w:val="6C85E98A"/>
    <w:rsid w:val="6C8735E1"/>
    <w:rsid w:val="6C89F1A7"/>
    <w:rsid w:val="6C8A7F6A"/>
    <w:rsid w:val="6C8D05F7"/>
    <w:rsid w:val="6C8E6491"/>
    <w:rsid w:val="6C8E8C56"/>
    <w:rsid w:val="6C8F1754"/>
    <w:rsid w:val="6C8F8139"/>
    <w:rsid w:val="6C8FE935"/>
    <w:rsid w:val="6C900306"/>
    <w:rsid w:val="6C91886E"/>
    <w:rsid w:val="6C942054"/>
    <w:rsid w:val="6C946D9B"/>
    <w:rsid w:val="6C9489FB"/>
    <w:rsid w:val="6C952D06"/>
    <w:rsid w:val="6C998B0D"/>
    <w:rsid w:val="6C9A6F77"/>
    <w:rsid w:val="6C9CFAC8"/>
    <w:rsid w:val="6C9E1B0E"/>
    <w:rsid w:val="6C9F2F37"/>
    <w:rsid w:val="6C9F7B7A"/>
    <w:rsid w:val="6CA17DF7"/>
    <w:rsid w:val="6CA31F01"/>
    <w:rsid w:val="6CA3585C"/>
    <w:rsid w:val="6CA4DD06"/>
    <w:rsid w:val="6CA4EB18"/>
    <w:rsid w:val="6CA62965"/>
    <w:rsid w:val="6CA977B6"/>
    <w:rsid w:val="6CA9ECE4"/>
    <w:rsid w:val="6CB14336"/>
    <w:rsid w:val="6CB1D799"/>
    <w:rsid w:val="6CB2D420"/>
    <w:rsid w:val="6CB400E7"/>
    <w:rsid w:val="6CB6C657"/>
    <w:rsid w:val="6CB83B56"/>
    <w:rsid w:val="6CB92C70"/>
    <w:rsid w:val="6CB9973B"/>
    <w:rsid w:val="6CBE0810"/>
    <w:rsid w:val="6CBF76AB"/>
    <w:rsid w:val="6CC40C92"/>
    <w:rsid w:val="6CC49476"/>
    <w:rsid w:val="6CC59A72"/>
    <w:rsid w:val="6CC5BC7F"/>
    <w:rsid w:val="6CC61DA2"/>
    <w:rsid w:val="6CC7A2AE"/>
    <w:rsid w:val="6CCBA5C4"/>
    <w:rsid w:val="6CCCB58E"/>
    <w:rsid w:val="6CD21C80"/>
    <w:rsid w:val="6CD9D3B5"/>
    <w:rsid w:val="6CDA69A9"/>
    <w:rsid w:val="6CDCE297"/>
    <w:rsid w:val="6CDFF3F9"/>
    <w:rsid w:val="6CE0964C"/>
    <w:rsid w:val="6CE21E79"/>
    <w:rsid w:val="6CE2F49C"/>
    <w:rsid w:val="6CE534A2"/>
    <w:rsid w:val="6CE5D639"/>
    <w:rsid w:val="6CE86045"/>
    <w:rsid w:val="6CECD7A1"/>
    <w:rsid w:val="6CF0DF69"/>
    <w:rsid w:val="6CF36F8E"/>
    <w:rsid w:val="6CF4E014"/>
    <w:rsid w:val="6CF85ECF"/>
    <w:rsid w:val="6CF8B2E5"/>
    <w:rsid w:val="6CFA457E"/>
    <w:rsid w:val="6CFDC6A2"/>
    <w:rsid w:val="6CFE4D28"/>
    <w:rsid w:val="6D00AAB5"/>
    <w:rsid w:val="6D01F4B9"/>
    <w:rsid w:val="6D025AC1"/>
    <w:rsid w:val="6D0269BD"/>
    <w:rsid w:val="6D044A34"/>
    <w:rsid w:val="6D044F96"/>
    <w:rsid w:val="6D05DAFB"/>
    <w:rsid w:val="6D097486"/>
    <w:rsid w:val="6D0A479C"/>
    <w:rsid w:val="6D1067C4"/>
    <w:rsid w:val="6D10B992"/>
    <w:rsid w:val="6D1115C1"/>
    <w:rsid w:val="6D11A630"/>
    <w:rsid w:val="6D12A729"/>
    <w:rsid w:val="6D1BB678"/>
    <w:rsid w:val="6D1C2FF2"/>
    <w:rsid w:val="6D1F2F15"/>
    <w:rsid w:val="6D1FA14B"/>
    <w:rsid w:val="6D2054E9"/>
    <w:rsid w:val="6D20E06B"/>
    <w:rsid w:val="6D211131"/>
    <w:rsid w:val="6D21EBD7"/>
    <w:rsid w:val="6D22B06C"/>
    <w:rsid w:val="6D2455CA"/>
    <w:rsid w:val="6D251F52"/>
    <w:rsid w:val="6D272168"/>
    <w:rsid w:val="6D28F7FC"/>
    <w:rsid w:val="6D293DD6"/>
    <w:rsid w:val="6D2C3441"/>
    <w:rsid w:val="6D2C6BEF"/>
    <w:rsid w:val="6D2D40F6"/>
    <w:rsid w:val="6D2D6A44"/>
    <w:rsid w:val="6D2E5710"/>
    <w:rsid w:val="6D31C565"/>
    <w:rsid w:val="6D32B77D"/>
    <w:rsid w:val="6D33A48E"/>
    <w:rsid w:val="6D3476DA"/>
    <w:rsid w:val="6D365550"/>
    <w:rsid w:val="6D3701CB"/>
    <w:rsid w:val="6D375F8C"/>
    <w:rsid w:val="6D3BD2C8"/>
    <w:rsid w:val="6D3C661C"/>
    <w:rsid w:val="6D3DD98D"/>
    <w:rsid w:val="6D3F1E57"/>
    <w:rsid w:val="6D4094B5"/>
    <w:rsid w:val="6D44A3C6"/>
    <w:rsid w:val="6D4576E9"/>
    <w:rsid w:val="6D480997"/>
    <w:rsid w:val="6D492167"/>
    <w:rsid w:val="6D495A2B"/>
    <w:rsid w:val="6D4C421C"/>
    <w:rsid w:val="6D4C7676"/>
    <w:rsid w:val="6D4CF04A"/>
    <w:rsid w:val="6D505EFB"/>
    <w:rsid w:val="6D517DFA"/>
    <w:rsid w:val="6D523DC6"/>
    <w:rsid w:val="6D5286E4"/>
    <w:rsid w:val="6D532FEA"/>
    <w:rsid w:val="6D5A4360"/>
    <w:rsid w:val="6D5BC61E"/>
    <w:rsid w:val="6D5D9810"/>
    <w:rsid w:val="6D5FC435"/>
    <w:rsid w:val="6D6024A8"/>
    <w:rsid w:val="6D614E9F"/>
    <w:rsid w:val="6D63575E"/>
    <w:rsid w:val="6D6553CD"/>
    <w:rsid w:val="6D66D094"/>
    <w:rsid w:val="6D671D35"/>
    <w:rsid w:val="6D68ADE9"/>
    <w:rsid w:val="6D69BEE6"/>
    <w:rsid w:val="6D6B49B3"/>
    <w:rsid w:val="6D6CAF52"/>
    <w:rsid w:val="6D6E6543"/>
    <w:rsid w:val="6D6E881C"/>
    <w:rsid w:val="6D71BCF0"/>
    <w:rsid w:val="6D79948B"/>
    <w:rsid w:val="6D7A769F"/>
    <w:rsid w:val="6D7BD403"/>
    <w:rsid w:val="6D7D3587"/>
    <w:rsid w:val="6D7E60F2"/>
    <w:rsid w:val="6D817815"/>
    <w:rsid w:val="6D8379F6"/>
    <w:rsid w:val="6D84CC37"/>
    <w:rsid w:val="6D84F6B3"/>
    <w:rsid w:val="6D8A5D99"/>
    <w:rsid w:val="6D8E650D"/>
    <w:rsid w:val="6D8F24A4"/>
    <w:rsid w:val="6D8F9B7D"/>
    <w:rsid w:val="6D91D051"/>
    <w:rsid w:val="6D944A7A"/>
    <w:rsid w:val="6D945B4A"/>
    <w:rsid w:val="6D976DC4"/>
    <w:rsid w:val="6D99F67B"/>
    <w:rsid w:val="6D9A7E78"/>
    <w:rsid w:val="6D9CFF24"/>
    <w:rsid w:val="6D9DD5BA"/>
    <w:rsid w:val="6D9E001F"/>
    <w:rsid w:val="6D9E0911"/>
    <w:rsid w:val="6D9FCEE4"/>
    <w:rsid w:val="6D9FFB27"/>
    <w:rsid w:val="6DA304FF"/>
    <w:rsid w:val="6DA4AD88"/>
    <w:rsid w:val="6DA4C188"/>
    <w:rsid w:val="6DA5CA09"/>
    <w:rsid w:val="6DA73C9B"/>
    <w:rsid w:val="6DA7D6E8"/>
    <w:rsid w:val="6DA7DA62"/>
    <w:rsid w:val="6DA82398"/>
    <w:rsid w:val="6DAAD7D1"/>
    <w:rsid w:val="6DAE9AE2"/>
    <w:rsid w:val="6DB1FC8A"/>
    <w:rsid w:val="6DB36EB2"/>
    <w:rsid w:val="6DBC0FCC"/>
    <w:rsid w:val="6DBD9759"/>
    <w:rsid w:val="6DBF34DD"/>
    <w:rsid w:val="6DC44F31"/>
    <w:rsid w:val="6DC466CD"/>
    <w:rsid w:val="6DC52290"/>
    <w:rsid w:val="6DC6FEA1"/>
    <w:rsid w:val="6DCC3768"/>
    <w:rsid w:val="6DCC9F56"/>
    <w:rsid w:val="6DD169CD"/>
    <w:rsid w:val="6DD1BF31"/>
    <w:rsid w:val="6DD3AE9F"/>
    <w:rsid w:val="6DD8FF91"/>
    <w:rsid w:val="6DD9D39E"/>
    <w:rsid w:val="6DDB1326"/>
    <w:rsid w:val="6DDC006D"/>
    <w:rsid w:val="6DDCE945"/>
    <w:rsid w:val="6DDCEB39"/>
    <w:rsid w:val="6DE06B63"/>
    <w:rsid w:val="6DE1CA32"/>
    <w:rsid w:val="6DE1DEC9"/>
    <w:rsid w:val="6DE22914"/>
    <w:rsid w:val="6DE36E22"/>
    <w:rsid w:val="6DE3B7D2"/>
    <w:rsid w:val="6DE5E5EF"/>
    <w:rsid w:val="6DE6560F"/>
    <w:rsid w:val="6DE65993"/>
    <w:rsid w:val="6DE7FED6"/>
    <w:rsid w:val="6DE98E63"/>
    <w:rsid w:val="6DEE5F6A"/>
    <w:rsid w:val="6DEEFE40"/>
    <w:rsid w:val="6DF05491"/>
    <w:rsid w:val="6DF10FB9"/>
    <w:rsid w:val="6DF3D97E"/>
    <w:rsid w:val="6DF46FD8"/>
    <w:rsid w:val="6DF4D8F9"/>
    <w:rsid w:val="6DF51471"/>
    <w:rsid w:val="6DF6D1B5"/>
    <w:rsid w:val="6DF75412"/>
    <w:rsid w:val="6DF76C9C"/>
    <w:rsid w:val="6DF7C626"/>
    <w:rsid w:val="6DFD9488"/>
    <w:rsid w:val="6DFE353C"/>
    <w:rsid w:val="6E003FDE"/>
    <w:rsid w:val="6E013714"/>
    <w:rsid w:val="6E018240"/>
    <w:rsid w:val="6E0294C0"/>
    <w:rsid w:val="6E04897F"/>
    <w:rsid w:val="6E04DCED"/>
    <w:rsid w:val="6E052E6E"/>
    <w:rsid w:val="6E058B65"/>
    <w:rsid w:val="6E06C171"/>
    <w:rsid w:val="6E0A0AB0"/>
    <w:rsid w:val="6E0AADE6"/>
    <w:rsid w:val="6E0CCE61"/>
    <w:rsid w:val="6E0DCCE7"/>
    <w:rsid w:val="6E0E4BF3"/>
    <w:rsid w:val="6E10F195"/>
    <w:rsid w:val="6E1102FE"/>
    <w:rsid w:val="6E128442"/>
    <w:rsid w:val="6E12F80E"/>
    <w:rsid w:val="6E132E73"/>
    <w:rsid w:val="6E1507AF"/>
    <w:rsid w:val="6E1775AC"/>
    <w:rsid w:val="6E19C7D6"/>
    <w:rsid w:val="6E1AC7BE"/>
    <w:rsid w:val="6E1B9959"/>
    <w:rsid w:val="6E1BDFD2"/>
    <w:rsid w:val="6E1C15DC"/>
    <w:rsid w:val="6E1DAB85"/>
    <w:rsid w:val="6E1DEF9F"/>
    <w:rsid w:val="6E24E8C8"/>
    <w:rsid w:val="6E258E27"/>
    <w:rsid w:val="6E2796B4"/>
    <w:rsid w:val="6E2B5B7C"/>
    <w:rsid w:val="6E2D7434"/>
    <w:rsid w:val="6E2E383C"/>
    <w:rsid w:val="6E30DFAC"/>
    <w:rsid w:val="6E317059"/>
    <w:rsid w:val="6E33786B"/>
    <w:rsid w:val="6E3A21A2"/>
    <w:rsid w:val="6E3BC0F6"/>
    <w:rsid w:val="6E3EA7DA"/>
    <w:rsid w:val="6E4078AD"/>
    <w:rsid w:val="6E410630"/>
    <w:rsid w:val="6E4217D0"/>
    <w:rsid w:val="6E432350"/>
    <w:rsid w:val="6E45D534"/>
    <w:rsid w:val="6E48A111"/>
    <w:rsid w:val="6E4A1A9B"/>
    <w:rsid w:val="6E50FD8E"/>
    <w:rsid w:val="6E522DF7"/>
    <w:rsid w:val="6E54F03F"/>
    <w:rsid w:val="6E553AF6"/>
    <w:rsid w:val="6E579814"/>
    <w:rsid w:val="6E581928"/>
    <w:rsid w:val="6E58D6BD"/>
    <w:rsid w:val="6E59A172"/>
    <w:rsid w:val="6E5B1FEB"/>
    <w:rsid w:val="6E5BD2D3"/>
    <w:rsid w:val="6E624403"/>
    <w:rsid w:val="6E66B799"/>
    <w:rsid w:val="6E67FFB7"/>
    <w:rsid w:val="6E6CBFDB"/>
    <w:rsid w:val="6E72C6BD"/>
    <w:rsid w:val="6E74DECE"/>
    <w:rsid w:val="6E76B8E8"/>
    <w:rsid w:val="6E77863A"/>
    <w:rsid w:val="6E7A7670"/>
    <w:rsid w:val="6E7AA849"/>
    <w:rsid w:val="6E7ABE3D"/>
    <w:rsid w:val="6E7C386C"/>
    <w:rsid w:val="6E7F046D"/>
    <w:rsid w:val="6E81F841"/>
    <w:rsid w:val="6E835A8D"/>
    <w:rsid w:val="6E8650CC"/>
    <w:rsid w:val="6E865CD0"/>
    <w:rsid w:val="6E88A797"/>
    <w:rsid w:val="6E8FCEC7"/>
    <w:rsid w:val="6E907B6F"/>
    <w:rsid w:val="6E9096F6"/>
    <w:rsid w:val="6E9337F9"/>
    <w:rsid w:val="6E9A8133"/>
    <w:rsid w:val="6E9A91A3"/>
    <w:rsid w:val="6E9E7377"/>
    <w:rsid w:val="6EA10E99"/>
    <w:rsid w:val="6EA2843C"/>
    <w:rsid w:val="6EA8A748"/>
    <w:rsid w:val="6EAAA97F"/>
    <w:rsid w:val="6EAADD4C"/>
    <w:rsid w:val="6EAE5006"/>
    <w:rsid w:val="6EB11EB0"/>
    <w:rsid w:val="6EB20A8C"/>
    <w:rsid w:val="6EB24350"/>
    <w:rsid w:val="6EB2F22C"/>
    <w:rsid w:val="6EB39DF7"/>
    <w:rsid w:val="6EB40BE9"/>
    <w:rsid w:val="6EB44C4A"/>
    <w:rsid w:val="6EB4C3CF"/>
    <w:rsid w:val="6EB58AFD"/>
    <w:rsid w:val="6EB612B2"/>
    <w:rsid w:val="6EB6A637"/>
    <w:rsid w:val="6EB79E91"/>
    <w:rsid w:val="6EB89C80"/>
    <w:rsid w:val="6EB8C3C4"/>
    <w:rsid w:val="6EBA6F78"/>
    <w:rsid w:val="6EBBA711"/>
    <w:rsid w:val="6EBC9E1B"/>
    <w:rsid w:val="6EBF5668"/>
    <w:rsid w:val="6EC4D139"/>
    <w:rsid w:val="6EC76CFA"/>
    <w:rsid w:val="6ECA6565"/>
    <w:rsid w:val="6ECF7F36"/>
    <w:rsid w:val="6ED0B492"/>
    <w:rsid w:val="6ED5D6CE"/>
    <w:rsid w:val="6EDBC1C9"/>
    <w:rsid w:val="6EDC5D9B"/>
    <w:rsid w:val="6EDCE47F"/>
    <w:rsid w:val="6EDD249A"/>
    <w:rsid w:val="6EDD79BA"/>
    <w:rsid w:val="6EDFF3D0"/>
    <w:rsid w:val="6EDFF8D4"/>
    <w:rsid w:val="6EE50353"/>
    <w:rsid w:val="6EE846D7"/>
    <w:rsid w:val="6EEA0113"/>
    <w:rsid w:val="6EEDC810"/>
    <w:rsid w:val="6EEED82B"/>
    <w:rsid w:val="6EEF469A"/>
    <w:rsid w:val="6EEFC761"/>
    <w:rsid w:val="6EF2E500"/>
    <w:rsid w:val="6EF3635F"/>
    <w:rsid w:val="6EF50CC0"/>
    <w:rsid w:val="6EF577A5"/>
    <w:rsid w:val="6EF67B42"/>
    <w:rsid w:val="6EF6A97A"/>
    <w:rsid w:val="6EFA99C4"/>
    <w:rsid w:val="6F021D9B"/>
    <w:rsid w:val="6F06CFB6"/>
    <w:rsid w:val="6F089624"/>
    <w:rsid w:val="6F0A603D"/>
    <w:rsid w:val="6F0A796A"/>
    <w:rsid w:val="6F0C9F12"/>
    <w:rsid w:val="6F0D1678"/>
    <w:rsid w:val="6F0F0B55"/>
    <w:rsid w:val="6F15D22C"/>
    <w:rsid w:val="6F17DF12"/>
    <w:rsid w:val="6F1B8013"/>
    <w:rsid w:val="6F23EBE1"/>
    <w:rsid w:val="6F24CA8C"/>
    <w:rsid w:val="6F255CB6"/>
    <w:rsid w:val="6F2CCCBF"/>
    <w:rsid w:val="6F2D47BE"/>
    <w:rsid w:val="6F2DC5F9"/>
    <w:rsid w:val="6F2DC8D5"/>
    <w:rsid w:val="6F2E06A7"/>
    <w:rsid w:val="6F2E4138"/>
    <w:rsid w:val="6F2FE57F"/>
    <w:rsid w:val="6F33393B"/>
    <w:rsid w:val="6F3A7A03"/>
    <w:rsid w:val="6F3AB5F6"/>
    <w:rsid w:val="6F3BAF7E"/>
    <w:rsid w:val="6F3D07BF"/>
    <w:rsid w:val="6F3DEB94"/>
    <w:rsid w:val="6F4025C4"/>
    <w:rsid w:val="6F404EF1"/>
    <w:rsid w:val="6F416D76"/>
    <w:rsid w:val="6F438299"/>
    <w:rsid w:val="6F4464E5"/>
    <w:rsid w:val="6F4645E3"/>
    <w:rsid w:val="6F4A079A"/>
    <w:rsid w:val="6F4BBD47"/>
    <w:rsid w:val="6F4C7DB9"/>
    <w:rsid w:val="6F4CCD64"/>
    <w:rsid w:val="6F504BFB"/>
    <w:rsid w:val="6F51F75B"/>
    <w:rsid w:val="6F51F880"/>
    <w:rsid w:val="6F5926DC"/>
    <w:rsid w:val="6F5E2BFF"/>
    <w:rsid w:val="6F663A3E"/>
    <w:rsid w:val="6F664850"/>
    <w:rsid w:val="6F6727B6"/>
    <w:rsid w:val="6F6859E2"/>
    <w:rsid w:val="6F6CDC86"/>
    <w:rsid w:val="6F6E6A4E"/>
    <w:rsid w:val="6F6EEA0D"/>
    <w:rsid w:val="6F71FD30"/>
    <w:rsid w:val="6F7234DF"/>
    <w:rsid w:val="6F749901"/>
    <w:rsid w:val="6F74EC93"/>
    <w:rsid w:val="6F753E6F"/>
    <w:rsid w:val="6F76E2DB"/>
    <w:rsid w:val="6F7A658A"/>
    <w:rsid w:val="6F7C0660"/>
    <w:rsid w:val="6F7F86CA"/>
    <w:rsid w:val="6F85884E"/>
    <w:rsid w:val="6F85AF05"/>
    <w:rsid w:val="6F870135"/>
    <w:rsid w:val="6F870CA3"/>
    <w:rsid w:val="6F8AA506"/>
    <w:rsid w:val="6F8CDDEA"/>
    <w:rsid w:val="6F8E0D2A"/>
    <w:rsid w:val="6F9230EA"/>
    <w:rsid w:val="6F92CB84"/>
    <w:rsid w:val="6F95929C"/>
    <w:rsid w:val="6F96A4F0"/>
    <w:rsid w:val="6F97C5D4"/>
    <w:rsid w:val="6F98E881"/>
    <w:rsid w:val="6F9FD3E6"/>
    <w:rsid w:val="6FA282FC"/>
    <w:rsid w:val="6FA5ADAB"/>
    <w:rsid w:val="6FA67D9D"/>
    <w:rsid w:val="6FA729A5"/>
    <w:rsid w:val="6FA88C59"/>
    <w:rsid w:val="6FA8BC1C"/>
    <w:rsid w:val="6FAF35BE"/>
    <w:rsid w:val="6FAF8495"/>
    <w:rsid w:val="6FAFB93B"/>
    <w:rsid w:val="6FB0E5BA"/>
    <w:rsid w:val="6FB7434E"/>
    <w:rsid w:val="6FBBB6EF"/>
    <w:rsid w:val="6FBDCD22"/>
    <w:rsid w:val="6FBEAD96"/>
    <w:rsid w:val="6FBFB71D"/>
    <w:rsid w:val="6FC03B05"/>
    <w:rsid w:val="6FC0729B"/>
    <w:rsid w:val="6FC10FE7"/>
    <w:rsid w:val="6FC40A92"/>
    <w:rsid w:val="6FC83B91"/>
    <w:rsid w:val="6FCB0659"/>
    <w:rsid w:val="6FCC9704"/>
    <w:rsid w:val="6FCD4D12"/>
    <w:rsid w:val="6FCD5671"/>
    <w:rsid w:val="6FCD593C"/>
    <w:rsid w:val="6FCE2CBC"/>
    <w:rsid w:val="6FD54443"/>
    <w:rsid w:val="6FD71EAB"/>
    <w:rsid w:val="6FD80607"/>
    <w:rsid w:val="6FDBD082"/>
    <w:rsid w:val="6FDD9F91"/>
    <w:rsid w:val="6FDE31AA"/>
    <w:rsid w:val="6FDE3E89"/>
    <w:rsid w:val="6FE2F43D"/>
    <w:rsid w:val="6FE365CA"/>
    <w:rsid w:val="6FE57388"/>
    <w:rsid w:val="6FE70266"/>
    <w:rsid w:val="6FE7E8D4"/>
    <w:rsid w:val="6FE8391F"/>
    <w:rsid w:val="6FED7631"/>
    <w:rsid w:val="6FEFF95B"/>
    <w:rsid w:val="6FF175BA"/>
    <w:rsid w:val="6FF2E33E"/>
    <w:rsid w:val="6FF54D89"/>
    <w:rsid w:val="6FF97692"/>
    <w:rsid w:val="6FFD1431"/>
    <w:rsid w:val="70005609"/>
    <w:rsid w:val="70013D8D"/>
    <w:rsid w:val="70044BCE"/>
    <w:rsid w:val="7009A387"/>
    <w:rsid w:val="700DBF91"/>
    <w:rsid w:val="7010C898"/>
    <w:rsid w:val="7013C1D5"/>
    <w:rsid w:val="7018D76A"/>
    <w:rsid w:val="701C9265"/>
    <w:rsid w:val="701DA840"/>
    <w:rsid w:val="701E4BCB"/>
    <w:rsid w:val="701F9C5C"/>
    <w:rsid w:val="7020CE55"/>
    <w:rsid w:val="7021A41B"/>
    <w:rsid w:val="7022C6D9"/>
    <w:rsid w:val="7025F1FA"/>
    <w:rsid w:val="7029D7A0"/>
    <w:rsid w:val="702A4831"/>
    <w:rsid w:val="702D0B3B"/>
    <w:rsid w:val="702D598D"/>
    <w:rsid w:val="702FE45A"/>
    <w:rsid w:val="7030069D"/>
    <w:rsid w:val="70317101"/>
    <w:rsid w:val="7031C43A"/>
    <w:rsid w:val="7032B070"/>
    <w:rsid w:val="70348617"/>
    <w:rsid w:val="7034EC9D"/>
    <w:rsid w:val="70355126"/>
    <w:rsid w:val="7036A669"/>
    <w:rsid w:val="70371993"/>
    <w:rsid w:val="703F8932"/>
    <w:rsid w:val="704327E1"/>
    <w:rsid w:val="70466812"/>
    <w:rsid w:val="70472492"/>
    <w:rsid w:val="7047D255"/>
    <w:rsid w:val="7048F726"/>
    <w:rsid w:val="704B8DA5"/>
    <w:rsid w:val="704FE1E3"/>
    <w:rsid w:val="7051DA4C"/>
    <w:rsid w:val="70533EED"/>
    <w:rsid w:val="70548703"/>
    <w:rsid w:val="70563FD9"/>
    <w:rsid w:val="70588717"/>
    <w:rsid w:val="705ADEDD"/>
    <w:rsid w:val="705C85CC"/>
    <w:rsid w:val="705FC988"/>
    <w:rsid w:val="7060027C"/>
    <w:rsid w:val="7065C89E"/>
    <w:rsid w:val="7065D14A"/>
    <w:rsid w:val="7068AC7A"/>
    <w:rsid w:val="706C17B7"/>
    <w:rsid w:val="706CDAEF"/>
    <w:rsid w:val="706DD16E"/>
    <w:rsid w:val="706E158E"/>
    <w:rsid w:val="706F2490"/>
    <w:rsid w:val="706F877A"/>
    <w:rsid w:val="7071FBDC"/>
    <w:rsid w:val="7074953A"/>
    <w:rsid w:val="70764069"/>
    <w:rsid w:val="7076C139"/>
    <w:rsid w:val="7076D820"/>
    <w:rsid w:val="707B5A1D"/>
    <w:rsid w:val="707D3898"/>
    <w:rsid w:val="707E9D0A"/>
    <w:rsid w:val="707ECEE7"/>
    <w:rsid w:val="7080103D"/>
    <w:rsid w:val="7083C17C"/>
    <w:rsid w:val="7083F84E"/>
    <w:rsid w:val="70846995"/>
    <w:rsid w:val="70851E5F"/>
    <w:rsid w:val="7085856C"/>
    <w:rsid w:val="7088BAEB"/>
    <w:rsid w:val="7088F2C3"/>
    <w:rsid w:val="708EA494"/>
    <w:rsid w:val="70904065"/>
    <w:rsid w:val="70906050"/>
    <w:rsid w:val="7092B2A3"/>
    <w:rsid w:val="70933C1F"/>
    <w:rsid w:val="70937C10"/>
    <w:rsid w:val="70945B5E"/>
    <w:rsid w:val="7095A321"/>
    <w:rsid w:val="70965CB9"/>
    <w:rsid w:val="70987369"/>
    <w:rsid w:val="709896AC"/>
    <w:rsid w:val="70995E80"/>
    <w:rsid w:val="709C24DF"/>
    <w:rsid w:val="709CBC57"/>
    <w:rsid w:val="709CEE03"/>
    <w:rsid w:val="709EDD7C"/>
    <w:rsid w:val="709F1D08"/>
    <w:rsid w:val="709F58E2"/>
    <w:rsid w:val="70A0878A"/>
    <w:rsid w:val="70A5D992"/>
    <w:rsid w:val="70A88C27"/>
    <w:rsid w:val="70A97ACC"/>
    <w:rsid w:val="70A9B16D"/>
    <w:rsid w:val="70AEFCAB"/>
    <w:rsid w:val="70AF7522"/>
    <w:rsid w:val="70B992DB"/>
    <w:rsid w:val="70BA4F0F"/>
    <w:rsid w:val="70BB3396"/>
    <w:rsid w:val="70BBA771"/>
    <w:rsid w:val="70BE39F8"/>
    <w:rsid w:val="70BEB46E"/>
    <w:rsid w:val="70BEF2B6"/>
    <w:rsid w:val="70C2F362"/>
    <w:rsid w:val="70C72F35"/>
    <w:rsid w:val="70C827CB"/>
    <w:rsid w:val="70CA945D"/>
    <w:rsid w:val="70CE2C01"/>
    <w:rsid w:val="70D55DA7"/>
    <w:rsid w:val="70D76AC6"/>
    <w:rsid w:val="70DCBDFA"/>
    <w:rsid w:val="70E4A2B8"/>
    <w:rsid w:val="70E5E760"/>
    <w:rsid w:val="70E81813"/>
    <w:rsid w:val="70E8A1FD"/>
    <w:rsid w:val="70EE6D14"/>
    <w:rsid w:val="70F216F4"/>
    <w:rsid w:val="70F26FF0"/>
    <w:rsid w:val="70F50C5E"/>
    <w:rsid w:val="70F5F665"/>
    <w:rsid w:val="70FD2700"/>
    <w:rsid w:val="70FF15C7"/>
    <w:rsid w:val="7102F3FA"/>
    <w:rsid w:val="7102FFB8"/>
    <w:rsid w:val="710385E0"/>
    <w:rsid w:val="7104EAB5"/>
    <w:rsid w:val="71057617"/>
    <w:rsid w:val="710F4F2B"/>
    <w:rsid w:val="71108FC3"/>
    <w:rsid w:val="7110C774"/>
    <w:rsid w:val="7114F130"/>
    <w:rsid w:val="71152935"/>
    <w:rsid w:val="71160A9B"/>
    <w:rsid w:val="711B5130"/>
    <w:rsid w:val="711D3B69"/>
    <w:rsid w:val="711D46A6"/>
    <w:rsid w:val="71215347"/>
    <w:rsid w:val="7122180E"/>
    <w:rsid w:val="71229D95"/>
    <w:rsid w:val="71236564"/>
    <w:rsid w:val="7125D0E2"/>
    <w:rsid w:val="712C1F47"/>
    <w:rsid w:val="712CB47B"/>
    <w:rsid w:val="713148E8"/>
    <w:rsid w:val="71362098"/>
    <w:rsid w:val="713641E1"/>
    <w:rsid w:val="71376297"/>
    <w:rsid w:val="7139A781"/>
    <w:rsid w:val="713AD5E8"/>
    <w:rsid w:val="713F4068"/>
    <w:rsid w:val="713FA292"/>
    <w:rsid w:val="714170CB"/>
    <w:rsid w:val="71458798"/>
    <w:rsid w:val="7148FDBB"/>
    <w:rsid w:val="7149C45A"/>
    <w:rsid w:val="714D421F"/>
    <w:rsid w:val="714D5189"/>
    <w:rsid w:val="714E0758"/>
    <w:rsid w:val="714E5FC3"/>
    <w:rsid w:val="714FE836"/>
    <w:rsid w:val="7153CD63"/>
    <w:rsid w:val="71540F19"/>
    <w:rsid w:val="71566A3E"/>
    <w:rsid w:val="715C351C"/>
    <w:rsid w:val="715E63C8"/>
    <w:rsid w:val="715FBB5B"/>
    <w:rsid w:val="716238B2"/>
    <w:rsid w:val="71639569"/>
    <w:rsid w:val="71659A03"/>
    <w:rsid w:val="71680E3B"/>
    <w:rsid w:val="71696A30"/>
    <w:rsid w:val="716A0A54"/>
    <w:rsid w:val="716BCD33"/>
    <w:rsid w:val="716C2C7E"/>
    <w:rsid w:val="716E7649"/>
    <w:rsid w:val="7170CA89"/>
    <w:rsid w:val="7174C866"/>
    <w:rsid w:val="71750807"/>
    <w:rsid w:val="71759879"/>
    <w:rsid w:val="71764C43"/>
    <w:rsid w:val="7177D20A"/>
    <w:rsid w:val="717937E0"/>
    <w:rsid w:val="717A01F3"/>
    <w:rsid w:val="717AF9D2"/>
    <w:rsid w:val="717BCD55"/>
    <w:rsid w:val="717DF233"/>
    <w:rsid w:val="7180E698"/>
    <w:rsid w:val="7182AC02"/>
    <w:rsid w:val="7182E2CF"/>
    <w:rsid w:val="7184CFFE"/>
    <w:rsid w:val="7184E023"/>
    <w:rsid w:val="7187142A"/>
    <w:rsid w:val="7187156A"/>
    <w:rsid w:val="7188D5E9"/>
    <w:rsid w:val="7189E9CB"/>
    <w:rsid w:val="718D8443"/>
    <w:rsid w:val="718DE8D9"/>
    <w:rsid w:val="7190BD2F"/>
    <w:rsid w:val="71927788"/>
    <w:rsid w:val="719424FB"/>
    <w:rsid w:val="7195D69D"/>
    <w:rsid w:val="719696D6"/>
    <w:rsid w:val="7199441B"/>
    <w:rsid w:val="719B3A18"/>
    <w:rsid w:val="719B5712"/>
    <w:rsid w:val="719B88E3"/>
    <w:rsid w:val="71A03B26"/>
    <w:rsid w:val="71A0DCAD"/>
    <w:rsid w:val="71A2DED0"/>
    <w:rsid w:val="71A4BA0A"/>
    <w:rsid w:val="71A80248"/>
    <w:rsid w:val="71A8D7E3"/>
    <w:rsid w:val="71A9368E"/>
    <w:rsid w:val="71AF13C4"/>
    <w:rsid w:val="71AF3C09"/>
    <w:rsid w:val="71AFBC8B"/>
    <w:rsid w:val="71B01AD6"/>
    <w:rsid w:val="71B04F2D"/>
    <w:rsid w:val="71B237C1"/>
    <w:rsid w:val="71B2C7DC"/>
    <w:rsid w:val="71B349E7"/>
    <w:rsid w:val="71B37688"/>
    <w:rsid w:val="71B4D8E3"/>
    <w:rsid w:val="71BA33E6"/>
    <w:rsid w:val="71BCC152"/>
    <w:rsid w:val="71BE358D"/>
    <w:rsid w:val="71C4FC8D"/>
    <w:rsid w:val="71C61462"/>
    <w:rsid w:val="71CA2488"/>
    <w:rsid w:val="71CECB27"/>
    <w:rsid w:val="71D19B48"/>
    <w:rsid w:val="71D2549A"/>
    <w:rsid w:val="71D4C117"/>
    <w:rsid w:val="71D64552"/>
    <w:rsid w:val="71D6C3A6"/>
    <w:rsid w:val="71D99C57"/>
    <w:rsid w:val="71DA967C"/>
    <w:rsid w:val="71DC976C"/>
    <w:rsid w:val="71DF0460"/>
    <w:rsid w:val="71E34570"/>
    <w:rsid w:val="71E3CB7A"/>
    <w:rsid w:val="71E459EE"/>
    <w:rsid w:val="71E82C66"/>
    <w:rsid w:val="71E8DA06"/>
    <w:rsid w:val="71E9722F"/>
    <w:rsid w:val="71EA92EE"/>
    <w:rsid w:val="71EAA11F"/>
    <w:rsid w:val="71EE2352"/>
    <w:rsid w:val="71F0C1FB"/>
    <w:rsid w:val="71F10742"/>
    <w:rsid w:val="71F2103A"/>
    <w:rsid w:val="71F554BF"/>
    <w:rsid w:val="71F79E64"/>
    <w:rsid w:val="71F85899"/>
    <w:rsid w:val="71F8DB6F"/>
    <w:rsid w:val="71F9FDC0"/>
    <w:rsid w:val="71FC0D5C"/>
    <w:rsid w:val="71FEF824"/>
    <w:rsid w:val="71FF313C"/>
    <w:rsid w:val="7201017C"/>
    <w:rsid w:val="72040500"/>
    <w:rsid w:val="72061E9C"/>
    <w:rsid w:val="7208B9A8"/>
    <w:rsid w:val="72096E0B"/>
    <w:rsid w:val="720C4595"/>
    <w:rsid w:val="720E81CF"/>
    <w:rsid w:val="7210EC91"/>
    <w:rsid w:val="72114393"/>
    <w:rsid w:val="72135286"/>
    <w:rsid w:val="72142B74"/>
    <w:rsid w:val="7214F13C"/>
    <w:rsid w:val="721C23F7"/>
    <w:rsid w:val="721CC7C8"/>
    <w:rsid w:val="721DDA7E"/>
    <w:rsid w:val="721EF0C2"/>
    <w:rsid w:val="721F8032"/>
    <w:rsid w:val="7222336B"/>
    <w:rsid w:val="7222872D"/>
    <w:rsid w:val="7222EF79"/>
    <w:rsid w:val="72258667"/>
    <w:rsid w:val="72267993"/>
    <w:rsid w:val="72276F98"/>
    <w:rsid w:val="72293FEA"/>
    <w:rsid w:val="7229EA0C"/>
    <w:rsid w:val="722B9138"/>
    <w:rsid w:val="722E9FC9"/>
    <w:rsid w:val="722F268D"/>
    <w:rsid w:val="7231EE78"/>
    <w:rsid w:val="7231F57F"/>
    <w:rsid w:val="7232B9B4"/>
    <w:rsid w:val="7236A545"/>
    <w:rsid w:val="72377B72"/>
    <w:rsid w:val="72385B28"/>
    <w:rsid w:val="7239AD20"/>
    <w:rsid w:val="723AB26D"/>
    <w:rsid w:val="723B6E6D"/>
    <w:rsid w:val="7241DBE4"/>
    <w:rsid w:val="72426DDA"/>
    <w:rsid w:val="7244282B"/>
    <w:rsid w:val="724797B3"/>
    <w:rsid w:val="724850D4"/>
    <w:rsid w:val="72493BBD"/>
    <w:rsid w:val="7249743E"/>
    <w:rsid w:val="7249DC88"/>
    <w:rsid w:val="724D99CD"/>
    <w:rsid w:val="724E9F3D"/>
    <w:rsid w:val="724F79C5"/>
    <w:rsid w:val="72511F20"/>
    <w:rsid w:val="7252772B"/>
    <w:rsid w:val="7253279A"/>
    <w:rsid w:val="72536183"/>
    <w:rsid w:val="7254F9C6"/>
    <w:rsid w:val="7255E90B"/>
    <w:rsid w:val="725637F2"/>
    <w:rsid w:val="7257FF6B"/>
    <w:rsid w:val="725AD7D4"/>
    <w:rsid w:val="725B2BBF"/>
    <w:rsid w:val="725E041C"/>
    <w:rsid w:val="7260C340"/>
    <w:rsid w:val="72612F50"/>
    <w:rsid w:val="7262061A"/>
    <w:rsid w:val="72682300"/>
    <w:rsid w:val="726BCD66"/>
    <w:rsid w:val="72700C5F"/>
    <w:rsid w:val="7272D34E"/>
    <w:rsid w:val="7273B688"/>
    <w:rsid w:val="727CA8D1"/>
    <w:rsid w:val="727DC814"/>
    <w:rsid w:val="72817554"/>
    <w:rsid w:val="72817D50"/>
    <w:rsid w:val="728266A2"/>
    <w:rsid w:val="7282E9B8"/>
    <w:rsid w:val="7284EA15"/>
    <w:rsid w:val="72889EAB"/>
    <w:rsid w:val="72893FC4"/>
    <w:rsid w:val="72899A1D"/>
    <w:rsid w:val="728BBD5A"/>
    <w:rsid w:val="728C0ADC"/>
    <w:rsid w:val="7290BD96"/>
    <w:rsid w:val="7291B026"/>
    <w:rsid w:val="72936AD3"/>
    <w:rsid w:val="72948CCE"/>
    <w:rsid w:val="72952C08"/>
    <w:rsid w:val="72977B9F"/>
    <w:rsid w:val="7297E37F"/>
    <w:rsid w:val="72A22A19"/>
    <w:rsid w:val="72A42C30"/>
    <w:rsid w:val="72A48990"/>
    <w:rsid w:val="72A55737"/>
    <w:rsid w:val="72A5E1A2"/>
    <w:rsid w:val="72A61943"/>
    <w:rsid w:val="72A6C3E2"/>
    <w:rsid w:val="72A764BF"/>
    <w:rsid w:val="72AD311F"/>
    <w:rsid w:val="72AF6C92"/>
    <w:rsid w:val="72B596E3"/>
    <w:rsid w:val="72B5F293"/>
    <w:rsid w:val="72B87A8D"/>
    <w:rsid w:val="72BDE3D1"/>
    <w:rsid w:val="72BE8A60"/>
    <w:rsid w:val="72BFF0E6"/>
    <w:rsid w:val="72C096BE"/>
    <w:rsid w:val="72C32600"/>
    <w:rsid w:val="72C38405"/>
    <w:rsid w:val="72C4D64D"/>
    <w:rsid w:val="72C56445"/>
    <w:rsid w:val="72C59FCF"/>
    <w:rsid w:val="72C9576C"/>
    <w:rsid w:val="72CA1C8C"/>
    <w:rsid w:val="72CA3C7C"/>
    <w:rsid w:val="72CD8F8A"/>
    <w:rsid w:val="72CEF78F"/>
    <w:rsid w:val="72D09733"/>
    <w:rsid w:val="72D2431F"/>
    <w:rsid w:val="72D3D437"/>
    <w:rsid w:val="72D4455D"/>
    <w:rsid w:val="72D453BE"/>
    <w:rsid w:val="72D62DB6"/>
    <w:rsid w:val="72D6487D"/>
    <w:rsid w:val="72D6FEF6"/>
    <w:rsid w:val="72D7290A"/>
    <w:rsid w:val="72D7E352"/>
    <w:rsid w:val="72DB7BB0"/>
    <w:rsid w:val="72DDA939"/>
    <w:rsid w:val="72E40F36"/>
    <w:rsid w:val="72E4D452"/>
    <w:rsid w:val="72E96C48"/>
    <w:rsid w:val="72EA61B2"/>
    <w:rsid w:val="72EB66A7"/>
    <w:rsid w:val="72EBBF6B"/>
    <w:rsid w:val="72ED0E95"/>
    <w:rsid w:val="72ED38F9"/>
    <w:rsid w:val="72EED743"/>
    <w:rsid w:val="72F12C5C"/>
    <w:rsid w:val="72F209DF"/>
    <w:rsid w:val="72F243A5"/>
    <w:rsid w:val="72F33309"/>
    <w:rsid w:val="72F5E8C3"/>
    <w:rsid w:val="72F742E3"/>
    <w:rsid w:val="72F97BB7"/>
    <w:rsid w:val="72FA0517"/>
    <w:rsid w:val="72FA822F"/>
    <w:rsid w:val="72FD02AD"/>
    <w:rsid w:val="72FD2993"/>
    <w:rsid w:val="72FE5E71"/>
    <w:rsid w:val="72FF5DB7"/>
    <w:rsid w:val="72FFDD97"/>
    <w:rsid w:val="73000623"/>
    <w:rsid w:val="73009BBC"/>
    <w:rsid w:val="7300AC70"/>
    <w:rsid w:val="7300D7A8"/>
    <w:rsid w:val="73033EF5"/>
    <w:rsid w:val="7303950D"/>
    <w:rsid w:val="7303A923"/>
    <w:rsid w:val="730A791A"/>
    <w:rsid w:val="730C5ACB"/>
    <w:rsid w:val="730F980F"/>
    <w:rsid w:val="7311575C"/>
    <w:rsid w:val="731757CD"/>
    <w:rsid w:val="73186D8B"/>
    <w:rsid w:val="731A7A1A"/>
    <w:rsid w:val="731A8380"/>
    <w:rsid w:val="731C5127"/>
    <w:rsid w:val="731DCA77"/>
    <w:rsid w:val="731FCF99"/>
    <w:rsid w:val="73208953"/>
    <w:rsid w:val="7322BE9D"/>
    <w:rsid w:val="7324D672"/>
    <w:rsid w:val="7325E28B"/>
    <w:rsid w:val="7328D862"/>
    <w:rsid w:val="732B1E55"/>
    <w:rsid w:val="732B7659"/>
    <w:rsid w:val="732FC6C0"/>
    <w:rsid w:val="73334CC2"/>
    <w:rsid w:val="7333C1F4"/>
    <w:rsid w:val="7333E9C9"/>
    <w:rsid w:val="7334FC1C"/>
    <w:rsid w:val="7339A6F6"/>
    <w:rsid w:val="7339DB4C"/>
    <w:rsid w:val="733A884D"/>
    <w:rsid w:val="73401DA8"/>
    <w:rsid w:val="73429D2F"/>
    <w:rsid w:val="7345C1A9"/>
    <w:rsid w:val="734668D8"/>
    <w:rsid w:val="7347B505"/>
    <w:rsid w:val="734A43BB"/>
    <w:rsid w:val="734B8E38"/>
    <w:rsid w:val="734E57C1"/>
    <w:rsid w:val="734FEF00"/>
    <w:rsid w:val="735204E1"/>
    <w:rsid w:val="73534EDA"/>
    <w:rsid w:val="7353DB7E"/>
    <w:rsid w:val="735410AC"/>
    <w:rsid w:val="7355377C"/>
    <w:rsid w:val="735977D8"/>
    <w:rsid w:val="735A30BD"/>
    <w:rsid w:val="735B5A5E"/>
    <w:rsid w:val="735BF6D2"/>
    <w:rsid w:val="735ED6F5"/>
    <w:rsid w:val="73609A27"/>
    <w:rsid w:val="736423AE"/>
    <w:rsid w:val="7364634D"/>
    <w:rsid w:val="736828E0"/>
    <w:rsid w:val="736E8B9E"/>
    <w:rsid w:val="736EBBF4"/>
    <w:rsid w:val="736ED0EA"/>
    <w:rsid w:val="736F7244"/>
    <w:rsid w:val="7370A3F0"/>
    <w:rsid w:val="737210FC"/>
    <w:rsid w:val="73731E9E"/>
    <w:rsid w:val="7373C0EE"/>
    <w:rsid w:val="7376ACC7"/>
    <w:rsid w:val="7376C72B"/>
    <w:rsid w:val="737C5366"/>
    <w:rsid w:val="7384B811"/>
    <w:rsid w:val="73874E2E"/>
    <w:rsid w:val="7387E2B0"/>
    <w:rsid w:val="73884CEE"/>
    <w:rsid w:val="73885D9E"/>
    <w:rsid w:val="738A3A04"/>
    <w:rsid w:val="738B2ACB"/>
    <w:rsid w:val="738B3022"/>
    <w:rsid w:val="7390A24E"/>
    <w:rsid w:val="73913D77"/>
    <w:rsid w:val="7391C480"/>
    <w:rsid w:val="7391E0C0"/>
    <w:rsid w:val="739249CB"/>
    <w:rsid w:val="73945177"/>
    <w:rsid w:val="73951E5D"/>
    <w:rsid w:val="73958496"/>
    <w:rsid w:val="7397946C"/>
    <w:rsid w:val="7397E1B3"/>
    <w:rsid w:val="739A1875"/>
    <w:rsid w:val="739B3BD8"/>
    <w:rsid w:val="739E2D79"/>
    <w:rsid w:val="739E76BB"/>
    <w:rsid w:val="73A7757D"/>
    <w:rsid w:val="73A992CC"/>
    <w:rsid w:val="73AC19B4"/>
    <w:rsid w:val="73ACBF9E"/>
    <w:rsid w:val="73B066B8"/>
    <w:rsid w:val="73B3326A"/>
    <w:rsid w:val="73B7B6B5"/>
    <w:rsid w:val="73BE4E98"/>
    <w:rsid w:val="73C14D3C"/>
    <w:rsid w:val="73C2A207"/>
    <w:rsid w:val="73C2B2ED"/>
    <w:rsid w:val="73C6ED9B"/>
    <w:rsid w:val="73C73493"/>
    <w:rsid w:val="73C76061"/>
    <w:rsid w:val="73C88677"/>
    <w:rsid w:val="73D38862"/>
    <w:rsid w:val="73D51B46"/>
    <w:rsid w:val="73D59AB3"/>
    <w:rsid w:val="73D98D58"/>
    <w:rsid w:val="73D9DE91"/>
    <w:rsid w:val="73DD3E3F"/>
    <w:rsid w:val="73DEC3E0"/>
    <w:rsid w:val="73E13A0B"/>
    <w:rsid w:val="73E17268"/>
    <w:rsid w:val="73E39BE1"/>
    <w:rsid w:val="73E3D3E1"/>
    <w:rsid w:val="73E3E940"/>
    <w:rsid w:val="73E78A97"/>
    <w:rsid w:val="73E79139"/>
    <w:rsid w:val="73E9BAA4"/>
    <w:rsid w:val="73EB43CE"/>
    <w:rsid w:val="73EDAF34"/>
    <w:rsid w:val="73EDD25D"/>
    <w:rsid w:val="73EEE5B9"/>
    <w:rsid w:val="73F271B5"/>
    <w:rsid w:val="73F51BF1"/>
    <w:rsid w:val="73FC7F9B"/>
    <w:rsid w:val="73FD3983"/>
    <w:rsid w:val="73FFA435"/>
    <w:rsid w:val="740174A3"/>
    <w:rsid w:val="7401926A"/>
    <w:rsid w:val="74026411"/>
    <w:rsid w:val="74029D1E"/>
    <w:rsid w:val="74058C20"/>
    <w:rsid w:val="7406F58E"/>
    <w:rsid w:val="7409CF0A"/>
    <w:rsid w:val="740B0432"/>
    <w:rsid w:val="740BBD31"/>
    <w:rsid w:val="740C4907"/>
    <w:rsid w:val="740D50D7"/>
    <w:rsid w:val="7413C9B6"/>
    <w:rsid w:val="7414D2FF"/>
    <w:rsid w:val="74160C98"/>
    <w:rsid w:val="7418F998"/>
    <w:rsid w:val="7419CC99"/>
    <w:rsid w:val="7419FDEE"/>
    <w:rsid w:val="741D581F"/>
    <w:rsid w:val="7420D3FF"/>
    <w:rsid w:val="7420F396"/>
    <w:rsid w:val="7421E995"/>
    <w:rsid w:val="7421FA5D"/>
    <w:rsid w:val="7426035F"/>
    <w:rsid w:val="7428BD47"/>
    <w:rsid w:val="742E6EB5"/>
    <w:rsid w:val="742EB5D3"/>
    <w:rsid w:val="7432AD96"/>
    <w:rsid w:val="743405FF"/>
    <w:rsid w:val="74351003"/>
    <w:rsid w:val="743538B8"/>
    <w:rsid w:val="7436CDF1"/>
    <w:rsid w:val="743C0099"/>
    <w:rsid w:val="743CA1EE"/>
    <w:rsid w:val="743DA897"/>
    <w:rsid w:val="74417B6E"/>
    <w:rsid w:val="74423187"/>
    <w:rsid w:val="74466A3C"/>
    <w:rsid w:val="74468E68"/>
    <w:rsid w:val="744709F8"/>
    <w:rsid w:val="744AFDC7"/>
    <w:rsid w:val="744F7640"/>
    <w:rsid w:val="74501282"/>
    <w:rsid w:val="7450B1D2"/>
    <w:rsid w:val="7450D197"/>
    <w:rsid w:val="7451DD81"/>
    <w:rsid w:val="7452D46D"/>
    <w:rsid w:val="74540436"/>
    <w:rsid w:val="74559AA9"/>
    <w:rsid w:val="7457143C"/>
    <w:rsid w:val="7458D2FA"/>
    <w:rsid w:val="745A1BD3"/>
    <w:rsid w:val="745AC945"/>
    <w:rsid w:val="745BF745"/>
    <w:rsid w:val="745F654D"/>
    <w:rsid w:val="745FB870"/>
    <w:rsid w:val="7461AE70"/>
    <w:rsid w:val="746782CD"/>
    <w:rsid w:val="7467FE57"/>
    <w:rsid w:val="74685A9D"/>
    <w:rsid w:val="74687B31"/>
    <w:rsid w:val="746B3A5B"/>
    <w:rsid w:val="746BAB86"/>
    <w:rsid w:val="746CAC00"/>
    <w:rsid w:val="746F0BB6"/>
    <w:rsid w:val="746F331F"/>
    <w:rsid w:val="746F71AD"/>
    <w:rsid w:val="7471E1BF"/>
    <w:rsid w:val="74732184"/>
    <w:rsid w:val="7473B4F4"/>
    <w:rsid w:val="74743D1C"/>
    <w:rsid w:val="74754C01"/>
    <w:rsid w:val="7475B933"/>
    <w:rsid w:val="7479AB58"/>
    <w:rsid w:val="7479E231"/>
    <w:rsid w:val="747BEFBD"/>
    <w:rsid w:val="747C0F94"/>
    <w:rsid w:val="747EF308"/>
    <w:rsid w:val="747FDE1D"/>
    <w:rsid w:val="748069EE"/>
    <w:rsid w:val="7481FF30"/>
    <w:rsid w:val="7483D6AA"/>
    <w:rsid w:val="74855E4F"/>
    <w:rsid w:val="7487A787"/>
    <w:rsid w:val="748806DE"/>
    <w:rsid w:val="74882AAB"/>
    <w:rsid w:val="7489009B"/>
    <w:rsid w:val="748A5560"/>
    <w:rsid w:val="748AB242"/>
    <w:rsid w:val="748B8D2A"/>
    <w:rsid w:val="748BEDA8"/>
    <w:rsid w:val="748D4AE9"/>
    <w:rsid w:val="748F41E1"/>
    <w:rsid w:val="7493799C"/>
    <w:rsid w:val="749C66AA"/>
    <w:rsid w:val="749F6A29"/>
    <w:rsid w:val="74A33F97"/>
    <w:rsid w:val="74A3CD5E"/>
    <w:rsid w:val="74A637C2"/>
    <w:rsid w:val="74A7A3DD"/>
    <w:rsid w:val="74AB6467"/>
    <w:rsid w:val="74AB9926"/>
    <w:rsid w:val="74B0AF61"/>
    <w:rsid w:val="74B36F0F"/>
    <w:rsid w:val="74B396F1"/>
    <w:rsid w:val="74B55413"/>
    <w:rsid w:val="74B67DAF"/>
    <w:rsid w:val="74B69E4D"/>
    <w:rsid w:val="74B6FCE0"/>
    <w:rsid w:val="74B74CCB"/>
    <w:rsid w:val="74B93CA9"/>
    <w:rsid w:val="74BBDE96"/>
    <w:rsid w:val="74BDFA47"/>
    <w:rsid w:val="74BEB161"/>
    <w:rsid w:val="74C04CF0"/>
    <w:rsid w:val="74C2CB97"/>
    <w:rsid w:val="74C32654"/>
    <w:rsid w:val="74C41242"/>
    <w:rsid w:val="74C42434"/>
    <w:rsid w:val="74C558C3"/>
    <w:rsid w:val="74C72826"/>
    <w:rsid w:val="74C7D520"/>
    <w:rsid w:val="74CBF2A1"/>
    <w:rsid w:val="74CCF41E"/>
    <w:rsid w:val="74CEE624"/>
    <w:rsid w:val="74CFA30D"/>
    <w:rsid w:val="74D01F2E"/>
    <w:rsid w:val="74D0D5E4"/>
    <w:rsid w:val="74D3D402"/>
    <w:rsid w:val="74D46F19"/>
    <w:rsid w:val="74D5A3BE"/>
    <w:rsid w:val="74D70E4E"/>
    <w:rsid w:val="74D92953"/>
    <w:rsid w:val="74D998DA"/>
    <w:rsid w:val="74DB93A5"/>
    <w:rsid w:val="74DC33CA"/>
    <w:rsid w:val="74DE2063"/>
    <w:rsid w:val="74E03D28"/>
    <w:rsid w:val="74E0D819"/>
    <w:rsid w:val="74E11722"/>
    <w:rsid w:val="74E1A620"/>
    <w:rsid w:val="74E448C2"/>
    <w:rsid w:val="74E48039"/>
    <w:rsid w:val="74EBC9BD"/>
    <w:rsid w:val="74F6568D"/>
    <w:rsid w:val="74F8831E"/>
    <w:rsid w:val="74FE6D28"/>
    <w:rsid w:val="74FFF38C"/>
    <w:rsid w:val="7504EAA8"/>
    <w:rsid w:val="7509F29C"/>
    <w:rsid w:val="750D26EF"/>
    <w:rsid w:val="750DE614"/>
    <w:rsid w:val="750F328C"/>
    <w:rsid w:val="750FAA7D"/>
    <w:rsid w:val="750FABEB"/>
    <w:rsid w:val="75191689"/>
    <w:rsid w:val="751B4E6D"/>
    <w:rsid w:val="751B667B"/>
    <w:rsid w:val="751BB795"/>
    <w:rsid w:val="751EC196"/>
    <w:rsid w:val="75202D84"/>
    <w:rsid w:val="7529B0FC"/>
    <w:rsid w:val="752D38CC"/>
    <w:rsid w:val="75312093"/>
    <w:rsid w:val="75343996"/>
    <w:rsid w:val="7536564B"/>
    <w:rsid w:val="75365725"/>
    <w:rsid w:val="75392AC2"/>
    <w:rsid w:val="753AF611"/>
    <w:rsid w:val="753E6D6C"/>
    <w:rsid w:val="7541A46A"/>
    <w:rsid w:val="7545F4E3"/>
    <w:rsid w:val="7548FD6A"/>
    <w:rsid w:val="754963E8"/>
    <w:rsid w:val="754C7368"/>
    <w:rsid w:val="754FF377"/>
    <w:rsid w:val="755404C4"/>
    <w:rsid w:val="755759E3"/>
    <w:rsid w:val="755AEBE6"/>
    <w:rsid w:val="755BE95C"/>
    <w:rsid w:val="755EF49B"/>
    <w:rsid w:val="755F0FD2"/>
    <w:rsid w:val="755FFDE9"/>
    <w:rsid w:val="7560B951"/>
    <w:rsid w:val="7562371D"/>
    <w:rsid w:val="75638D63"/>
    <w:rsid w:val="7569EBE7"/>
    <w:rsid w:val="756A5A92"/>
    <w:rsid w:val="7573F8F8"/>
    <w:rsid w:val="75768A3A"/>
    <w:rsid w:val="7577DC4F"/>
    <w:rsid w:val="7578845B"/>
    <w:rsid w:val="75789143"/>
    <w:rsid w:val="7579B351"/>
    <w:rsid w:val="757B1D02"/>
    <w:rsid w:val="757C4D7C"/>
    <w:rsid w:val="757FE563"/>
    <w:rsid w:val="758188C4"/>
    <w:rsid w:val="758276C1"/>
    <w:rsid w:val="75835C84"/>
    <w:rsid w:val="75867CEE"/>
    <w:rsid w:val="75879191"/>
    <w:rsid w:val="7588BCC8"/>
    <w:rsid w:val="758EC53D"/>
    <w:rsid w:val="758FC1F1"/>
    <w:rsid w:val="75907498"/>
    <w:rsid w:val="75907C95"/>
    <w:rsid w:val="7593AE96"/>
    <w:rsid w:val="7593D17E"/>
    <w:rsid w:val="759699B6"/>
    <w:rsid w:val="759736F2"/>
    <w:rsid w:val="759D3CFB"/>
    <w:rsid w:val="759F2514"/>
    <w:rsid w:val="759F8DEF"/>
    <w:rsid w:val="759F9147"/>
    <w:rsid w:val="759FC2C1"/>
    <w:rsid w:val="75A09E84"/>
    <w:rsid w:val="75A57CFF"/>
    <w:rsid w:val="75A5C9A7"/>
    <w:rsid w:val="75A6AE22"/>
    <w:rsid w:val="75A759EE"/>
    <w:rsid w:val="75A82EF7"/>
    <w:rsid w:val="75A93363"/>
    <w:rsid w:val="75A9D669"/>
    <w:rsid w:val="75ABC348"/>
    <w:rsid w:val="75AED187"/>
    <w:rsid w:val="75B19345"/>
    <w:rsid w:val="75B2DFCE"/>
    <w:rsid w:val="75B40E9B"/>
    <w:rsid w:val="75B4BE2D"/>
    <w:rsid w:val="75B59191"/>
    <w:rsid w:val="75B98E04"/>
    <w:rsid w:val="75BB4EEE"/>
    <w:rsid w:val="75BC26CD"/>
    <w:rsid w:val="75BCDB81"/>
    <w:rsid w:val="75BE9090"/>
    <w:rsid w:val="75BEB504"/>
    <w:rsid w:val="75BED4E5"/>
    <w:rsid w:val="75BEF59A"/>
    <w:rsid w:val="75C15BAF"/>
    <w:rsid w:val="75C2C15D"/>
    <w:rsid w:val="75C316AB"/>
    <w:rsid w:val="75C81633"/>
    <w:rsid w:val="75C936D5"/>
    <w:rsid w:val="75CE5F61"/>
    <w:rsid w:val="75CFB05D"/>
    <w:rsid w:val="75D079AB"/>
    <w:rsid w:val="75D10F37"/>
    <w:rsid w:val="75D37FDB"/>
    <w:rsid w:val="75D41A1B"/>
    <w:rsid w:val="75D9921E"/>
    <w:rsid w:val="75DA6E69"/>
    <w:rsid w:val="75DB629B"/>
    <w:rsid w:val="75DDB9A5"/>
    <w:rsid w:val="75DEE698"/>
    <w:rsid w:val="75DF9B46"/>
    <w:rsid w:val="75DFC12A"/>
    <w:rsid w:val="75E1BE9F"/>
    <w:rsid w:val="75E1E65B"/>
    <w:rsid w:val="75E54694"/>
    <w:rsid w:val="75E6CE28"/>
    <w:rsid w:val="75E79777"/>
    <w:rsid w:val="75E8C9DF"/>
    <w:rsid w:val="75EAE7B3"/>
    <w:rsid w:val="75F180E4"/>
    <w:rsid w:val="75F795FE"/>
    <w:rsid w:val="76047147"/>
    <w:rsid w:val="7606741C"/>
    <w:rsid w:val="7608D4D7"/>
    <w:rsid w:val="7608D7AA"/>
    <w:rsid w:val="760BC8E0"/>
    <w:rsid w:val="760D7690"/>
    <w:rsid w:val="760DF103"/>
    <w:rsid w:val="760F85C4"/>
    <w:rsid w:val="760FECFB"/>
    <w:rsid w:val="7610CF26"/>
    <w:rsid w:val="7611BBE6"/>
    <w:rsid w:val="76164178"/>
    <w:rsid w:val="7618E0EF"/>
    <w:rsid w:val="761BB4E6"/>
    <w:rsid w:val="761BD274"/>
    <w:rsid w:val="761BE794"/>
    <w:rsid w:val="761D767C"/>
    <w:rsid w:val="761E5D23"/>
    <w:rsid w:val="7620EC0D"/>
    <w:rsid w:val="76215160"/>
    <w:rsid w:val="762206D3"/>
    <w:rsid w:val="7625B85A"/>
    <w:rsid w:val="7626AC65"/>
    <w:rsid w:val="7627D8D1"/>
    <w:rsid w:val="762A2AD6"/>
    <w:rsid w:val="762AEB96"/>
    <w:rsid w:val="762E3990"/>
    <w:rsid w:val="762F957B"/>
    <w:rsid w:val="7630A9E0"/>
    <w:rsid w:val="76318750"/>
    <w:rsid w:val="7632CE6F"/>
    <w:rsid w:val="7632EBD2"/>
    <w:rsid w:val="7633F576"/>
    <w:rsid w:val="76342DD3"/>
    <w:rsid w:val="7634B8A8"/>
    <w:rsid w:val="76394A21"/>
    <w:rsid w:val="763ABC48"/>
    <w:rsid w:val="763CAFA5"/>
    <w:rsid w:val="763DB401"/>
    <w:rsid w:val="763DD376"/>
    <w:rsid w:val="763E02C1"/>
    <w:rsid w:val="763E6C25"/>
    <w:rsid w:val="763EBA66"/>
    <w:rsid w:val="76403DF7"/>
    <w:rsid w:val="7642142D"/>
    <w:rsid w:val="7644396A"/>
    <w:rsid w:val="764658C6"/>
    <w:rsid w:val="76487FDD"/>
    <w:rsid w:val="764C03F6"/>
    <w:rsid w:val="764DAB2C"/>
    <w:rsid w:val="7651A1BA"/>
    <w:rsid w:val="76521C6C"/>
    <w:rsid w:val="7652E7E3"/>
    <w:rsid w:val="7652FC02"/>
    <w:rsid w:val="7657DD3C"/>
    <w:rsid w:val="76582F06"/>
    <w:rsid w:val="76590CF8"/>
    <w:rsid w:val="765E6398"/>
    <w:rsid w:val="76602B4F"/>
    <w:rsid w:val="76618F7F"/>
    <w:rsid w:val="7661FDE6"/>
    <w:rsid w:val="76621768"/>
    <w:rsid w:val="766487AF"/>
    <w:rsid w:val="7665F80D"/>
    <w:rsid w:val="76681F93"/>
    <w:rsid w:val="76683ABD"/>
    <w:rsid w:val="7668FEC6"/>
    <w:rsid w:val="766AED62"/>
    <w:rsid w:val="766E8D18"/>
    <w:rsid w:val="766EB6E2"/>
    <w:rsid w:val="766EF2CB"/>
    <w:rsid w:val="766F0ADB"/>
    <w:rsid w:val="766F19C7"/>
    <w:rsid w:val="766FC767"/>
    <w:rsid w:val="7672B7CB"/>
    <w:rsid w:val="7674022A"/>
    <w:rsid w:val="767562AE"/>
    <w:rsid w:val="767630C5"/>
    <w:rsid w:val="76768D1A"/>
    <w:rsid w:val="7676C3B6"/>
    <w:rsid w:val="767BA359"/>
    <w:rsid w:val="767CD6B4"/>
    <w:rsid w:val="767FAC04"/>
    <w:rsid w:val="768127C9"/>
    <w:rsid w:val="7686000C"/>
    <w:rsid w:val="76871F09"/>
    <w:rsid w:val="7691AEF5"/>
    <w:rsid w:val="7691E326"/>
    <w:rsid w:val="7692292F"/>
    <w:rsid w:val="7696364B"/>
    <w:rsid w:val="76964AE2"/>
    <w:rsid w:val="769785ED"/>
    <w:rsid w:val="76989D23"/>
    <w:rsid w:val="7698FBC3"/>
    <w:rsid w:val="7699583D"/>
    <w:rsid w:val="769EC827"/>
    <w:rsid w:val="76A08915"/>
    <w:rsid w:val="76A34D58"/>
    <w:rsid w:val="76A4BD65"/>
    <w:rsid w:val="76AAA07B"/>
    <w:rsid w:val="76AABC9B"/>
    <w:rsid w:val="76AB8AE7"/>
    <w:rsid w:val="76AD80C4"/>
    <w:rsid w:val="76AD8D06"/>
    <w:rsid w:val="76AE9336"/>
    <w:rsid w:val="76AEC09B"/>
    <w:rsid w:val="76B1BF4D"/>
    <w:rsid w:val="76B30037"/>
    <w:rsid w:val="76B5644B"/>
    <w:rsid w:val="76B664CE"/>
    <w:rsid w:val="76B6BE2C"/>
    <w:rsid w:val="76B89831"/>
    <w:rsid w:val="76B96335"/>
    <w:rsid w:val="76BA0D33"/>
    <w:rsid w:val="76BC70C9"/>
    <w:rsid w:val="76BD4E40"/>
    <w:rsid w:val="76BDDC81"/>
    <w:rsid w:val="76BE0411"/>
    <w:rsid w:val="76C0AF1D"/>
    <w:rsid w:val="76C0EABD"/>
    <w:rsid w:val="76C3280C"/>
    <w:rsid w:val="76C3B096"/>
    <w:rsid w:val="76C43C4F"/>
    <w:rsid w:val="76C4A1C3"/>
    <w:rsid w:val="76C55885"/>
    <w:rsid w:val="76C7E143"/>
    <w:rsid w:val="76C81B97"/>
    <w:rsid w:val="76C91528"/>
    <w:rsid w:val="76CED21A"/>
    <w:rsid w:val="76D13C81"/>
    <w:rsid w:val="76D6B09D"/>
    <w:rsid w:val="76DABD31"/>
    <w:rsid w:val="76DB4523"/>
    <w:rsid w:val="76DF1B20"/>
    <w:rsid w:val="76E00F7B"/>
    <w:rsid w:val="76E0A716"/>
    <w:rsid w:val="76E52E0B"/>
    <w:rsid w:val="76E741F7"/>
    <w:rsid w:val="76E8BC5F"/>
    <w:rsid w:val="76EB7ACC"/>
    <w:rsid w:val="76ED8AFA"/>
    <w:rsid w:val="76EEEB2A"/>
    <w:rsid w:val="76F29C3A"/>
    <w:rsid w:val="76F479E7"/>
    <w:rsid w:val="76F91C54"/>
    <w:rsid w:val="76FA738D"/>
    <w:rsid w:val="76FCAA89"/>
    <w:rsid w:val="76FED7E1"/>
    <w:rsid w:val="770116FC"/>
    <w:rsid w:val="770132A9"/>
    <w:rsid w:val="77024A13"/>
    <w:rsid w:val="77027192"/>
    <w:rsid w:val="7702E36D"/>
    <w:rsid w:val="7703E07A"/>
    <w:rsid w:val="7705E766"/>
    <w:rsid w:val="7708C3AE"/>
    <w:rsid w:val="770AB559"/>
    <w:rsid w:val="770C8119"/>
    <w:rsid w:val="770CD12A"/>
    <w:rsid w:val="770E5219"/>
    <w:rsid w:val="770FC1A7"/>
    <w:rsid w:val="771150E1"/>
    <w:rsid w:val="7717D3BA"/>
    <w:rsid w:val="771AAD32"/>
    <w:rsid w:val="771B28CC"/>
    <w:rsid w:val="771CB3D1"/>
    <w:rsid w:val="771CE11D"/>
    <w:rsid w:val="771F3B9F"/>
    <w:rsid w:val="77233700"/>
    <w:rsid w:val="772454D8"/>
    <w:rsid w:val="7729C7C9"/>
    <w:rsid w:val="772A09DA"/>
    <w:rsid w:val="772E80B1"/>
    <w:rsid w:val="773137A8"/>
    <w:rsid w:val="7733B6CE"/>
    <w:rsid w:val="7734C959"/>
    <w:rsid w:val="773854E2"/>
    <w:rsid w:val="77391EEE"/>
    <w:rsid w:val="773DD799"/>
    <w:rsid w:val="773FD136"/>
    <w:rsid w:val="7743DE5B"/>
    <w:rsid w:val="774833A4"/>
    <w:rsid w:val="774D6033"/>
    <w:rsid w:val="774EDDC9"/>
    <w:rsid w:val="77516F40"/>
    <w:rsid w:val="77518D97"/>
    <w:rsid w:val="77521294"/>
    <w:rsid w:val="7752442B"/>
    <w:rsid w:val="775502B5"/>
    <w:rsid w:val="77558FBC"/>
    <w:rsid w:val="77570A59"/>
    <w:rsid w:val="7757172F"/>
    <w:rsid w:val="7757F77F"/>
    <w:rsid w:val="7759D4CD"/>
    <w:rsid w:val="775B98A7"/>
    <w:rsid w:val="775C0A80"/>
    <w:rsid w:val="77609ED4"/>
    <w:rsid w:val="77613DBB"/>
    <w:rsid w:val="7764B79A"/>
    <w:rsid w:val="776CE1FC"/>
    <w:rsid w:val="776E42E9"/>
    <w:rsid w:val="777300A9"/>
    <w:rsid w:val="7776A7FC"/>
    <w:rsid w:val="77777A8B"/>
    <w:rsid w:val="7778407E"/>
    <w:rsid w:val="777AD51C"/>
    <w:rsid w:val="777BAD11"/>
    <w:rsid w:val="777EEDCA"/>
    <w:rsid w:val="7781253F"/>
    <w:rsid w:val="7786D5B4"/>
    <w:rsid w:val="7788B9A4"/>
    <w:rsid w:val="778BF92F"/>
    <w:rsid w:val="778D5DC2"/>
    <w:rsid w:val="778FDDFC"/>
    <w:rsid w:val="7790FFEE"/>
    <w:rsid w:val="779207CE"/>
    <w:rsid w:val="7795754A"/>
    <w:rsid w:val="779764D3"/>
    <w:rsid w:val="779AAA9B"/>
    <w:rsid w:val="779AC811"/>
    <w:rsid w:val="779AD0DC"/>
    <w:rsid w:val="779D2319"/>
    <w:rsid w:val="77A819E7"/>
    <w:rsid w:val="77A97127"/>
    <w:rsid w:val="77AAB837"/>
    <w:rsid w:val="77AE2ACA"/>
    <w:rsid w:val="77AED049"/>
    <w:rsid w:val="77B22110"/>
    <w:rsid w:val="77B355B2"/>
    <w:rsid w:val="77B4A402"/>
    <w:rsid w:val="77B6670C"/>
    <w:rsid w:val="77B9FE69"/>
    <w:rsid w:val="77BB18E4"/>
    <w:rsid w:val="77C165F0"/>
    <w:rsid w:val="77C43B09"/>
    <w:rsid w:val="77C68222"/>
    <w:rsid w:val="77C98C9E"/>
    <w:rsid w:val="77CA913E"/>
    <w:rsid w:val="77CC635D"/>
    <w:rsid w:val="77CD8C63"/>
    <w:rsid w:val="77CE5BA6"/>
    <w:rsid w:val="77D105B0"/>
    <w:rsid w:val="77D29498"/>
    <w:rsid w:val="77D3F282"/>
    <w:rsid w:val="77D449BE"/>
    <w:rsid w:val="77D6CE10"/>
    <w:rsid w:val="77D6F26D"/>
    <w:rsid w:val="77D72AAE"/>
    <w:rsid w:val="77D82E26"/>
    <w:rsid w:val="77D8754C"/>
    <w:rsid w:val="77D87C80"/>
    <w:rsid w:val="77D91752"/>
    <w:rsid w:val="77DB06BB"/>
    <w:rsid w:val="77DD06A8"/>
    <w:rsid w:val="77DD6569"/>
    <w:rsid w:val="77DDA86A"/>
    <w:rsid w:val="77DE23BC"/>
    <w:rsid w:val="77DE912A"/>
    <w:rsid w:val="77E07291"/>
    <w:rsid w:val="77E44C9F"/>
    <w:rsid w:val="77E7BDE1"/>
    <w:rsid w:val="77E89DDA"/>
    <w:rsid w:val="77EA1AEF"/>
    <w:rsid w:val="77EDBBF1"/>
    <w:rsid w:val="77EEF92C"/>
    <w:rsid w:val="77EF8BB0"/>
    <w:rsid w:val="77F19E0A"/>
    <w:rsid w:val="77F4E179"/>
    <w:rsid w:val="77F75228"/>
    <w:rsid w:val="77F81F70"/>
    <w:rsid w:val="77F8AA6B"/>
    <w:rsid w:val="77FAC261"/>
    <w:rsid w:val="77FC83AF"/>
    <w:rsid w:val="77FCFDEC"/>
    <w:rsid w:val="77FD8A06"/>
    <w:rsid w:val="77FDBDE2"/>
    <w:rsid w:val="77FE35D5"/>
    <w:rsid w:val="77FE8292"/>
    <w:rsid w:val="77FEB192"/>
    <w:rsid w:val="78009296"/>
    <w:rsid w:val="7800B0C1"/>
    <w:rsid w:val="7806689D"/>
    <w:rsid w:val="7806A379"/>
    <w:rsid w:val="7806AF10"/>
    <w:rsid w:val="78071451"/>
    <w:rsid w:val="780BE599"/>
    <w:rsid w:val="7810E160"/>
    <w:rsid w:val="7811B48E"/>
    <w:rsid w:val="7811CA7E"/>
    <w:rsid w:val="7811F29F"/>
    <w:rsid w:val="7812928C"/>
    <w:rsid w:val="7814935D"/>
    <w:rsid w:val="7815465E"/>
    <w:rsid w:val="78177952"/>
    <w:rsid w:val="7817D41E"/>
    <w:rsid w:val="78185FF1"/>
    <w:rsid w:val="7818E0D5"/>
    <w:rsid w:val="781A53B7"/>
    <w:rsid w:val="781D0CBE"/>
    <w:rsid w:val="78208FE1"/>
    <w:rsid w:val="782195D4"/>
    <w:rsid w:val="78229FB9"/>
    <w:rsid w:val="7824C8FB"/>
    <w:rsid w:val="7828E483"/>
    <w:rsid w:val="782A7A3A"/>
    <w:rsid w:val="782AE3AE"/>
    <w:rsid w:val="782BE5CE"/>
    <w:rsid w:val="782EEEA6"/>
    <w:rsid w:val="78302F87"/>
    <w:rsid w:val="78323F59"/>
    <w:rsid w:val="783597AD"/>
    <w:rsid w:val="783667EA"/>
    <w:rsid w:val="7838492E"/>
    <w:rsid w:val="783CDCCE"/>
    <w:rsid w:val="783F5DF3"/>
    <w:rsid w:val="78412C41"/>
    <w:rsid w:val="7841836A"/>
    <w:rsid w:val="78431540"/>
    <w:rsid w:val="7845BA27"/>
    <w:rsid w:val="784939AB"/>
    <w:rsid w:val="7849AAEF"/>
    <w:rsid w:val="784A0A92"/>
    <w:rsid w:val="784DE530"/>
    <w:rsid w:val="784E6D18"/>
    <w:rsid w:val="784F7C6B"/>
    <w:rsid w:val="78517F5F"/>
    <w:rsid w:val="7853A280"/>
    <w:rsid w:val="78543ACA"/>
    <w:rsid w:val="7854AD92"/>
    <w:rsid w:val="78579044"/>
    <w:rsid w:val="7858C672"/>
    <w:rsid w:val="78592ADA"/>
    <w:rsid w:val="785B07CD"/>
    <w:rsid w:val="785DA22B"/>
    <w:rsid w:val="7860934C"/>
    <w:rsid w:val="7862A59D"/>
    <w:rsid w:val="7863B07C"/>
    <w:rsid w:val="78640789"/>
    <w:rsid w:val="78646BA8"/>
    <w:rsid w:val="7865A478"/>
    <w:rsid w:val="7865E669"/>
    <w:rsid w:val="7866D668"/>
    <w:rsid w:val="78679C13"/>
    <w:rsid w:val="7867E62C"/>
    <w:rsid w:val="78689BF9"/>
    <w:rsid w:val="78693C80"/>
    <w:rsid w:val="7869E045"/>
    <w:rsid w:val="786C2E38"/>
    <w:rsid w:val="786EC261"/>
    <w:rsid w:val="78707091"/>
    <w:rsid w:val="78737E51"/>
    <w:rsid w:val="78752F80"/>
    <w:rsid w:val="7876617C"/>
    <w:rsid w:val="78771E96"/>
    <w:rsid w:val="787886B2"/>
    <w:rsid w:val="787B2E12"/>
    <w:rsid w:val="787D72B7"/>
    <w:rsid w:val="787DD5AB"/>
    <w:rsid w:val="787E5594"/>
    <w:rsid w:val="787F0E34"/>
    <w:rsid w:val="78810295"/>
    <w:rsid w:val="7882AF08"/>
    <w:rsid w:val="788373E2"/>
    <w:rsid w:val="7883DFA2"/>
    <w:rsid w:val="78848A5A"/>
    <w:rsid w:val="788901CF"/>
    <w:rsid w:val="788D0400"/>
    <w:rsid w:val="788D1ED4"/>
    <w:rsid w:val="788D837B"/>
    <w:rsid w:val="788EBC75"/>
    <w:rsid w:val="78916E77"/>
    <w:rsid w:val="789334DC"/>
    <w:rsid w:val="789837F2"/>
    <w:rsid w:val="78983B2B"/>
    <w:rsid w:val="7898FFA6"/>
    <w:rsid w:val="78990071"/>
    <w:rsid w:val="789A2E54"/>
    <w:rsid w:val="789D030A"/>
    <w:rsid w:val="78A33238"/>
    <w:rsid w:val="78A6E3B9"/>
    <w:rsid w:val="78A736C4"/>
    <w:rsid w:val="78ABEA63"/>
    <w:rsid w:val="78AC6B3F"/>
    <w:rsid w:val="78AF0CA9"/>
    <w:rsid w:val="78B039B8"/>
    <w:rsid w:val="78B0E654"/>
    <w:rsid w:val="78B1C9E3"/>
    <w:rsid w:val="78B29180"/>
    <w:rsid w:val="78B7A2F3"/>
    <w:rsid w:val="78BA297B"/>
    <w:rsid w:val="78BA933C"/>
    <w:rsid w:val="78BAA43C"/>
    <w:rsid w:val="78BB21E6"/>
    <w:rsid w:val="78BBC50A"/>
    <w:rsid w:val="78BC5712"/>
    <w:rsid w:val="78BCBC11"/>
    <w:rsid w:val="78BD8E79"/>
    <w:rsid w:val="78BDECD8"/>
    <w:rsid w:val="78C247CD"/>
    <w:rsid w:val="78C2F473"/>
    <w:rsid w:val="78C72F0D"/>
    <w:rsid w:val="78CA884D"/>
    <w:rsid w:val="78CD7E83"/>
    <w:rsid w:val="78D01E09"/>
    <w:rsid w:val="78D107CE"/>
    <w:rsid w:val="78D16868"/>
    <w:rsid w:val="78D2692A"/>
    <w:rsid w:val="78D42DB2"/>
    <w:rsid w:val="78D5511E"/>
    <w:rsid w:val="78D90C3A"/>
    <w:rsid w:val="78DAB060"/>
    <w:rsid w:val="78DC633F"/>
    <w:rsid w:val="78E0B8A9"/>
    <w:rsid w:val="78E3BBDB"/>
    <w:rsid w:val="78E54EC0"/>
    <w:rsid w:val="78E5C016"/>
    <w:rsid w:val="78E6252C"/>
    <w:rsid w:val="78E86FD7"/>
    <w:rsid w:val="78EECA1C"/>
    <w:rsid w:val="78EEDF81"/>
    <w:rsid w:val="78F3628C"/>
    <w:rsid w:val="78F58C1C"/>
    <w:rsid w:val="78F9F709"/>
    <w:rsid w:val="78FE5449"/>
    <w:rsid w:val="78FEFF10"/>
    <w:rsid w:val="78FFB636"/>
    <w:rsid w:val="7900205A"/>
    <w:rsid w:val="7900368E"/>
    <w:rsid w:val="7902820E"/>
    <w:rsid w:val="7903BDC0"/>
    <w:rsid w:val="790965BA"/>
    <w:rsid w:val="790F780F"/>
    <w:rsid w:val="7911A047"/>
    <w:rsid w:val="79144324"/>
    <w:rsid w:val="7916E518"/>
    <w:rsid w:val="791A579D"/>
    <w:rsid w:val="791BD494"/>
    <w:rsid w:val="791C8023"/>
    <w:rsid w:val="791DFEDA"/>
    <w:rsid w:val="791F1A33"/>
    <w:rsid w:val="791F8AA5"/>
    <w:rsid w:val="79246737"/>
    <w:rsid w:val="7925B82B"/>
    <w:rsid w:val="79287419"/>
    <w:rsid w:val="7928F7E9"/>
    <w:rsid w:val="792A88A5"/>
    <w:rsid w:val="792AEC80"/>
    <w:rsid w:val="793698D4"/>
    <w:rsid w:val="7937C2E9"/>
    <w:rsid w:val="793A6EAA"/>
    <w:rsid w:val="794084CC"/>
    <w:rsid w:val="794312D2"/>
    <w:rsid w:val="79447400"/>
    <w:rsid w:val="79483E24"/>
    <w:rsid w:val="794C3351"/>
    <w:rsid w:val="794C395A"/>
    <w:rsid w:val="794CEABD"/>
    <w:rsid w:val="794DDDE6"/>
    <w:rsid w:val="79509E29"/>
    <w:rsid w:val="79519933"/>
    <w:rsid w:val="7951DDE9"/>
    <w:rsid w:val="79540EE9"/>
    <w:rsid w:val="7955B00C"/>
    <w:rsid w:val="7955E768"/>
    <w:rsid w:val="79577500"/>
    <w:rsid w:val="7957B860"/>
    <w:rsid w:val="7959E313"/>
    <w:rsid w:val="795C77C7"/>
    <w:rsid w:val="795CDC73"/>
    <w:rsid w:val="79620672"/>
    <w:rsid w:val="79623971"/>
    <w:rsid w:val="79625843"/>
    <w:rsid w:val="79649B17"/>
    <w:rsid w:val="7964CF03"/>
    <w:rsid w:val="79662A5F"/>
    <w:rsid w:val="79687B78"/>
    <w:rsid w:val="7968E4DD"/>
    <w:rsid w:val="79693A45"/>
    <w:rsid w:val="7969C3B3"/>
    <w:rsid w:val="796C088C"/>
    <w:rsid w:val="796CB48A"/>
    <w:rsid w:val="796E0BF5"/>
    <w:rsid w:val="7971A645"/>
    <w:rsid w:val="79727FC4"/>
    <w:rsid w:val="7976A480"/>
    <w:rsid w:val="79774D9D"/>
    <w:rsid w:val="7979B3D0"/>
    <w:rsid w:val="797A0202"/>
    <w:rsid w:val="797B020A"/>
    <w:rsid w:val="797BFF5B"/>
    <w:rsid w:val="797DC5B7"/>
    <w:rsid w:val="797E5185"/>
    <w:rsid w:val="7982EC10"/>
    <w:rsid w:val="79867F2A"/>
    <w:rsid w:val="79874834"/>
    <w:rsid w:val="7988B0D9"/>
    <w:rsid w:val="798BA14C"/>
    <w:rsid w:val="798C2D9E"/>
    <w:rsid w:val="79926DC1"/>
    <w:rsid w:val="7993B0A5"/>
    <w:rsid w:val="79954EEA"/>
    <w:rsid w:val="79984EAD"/>
    <w:rsid w:val="799A235A"/>
    <w:rsid w:val="799A4718"/>
    <w:rsid w:val="799B1F52"/>
    <w:rsid w:val="799D2400"/>
    <w:rsid w:val="799E64B3"/>
    <w:rsid w:val="79A14BA3"/>
    <w:rsid w:val="79A6E8C2"/>
    <w:rsid w:val="79AEE7B0"/>
    <w:rsid w:val="79B08917"/>
    <w:rsid w:val="79B5AB20"/>
    <w:rsid w:val="79B7B05B"/>
    <w:rsid w:val="79BACC57"/>
    <w:rsid w:val="79BDF908"/>
    <w:rsid w:val="79BE1527"/>
    <w:rsid w:val="79BEBFCB"/>
    <w:rsid w:val="79C1F380"/>
    <w:rsid w:val="79C229BD"/>
    <w:rsid w:val="79C4703F"/>
    <w:rsid w:val="79C4B25A"/>
    <w:rsid w:val="79C8E7D7"/>
    <w:rsid w:val="79CA9940"/>
    <w:rsid w:val="79CBCF84"/>
    <w:rsid w:val="79D2F18F"/>
    <w:rsid w:val="79D3E939"/>
    <w:rsid w:val="79D52DDF"/>
    <w:rsid w:val="79D5F10D"/>
    <w:rsid w:val="79D81A44"/>
    <w:rsid w:val="79D82B43"/>
    <w:rsid w:val="79DA855F"/>
    <w:rsid w:val="79DD88D0"/>
    <w:rsid w:val="79E3FB68"/>
    <w:rsid w:val="79E4E2F6"/>
    <w:rsid w:val="79E936B1"/>
    <w:rsid w:val="79EBD80A"/>
    <w:rsid w:val="79ECEC10"/>
    <w:rsid w:val="79EFB92F"/>
    <w:rsid w:val="79F1FCED"/>
    <w:rsid w:val="79F25A8C"/>
    <w:rsid w:val="79F297E2"/>
    <w:rsid w:val="79F2C055"/>
    <w:rsid w:val="79F74234"/>
    <w:rsid w:val="79F9084A"/>
    <w:rsid w:val="79FA2906"/>
    <w:rsid w:val="79FB28EB"/>
    <w:rsid w:val="79FC2EA9"/>
    <w:rsid w:val="79FD2A70"/>
    <w:rsid w:val="7A023E81"/>
    <w:rsid w:val="7A02E21B"/>
    <w:rsid w:val="7A0578D4"/>
    <w:rsid w:val="7A069D9B"/>
    <w:rsid w:val="7A081072"/>
    <w:rsid w:val="7A085029"/>
    <w:rsid w:val="7A091C0F"/>
    <w:rsid w:val="7A09F254"/>
    <w:rsid w:val="7A0BADA2"/>
    <w:rsid w:val="7A0D9A8D"/>
    <w:rsid w:val="7A0F261E"/>
    <w:rsid w:val="7A11260E"/>
    <w:rsid w:val="7A18ED17"/>
    <w:rsid w:val="7A1D7DF4"/>
    <w:rsid w:val="7A1E8121"/>
    <w:rsid w:val="7A1F8D91"/>
    <w:rsid w:val="7A22240A"/>
    <w:rsid w:val="7A225EE6"/>
    <w:rsid w:val="7A2712EA"/>
    <w:rsid w:val="7A27C9F6"/>
    <w:rsid w:val="7A291C87"/>
    <w:rsid w:val="7A2A18F9"/>
    <w:rsid w:val="7A2EAF1E"/>
    <w:rsid w:val="7A2F5D60"/>
    <w:rsid w:val="7A2FC073"/>
    <w:rsid w:val="7A314ED2"/>
    <w:rsid w:val="7A3441FA"/>
    <w:rsid w:val="7A3ADFAD"/>
    <w:rsid w:val="7A3AE7C9"/>
    <w:rsid w:val="7A3B4319"/>
    <w:rsid w:val="7A3CD17F"/>
    <w:rsid w:val="7A3ED979"/>
    <w:rsid w:val="7A411D4E"/>
    <w:rsid w:val="7A43581A"/>
    <w:rsid w:val="7A472349"/>
    <w:rsid w:val="7A4900CB"/>
    <w:rsid w:val="7A4B94A3"/>
    <w:rsid w:val="7A4CBE88"/>
    <w:rsid w:val="7A533489"/>
    <w:rsid w:val="7A5339DD"/>
    <w:rsid w:val="7A549CBE"/>
    <w:rsid w:val="7A569769"/>
    <w:rsid w:val="7A57EF1C"/>
    <w:rsid w:val="7A57FA52"/>
    <w:rsid w:val="7A581E1C"/>
    <w:rsid w:val="7A58F0EF"/>
    <w:rsid w:val="7A5E0A74"/>
    <w:rsid w:val="7A5E12A4"/>
    <w:rsid w:val="7A638FE4"/>
    <w:rsid w:val="7A64F45B"/>
    <w:rsid w:val="7A64F571"/>
    <w:rsid w:val="7A66D75D"/>
    <w:rsid w:val="7A678889"/>
    <w:rsid w:val="7A6A43D7"/>
    <w:rsid w:val="7A6A7E63"/>
    <w:rsid w:val="7A6C5227"/>
    <w:rsid w:val="7A6D564D"/>
    <w:rsid w:val="7A6EF29E"/>
    <w:rsid w:val="7A73699E"/>
    <w:rsid w:val="7A73B294"/>
    <w:rsid w:val="7A73B6E3"/>
    <w:rsid w:val="7A76F278"/>
    <w:rsid w:val="7A77698F"/>
    <w:rsid w:val="7A7D3FAF"/>
    <w:rsid w:val="7A7E1089"/>
    <w:rsid w:val="7A8088CA"/>
    <w:rsid w:val="7A8225FE"/>
    <w:rsid w:val="7A85BE0C"/>
    <w:rsid w:val="7A86FA28"/>
    <w:rsid w:val="7A88BC7C"/>
    <w:rsid w:val="7A88D2D3"/>
    <w:rsid w:val="7A8A4B65"/>
    <w:rsid w:val="7A8AF18D"/>
    <w:rsid w:val="7A8DBE36"/>
    <w:rsid w:val="7A8E9C2A"/>
    <w:rsid w:val="7A90D5B1"/>
    <w:rsid w:val="7A9260B4"/>
    <w:rsid w:val="7A931DCD"/>
    <w:rsid w:val="7A93B9CD"/>
    <w:rsid w:val="7A956350"/>
    <w:rsid w:val="7A98EFE5"/>
    <w:rsid w:val="7A9C8DE4"/>
    <w:rsid w:val="7AA78C43"/>
    <w:rsid w:val="7AA8E800"/>
    <w:rsid w:val="7AAA3ECF"/>
    <w:rsid w:val="7AAAA09E"/>
    <w:rsid w:val="7AB1016B"/>
    <w:rsid w:val="7AB3785E"/>
    <w:rsid w:val="7AB8FF05"/>
    <w:rsid w:val="7AB9B9C8"/>
    <w:rsid w:val="7AB9DA05"/>
    <w:rsid w:val="7ABA6377"/>
    <w:rsid w:val="7ABEF5F3"/>
    <w:rsid w:val="7ABF2230"/>
    <w:rsid w:val="7AC05ABB"/>
    <w:rsid w:val="7AC63D28"/>
    <w:rsid w:val="7AC73525"/>
    <w:rsid w:val="7AC7830D"/>
    <w:rsid w:val="7ACDA4CB"/>
    <w:rsid w:val="7ACFECCD"/>
    <w:rsid w:val="7ACFF6D4"/>
    <w:rsid w:val="7AD0AF2F"/>
    <w:rsid w:val="7AD22C32"/>
    <w:rsid w:val="7AD2D111"/>
    <w:rsid w:val="7AD5DF3F"/>
    <w:rsid w:val="7ADCAD01"/>
    <w:rsid w:val="7ADCEAF2"/>
    <w:rsid w:val="7ADD1F95"/>
    <w:rsid w:val="7ADE65F9"/>
    <w:rsid w:val="7ADECAE5"/>
    <w:rsid w:val="7ADF2D61"/>
    <w:rsid w:val="7AE1CD4F"/>
    <w:rsid w:val="7AE24DF6"/>
    <w:rsid w:val="7AE26D86"/>
    <w:rsid w:val="7AE4DEED"/>
    <w:rsid w:val="7AE7FE88"/>
    <w:rsid w:val="7AE869CF"/>
    <w:rsid w:val="7AE967C6"/>
    <w:rsid w:val="7AECE900"/>
    <w:rsid w:val="7AF0EA8E"/>
    <w:rsid w:val="7AF5E114"/>
    <w:rsid w:val="7AF6BBFB"/>
    <w:rsid w:val="7AFAC7D3"/>
    <w:rsid w:val="7AFB52AC"/>
    <w:rsid w:val="7AFC7D77"/>
    <w:rsid w:val="7AFE4530"/>
    <w:rsid w:val="7AFF635F"/>
    <w:rsid w:val="7B00A4EE"/>
    <w:rsid w:val="7B00FD3C"/>
    <w:rsid w:val="7B021FE6"/>
    <w:rsid w:val="7B074578"/>
    <w:rsid w:val="7B0BA82E"/>
    <w:rsid w:val="7B0C796A"/>
    <w:rsid w:val="7B0EFB81"/>
    <w:rsid w:val="7B11C283"/>
    <w:rsid w:val="7B121D6C"/>
    <w:rsid w:val="7B137E16"/>
    <w:rsid w:val="7B14EC30"/>
    <w:rsid w:val="7B181E1A"/>
    <w:rsid w:val="7B1870E7"/>
    <w:rsid w:val="7B21B656"/>
    <w:rsid w:val="7B224CC2"/>
    <w:rsid w:val="7B227B63"/>
    <w:rsid w:val="7B2869C6"/>
    <w:rsid w:val="7B2EED3B"/>
    <w:rsid w:val="7B336FCD"/>
    <w:rsid w:val="7B360AFA"/>
    <w:rsid w:val="7B361048"/>
    <w:rsid w:val="7B3C3F1F"/>
    <w:rsid w:val="7B3D1176"/>
    <w:rsid w:val="7B3E31C2"/>
    <w:rsid w:val="7B3F6F24"/>
    <w:rsid w:val="7B3FA583"/>
    <w:rsid w:val="7B436374"/>
    <w:rsid w:val="7B45CDE0"/>
    <w:rsid w:val="7B47A169"/>
    <w:rsid w:val="7B47BEF3"/>
    <w:rsid w:val="7B47C326"/>
    <w:rsid w:val="7B485F84"/>
    <w:rsid w:val="7B48C218"/>
    <w:rsid w:val="7B4A34FF"/>
    <w:rsid w:val="7B4ACFF6"/>
    <w:rsid w:val="7B4C666C"/>
    <w:rsid w:val="7B4E8546"/>
    <w:rsid w:val="7B4FD6AA"/>
    <w:rsid w:val="7B521C17"/>
    <w:rsid w:val="7B52E0CD"/>
    <w:rsid w:val="7B579472"/>
    <w:rsid w:val="7B57A92C"/>
    <w:rsid w:val="7B5B5ACA"/>
    <w:rsid w:val="7B5CAE00"/>
    <w:rsid w:val="7B5CE8CA"/>
    <w:rsid w:val="7B5D6EEC"/>
    <w:rsid w:val="7B5E0FDE"/>
    <w:rsid w:val="7B5F71F7"/>
    <w:rsid w:val="7B6750B9"/>
    <w:rsid w:val="7B68B1F0"/>
    <w:rsid w:val="7B6BEC61"/>
    <w:rsid w:val="7B6E09EF"/>
    <w:rsid w:val="7B70AE9A"/>
    <w:rsid w:val="7B70B597"/>
    <w:rsid w:val="7B713ECF"/>
    <w:rsid w:val="7B71B434"/>
    <w:rsid w:val="7B74A93A"/>
    <w:rsid w:val="7B74F1B8"/>
    <w:rsid w:val="7B77C7D7"/>
    <w:rsid w:val="7B78FFC1"/>
    <w:rsid w:val="7B7B3707"/>
    <w:rsid w:val="7B7D0C2B"/>
    <w:rsid w:val="7B7F49D1"/>
    <w:rsid w:val="7B7FA528"/>
    <w:rsid w:val="7B81B034"/>
    <w:rsid w:val="7B81CF47"/>
    <w:rsid w:val="7B81E5DE"/>
    <w:rsid w:val="7B8401FD"/>
    <w:rsid w:val="7B864526"/>
    <w:rsid w:val="7B8C8FA4"/>
    <w:rsid w:val="7B94A7E0"/>
    <w:rsid w:val="7B958C6A"/>
    <w:rsid w:val="7B9DF05E"/>
    <w:rsid w:val="7BA20E3A"/>
    <w:rsid w:val="7BA29F76"/>
    <w:rsid w:val="7BAAE020"/>
    <w:rsid w:val="7BAB6EC7"/>
    <w:rsid w:val="7BAC552F"/>
    <w:rsid w:val="7BB04B35"/>
    <w:rsid w:val="7BB63789"/>
    <w:rsid w:val="7BB8D730"/>
    <w:rsid w:val="7BB9E8A7"/>
    <w:rsid w:val="7BBA6A90"/>
    <w:rsid w:val="7BBBB46F"/>
    <w:rsid w:val="7BBDF259"/>
    <w:rsid w:val="7BBE1CEB"/>
    <w:rsid w:val="7BBE524F"/>
    <w:rsid w:val="7BBFA4AD"/>
    <w:rsid w:val="7BC06B36"/>
    <w:rsid w:val="7BC190FE"/>
    <w:rsid w:val="7BC34A25"/>
    <w:rsid w:val="7BC41138"/>
    <w:rsid w:val="7BC5F949"/>
    <w:rsid w:val="7BC690D9"/>
    <w:rsid w:val="7BCB1E95"/>
    <w:rsid w:val="7BCECE70"/>
    <w:rsid w:val="7BCFA0BE"/>
    <w:rsid w:val="7BD0A7BC"/>
    <w:rsid w:val="7BD3F2F1"/>
    <w:rsid w:val="7BD6E706"/>
    <w:rsid w:val="7BD97701"/>
    <w:rsid w:val="7BD9E4AC"/>
    <w:rsid w:val="7BDA6FB2"/>
    <w:rsid w:val="7BDAB8DF"/>
    <w:rsid w:val="7BDC4F46"/>
    <w:rsid w:val="7BDCB473"/>
    <w:rsid w:val="7BDE6DFC"/>
    <w:rsid w:val="7BDEA834"/>
    <w:rsid w:val="7BE4E95E"/>
    <w:rsid w:val="7BE6D083"/>
    <w:rsid w:val="7BEB110A"/>
    <w:rsid w:val="7BF0D95C"/>
    <w:rsid w:val="7BF2D09C"/>
    <w:rsid w:val="7BF2D616"/>
    <w:rsid w:val="7BF2E865"/>
    <w:rsid w:val="7BF4301A"/>
    <w:rsid w:val="7BF71C55"/>
    <w:rsid w:val="7BF812EA"/>
    <w:rsid w:val="7BF8730D"/>
    <w:rsid w:val="7BF914CA"/>
    <w:rsid w:val="7BFDE809"/>
    <w:rsid w:val="7BFFD670"/>
    <w:rsid w:val="7C046D3A"/>
    <w:rsid w:val="7C047AD8"/>
    <w:rsid w:val="7C057731"/>
    <w:rsid w:val="7C07904F"/>
    <w:rsid w:val="7C0B4DCB"/>
    <w:rsid w:val="7C0BAAC4"/>
    <w:rsid w:val="7C0E1F46"/>
    <w:rsid w:val="7C101FAE"/>
    <w:rsid w:val="7C148A72"/>
    <w:rsid w:val="7C149773"/>
    <w:rsid w:val="7C17AAC1"/>
    <w:rsid w:val="7C17D501"/>
    <w:rsid w:val="7C189596"/>
    <w:rsid w:val="7C19BAB9"/>
    <w:rsid w:val="7C1BFD43"/>
    <w:rsid w:val="7C1D8C21"/>
    <w:rsid w:val="7C1DF002"/>
    <w:rsid w:val="7C20CE18"/>
    <w:rsid w:val="7C211DC3"/>
    <w:rsid w:val="7C222512"/>
    <w:rsid w:val="7C22D423"/>
    <w:rsid w:val="7C2441FB"/>
    <w:rsid w:val="7C2567F6"/>
    <w:rsid w:val="7C271222"/>
    <w:rsid w:val="7C2F48B7"/>
    <w:rsid w:val="7C2FF2E6"/>
    <w:rsid w:val="7C32FC2A"/>
    <w:rsid w:val="7C34C035"/>
    <w:rsid w:val="7C36288F"/>
    <w:rsid w:val="7C372E66"/>
    <w:rsid w:val="7C37543A"/>
    <w:rsid w:val="7C3A402D"/>
    <w:rsid w:val="7C3B532A"/>
    <w:rsid w:val="7C3C0329"/>
    <w:rsid w:val="7C3DFAEA"/>
    <w:rsid w:val="7C3E1CCE"/>
    <w:rsid w:val="7C40121C"/>
    <w:rsid w:val="7C41CBB1"/>
    <w:rsid w:val="7C44F062"/>
    <w:rsid w:val="7C45CAD7"/>
    <w:rsid w:val="7C48363E"/>
    <w:rsid w:val="7C48B0D7"/>
    <w:rsid w:val="7C4920F2"/>
    <w:rsid w:val="7C492974"/>
    <w:rsid w:val="7C49E6E3"/>
    <w:rsid w:val="7C4ACCA2"/>
    <w:rsid w:val="7C4B0E62"/>
    <w:rsid w:val="7C4B8B4B"/>
    <w:rsid w:val="7C4BD525"/>
    <w:rsid w:val="7C50900A"/>
    <w:rsid w:val="7C539F48"/>
    <w:rsid w:val="7C54372A"/>
    <w:rsid w:val="7C5688E9"/>
    <w:rsid w:val="7C5B569C"/>
    <w:rsid w:val="7C5B9619"/>
    <w:rsid w:val="7C5D2FA9"/>
    <w:rsid w:val="7C5DE8FF"/>
    <w:rsid w:val="7C602FDE"/>
    <w:rsid w:val="7C6213B1"/>
    <w:rsid w:val="7C62C183"/>
    <w:rsid w:val="7C646F32"/>
    <w:rsid w:val="7C6A38A1"/>
    <w:rsid w:val="7C6B243A"/>
    <w:rsid w:val="7C6B59B2"/>
    <w:rsid w:val="7C6CC39E"/>
    <w:rsid w:val="7C6D3845"/>
    <w:rsid w:val="7C6E9B2A"/>
    <w:rsid w:val="7C6FAE77"/>
    <w:rsid w:val="7C708663"/>
    <w:rsid w:val="7C72D71B"/>
    <w:rsid w:val="7C783ABC"/>
    <w:rsid w:val="7C7B0446"/>
    <w:rsid w:val="7C7BA727"/>
    <w:rsid w:val="7C812593"/>
    <w:rsid w:val="7C819A17"/>
    <w:rsid w:val="7C81A721"/>
    <w:rsid w:val="7C82AF42"/>
    <w:rsid w:val="7C84E24A"/>
    <w:rsid w:val="7C865013"/>
    <w:rsid w:val="7C895016"/>
    <w:rsid w:val="7C8FC20E"/>
    <w:rsid w:val="7C934320"/>
    <w:rsid w:val="7C94BEA4"/>
    <w:rsid w:val="7C97036E"/>
    <w:rsid w:val="7C9A5661"/>
    <w:rsid w:val="7C9EB864"/>
    <w:rsid w:val="7C9EE132"/>
    <w:rsid w:val="7CA2831C"/>
    <w:rsid w:val="7CA312E9"/>
    <w:rsid w:val="7CA42DF0"/>
    <w:rsid w:val="7CA47567"/>
    <w:rsid w:val="7CA60769"/>
    <w:rsid w:val="7CA8A0F7"/>
    <w:rsid w:val="7CAC497F"/>
    <w:rsid w:val="7CAE91E0"/>
    <w:rsid w:val="7CAEBAEC"/>
    <w:rsid w:val="7CAEC5EC"/>
    <w:rsid w:val="7CB29F4C"/>
    <w:rsid w:val="7CB4DFD6"/>
    <w:rsid w:val="7CB718A7"/>
    <w:rsid w:val="7CB75C01"/>
    <w:rsid w:val="7CB95B37"/>
    <w:rsid w:val="7CBC46E2"/>
    <w:rsid w:val="7CBDC2A2"/>
    <w:rsid w:val="7CBF21D8"/>
    <w:rsid w:val="7CC2F350"/>
    <w:rsid w:val="7CC7D526"/>
    <w:rsid w:val="7CC89A0A"/>
    <w:rsid w:val="7CCA6BB7"/>
    <w:rsid w:val="7CCC286F"/>
    <w:rsid w:val="7CCE09A8"/>
    <w:rsid w:val="7CCE949B"/>
    <w:rsid w:val="7CD27DE3"/>
    <w:rsid w:val="7CD328A0"/>
    <w:rsid w:val="7CD3A04D"/>
    <w:rsid w:val="7CD459CC"/>
    <w:rsid w:val="7CD6F172"/>
    <w:rsid w:val="7CD88B12"/>
    <w:rsid w:val="7CD8D85D"/>
    <w:rsid w:val="7CDA1228"/>
    <w:rsid w:val="7CDA4809"/>
    <w:rsid w:val="7CDBE9B2"/>
    <w:rsid w:val="7CDE0CE4"/>
    <w:rsid w:val="7CDFB2A1"/>
    <w:rsid w:val="7CE1EDB8"/>
    <w:rsid w:val="7CE53AD4"/>
    <w:rsid w:val="7CE6FFEE"/>
    <w:rsid w:val="7CE87DDC"/>
    <w:rsid w:val="7CE88D0A"/>
    <w:rsid w:val="7CEB92D6"/>
    <w:rsid w:val="7CEBBF39"/>
    <w:rsid w:val="7CF0EB76"/>
    <w:rsid w:val="7CF1F334"/>
    <w:rsid w:val="7CF29507"/>
    <w:rsid w:val="7CF2F320"/>
    <w:rsid w:val="7CF4976A"/>
    <w:rsid w:val="7CF6C97D"/>
    <w:rsid w:val="7CF9B231"/>
    <w:rsid w:val="7CFBA0C6"/>
    <w:rsid w:val="7D019FE1"/>
    <w:rsid w:val="7D06A127"/>
    <w:rsid w:val="7D076A93"/>
    <w:rsid w:val="7D08825B"/>
    <w:rsid w:val="7D092023"/>
    <w:rsid w:val="7D0925AA"/>
    <w:rsid w:val="7D0AC0B3"/>
    <w:rsid w:val="7D0FE310"/>
    <w:rsid w:val="7D13FEE9"/>
    <w:rsid w:val="7D14DC9D"/>
    <w:rsid w:val="7D154B8C"/>
    <w:rsid w:val="7D19EA65"/>
    <w:rsid w:val="7D1A18A1"/>
    <w:rsid w:val="7D1BD9D1"/>
    <w:rsid w:val="7D1E112D"/>
    <w:rsid w:val="7D1F2018"/>
    <w:rsid w:val="7D241D86"/>
    <w:rsid w:val="7D24A3B9"/>
    <w:rsid w:val="7D25E89B"/>
    <w:rsid w:val="7D267E02"/>
    <w:rsid w:val="7D29C87E"/>
    <w:rsid w:val="7D2B1876"/>
    <w:rsid w:val="7D2CEB4F"/>
    <w:rsid w:val="7D2DB694"/>
    <w:rsid w:val="7D2E10E7"/>
    <w:rsid w:val="7D2E78EB"/>
    <w:rsid w:val="7D3024AE"/>
    <w:rsid w:val="7D309155"/>
    <w:rsid w:val="7D374832"/>
    <w:rsid w:val="7D3766A7"/>
    <w:rsid w:val="7D3CB067"/>
    <w:rsid w:val="7D3E287D"/>
    <w:rsid w:val="7D4044FC"/>
    <w:rsid w:val="7D41152B"/>
    <w:rsid w:val="7D421812"/>
    <w:rsid w:val="7D434D3F"/>
    <w:rsid w:val="7D436C2A"/>
    <w:rsid w:val="7D441CC4"/>
    <w:rsid w:val="7D44B9D0"/>
    <w:rsid w:val="7D47727A"/>
    <w:rsid w:val="7D4849E0"/>
    <w:rsid w:val="7D486C57"/>
    <w:rsid w:val="7D48CD75"/>
    <w:rsid w:val="7D495D55"/>
    <w:rsid w:val="7D4A30F6"/>
    <w:rsid w:val="7D4C647C"/>
    <w:rsid w:val="7D4CA897"/>
    <w:rsid w:val="7D4CD1B5"/>
    <w:rsid w:val="7D5640FF"/>
    <w:rsid w:val="7D590F9D"/>
    <w:rsid w:val="7D59160A"/>
    <w:rsid w:val="7D5A8427"/>
    <w:rsid w:val="7D5C5B86"/>
    <w:rsid w:val="7D5CCD1A"/>
    <w:rsid w:val="7D5E83B8"/>
    <w:rsid w:val="7D5F9EA0"/>
    <w:rsid w:val="7D61F331"/>
    <w:rsid w:val="7D641022"/>
    <w:rsid w:val="7D64EBDA"/>
    <w:rsid w:val="7D65B6F4"/>
    <w:rsid w:val="7D65D7B2"/>
    <w:rsid w:val="7D67F3ED"/>
    <w:rsid w:val="7D6A8C93"/>
    <w:rsid w:val="7D6C4F08"/>
    <w:rsid w:val="7D6E3692"/>
    <w:rsid w:val="7D6F3A8C"/>
    <w:rsid w:val="7D704C1A"/>
    <w:rsid w:val="7D7060EC"/>
    <w:rsid w:val="7D7EC862"/>
    <w:rsid w:val="7D7F5318"/>
    <w:rsid w:val="7D801B1C"/>
    <w:rsid w:val="7D81B83F"/>
    <w:rsid w:val="7D8632CC"/>
    <w:rsid w:val="7D8837E1"/>
    <w:rsid w:val="7D88CFDA"/>
    <w:rsid w:val="7D89934A"/>
    <w:rsid w:val="7D8D44F7"/>
    <w:rsid w:val="7D8DA789"/>
    <w:rsid w:val="7D906776"/>
    <w:rsid w:val="7D90ECBE"/>
    <w:rsid w:val="7D90FD3B"/>
    <w:rsid w:val="7D916216"/>
    <w:rsid w:val="7D949B11"/>
    <w:rsid w:val="7D95991E"/>
    <w:rsid w:val="7D97D3FA"/>
    <w:rsid w:val="7D98FE11"/>
    <w:rsid w:val="7D9951FD"/>
    <w:rsid w:val="7D9B6781"/>
    <w:rsid w:val="7D9D3C06"/>
    <w:rsid w:val="7D9D760F"/>
    <w:rsid w:val="7D9D7F44"/>
    <w:rsid w:val="7D9DA10D"/>
    <w:rsid w:val="7DA2BA58"/>
    <w:rsid w:val="7DA2D9EA"/>
    <w:rsid w:val="7DA35D50"/>
    <w:rsid w:val="7DA79DAF"/>
    <w:rsid w:val="7DA81B71"/>
    <w:rsid w:val="7DA9F8C8"/>
    <w:rsid w:val="7DAAC3F0"/>
    <w:rsid w:val="7DAAF68F"/>
    <w:rsid w:val="7DB18ABE"/>
    <w:rsid w:val="7DB26766"/>
    <w:rsid w:val="7DB56ED6"/>
    <w:rsid w:val="7DB6A233"/>
    <w:rsid w:val="7DB8FD23"/>
    <w:rsid w:val="7DBA3C8D"/>
    <w:rsid w:val="7DBB5D77"/>
    <w:rsid w:val="7DBE9AEA"/>
    <w:rsid w:val="7DC0AD8C"/>
    <w:rsid w:val="7DC26A87"/>
    <w:rsid w:val="7DC330BB"/>
    <w:rsid w:val="7DC8AF93"/>
    <w:rsid w:val="7DC9AF10"/>
    <w:rsid w:val="7DCD6BA2"/>
    <w:rsid w:val="7DCD80F9"/>
    <w:rsid w:val="7DD67D9C"/>
    <w:rsid w:val="7DD7CF4A"/>
    <w:rsid w:val="7DDAC648"/>
    <w:rsid w:val="7DDB4616"/>
    <w:rsid w:val="7DDC7FF6"/>
    <w:rsid w:val="7DDD0769"/>
    <w:rsid w:val="7DDD66B7"/>
    <w:rsid w:val="7DDFEAB6"/>
    <w:rsid w:val="7DE05818"/>
    <w:rsid w:val="7DE23952"/>
    <w:rsid w:val="7DE2A64D"/>
    <w:rsid w:val="7DE37955"/>
    <w:rsid w:val="7DE39D45"/>
    <w:rsid w:val="7DE4314E"/>
    <w:rsid w:val="7DEB03D9"/>
    <w:rsid w:val="7DECF2E1"/>
    <w:rsid w:val="7DEDFE19"/>
    <w:rsid w:val="7DF479C7"/>
    <w:rsid w:val="7DF62288"/>
    <w:rsid w:val="7DFA0723"/>
    <w:rsid w:val="7DFB584A"/>
    <w:rsid w:val="7DFEE543"/>
    <w:rsid w:val="7E024147"/>
    <w:rsid w:val="7E027F30"/>
    <w:rsid w:val="7E04EC2B"/>
    <w:rsid w:val="7E04EF91"/>
    <w:rsid w:val="7E064765"/>
    <w:rsid w:val="7E073C72"/>
    <w:rsid w:val="7E0835F1"/>
    <w:rsid w:val="7E09D21A"/>
    <w:rsid w:val="7E0A54B7"/>
    <w:rsid w:val="7E0AB968"/>
    <w:rsid w:val="7E0B091A"/>
    <w:rsid w:val="7E0C0D02"/>
    <w:rsid w:val="7E1133F7"/>
    <w:rsid w:val="7E124D75"/>
    <w:rsid w:val="7E12AF66"/>
    <w:rsid w:val="7E17383C"/>
    <w:rsid w:val="7E1824A4"/>
    <w:rsid w:val="7E188732"/>
    <w:rsid w:val="7E18D065"/>
    <w:rsid w:val="7E1B5418"/>
    <w:rsid w:val="7E1C12C1"/>
    <w:rsid w:val="7E1DF5CE"/>
    <w:rsid w:val="7E22BFB4"/>
    <w:rsid w:val="7E270F51"/>
    <w:rsid w:val="7E2A550C"/>
    <w:rsid w:val="7E2B462C"/>
    <w:rsid w:val="7E2EEBE5"/>
    <w:rsid w:val="7E2F8CAF"/>
    <w:rsid w:val="7E2F9B7B"/>
    <w:rsid w:val="7E30CB78"/>
    <w:rsid w:val="7E31247A"/>
    <w:rsid w:val="7E334987"/>
    <w:rsid w:val="7E358E86"/>
    <w:rsid w:val="7E35984D"/>
    <w:rsid w:val="7E3622B6"/>
    <w:rsid w:val="7E373BE6"/>
    <w:rsid w:val="7E3742F7"/>
    <w:rsid w:val="7E375E25"/>
    <w:rsid w:val="7E390158"/>
    <w:rsid w:val="7E3902A4"/>
    <w:rsid w:val="7E3A7A65"/>
    <w:rsid w:val="7E3EC45B"/>
    <w:rsid w:val="7E404601"/>
    <w:rsid w:val="7E412A3E"/>
    <w:rsid w:val="7E42F8AB"/>
    <w:rsid w:val="7E43E903"/>
    <w:rsid w:val="7E44A9C3"/>
    <w:rsid w:val="7E456F3F"/>
    <w:rsid w:val="7E47B016"/>
    <w:rsid w:val="7E49BB3A"/>
    <w:rsid w:val="7E4C730C"/>
    <w:rsid w:val="7E4FC1FA"/>
    <w:rsid w:val="7E510C71"/>
    <w:rsid w:val="7E5241F6"/>
    <w:rsid w:val="7E55414B"/>
    <w:rsid w:val="7E5796B0"/>
    <w:rsid w:val="7E5B1BD8"/>
    <w:rsid w:val="7E5C5C2F"/>
    <w:rsid w:val="7E5CA040"/>
    <w:rsid w:val="7E5CF087"/>
    <w:rsid w:val="7E5D62B6"/>
    <w:rsid w:val="7E5E8EC3"/>
    <w:rsid w:val="7E5F5980"/>
    <w:rsid w:val="7E61DDD4"/>
    <w:rsid w:val="7E6360A3"/>
    <w:rsid w:val="7E6692DD"/>
    <w:rsid w:val="7E66EEDC"/>
    <w:rsid w:val="7E683C5C"/>
    <w:rsid w:val="7E6950E1"/>
    <w:rsid w:val="7E6D5A67"/>
    <w:rsid w:val="7E6D5CF3"/>
    <w:rsid w:val="7E70E568"/>
    <w:rsid w:val="7E72A3B5"/>
    <w:rsid w:val="7E80E453"/>
    <w:rsid w:val="7E80E77F"/>
    <w:rsid w:val="7E821358"/>
    <w:rsid w:val="7E828521"/>
    <w:rsid w:val="7E86CB38"/>
    <w:rsid w:val="7E882C85"/>
    <w:rsid w:val="7E8A029C"/>
    <w:rsid w:val="7E9151FE"/>
    <w:rsid w:val="7E97B1EF"/>
    <w:rsid w:val="7E9A93BF"/>
    <w:rsid w:val="7E9DDE78"/>
    <w:rsid w:val="7EA9A08E"/>
    <w:rsid w:val="7EA9FF23"/>
    <w:rsid w:val="7EAC0B7F"/>
    <w:rsid w:val="7EACF908"/>
    <w:rsid w:val="7EAF39BB"/>
    <w:rsid w:val="7EB2224C"/>
    <w:rsid w:val="7EB25838"/>
    <w:rsid w:val="7EB26028"/>
    <w:rsid w:val="7EB41892"/>
    <w:rsid w:val="7EB79286"/>
    <w:rsid w:val="7EB8DA2D"/>
    <w:rsid w:val="7EB9065E"/>
    <w:rsid w:val="7EBBD5E4"/>
    <w:rsid w:val="7EBCD934"/>
    <w:rsid w:val="7EBEC8CF"/>
    <w:rsid w:val="7EBF1E6B"/>
    <w:rsid w:val="7EBF5249"/>
    <w:rsid w:val="7EC28A9E"/>
    <w:rsid w:val="7EC2B751"/>
    <w:rsid w:val="7EC4991D"/>
    <w:rsid w:val="7EC51847"/>
    <w:rsid w:val="7EC8FF09"/>
    <w:rsid w:val="7ED09342"/>
    <w:rsid w:val="7ED14CA6"/>
    <w:rsid w:val="7ED36CCA"/>
    <w:rsid w:val="7ED47FA3"/>
    <w:rsid w:val="7ED8D8E6"/>
    <w:rsid w:val="7EDAE41D"/>
    <w:rsid w:val="7EDCEE18"/>
    <w:rsid w:val="7EDFCE01"/>
    <w:rsid w:val="7EE2D5C5"/>
    <w:rsid w:val="7EE2D741"/>
    <w:rsid w:val="7EE75A97"/>
    <w:rsid w:val="7EE77FA4"/>
    <w:rsid w:val="7EE8E877"/>
    <w:rsid w:val="7EF16D63"/>
    <w:rsid w:val="7EF1D54E"/>
    <w:rsid w:val="7EF308F0"/>
    <w:rsid w:val="7EF4C091"/>
    <w:rsid w:val="7EF51383"/>
    <w:rsid w:val="7EF5EED8"/>
    <w:rsid w:val="7EF70473"/>
    <w:rsid w:val="7EF72419"/>
    <w:rsid w:val="7EFD2940"/>
    <w:rsid w:val="7EFE7224"/>
    <w:rsid w:val="7F003BA1"/>
    <w:rsid w:val="7F0211E0"/>
    <w:rsid w:val="7F06908D"/>
    <w:rsid w:val="7F07FFFB"/>
    <w:rsid w:val="7F0B1B9D"/>
    <w:rsid w:val="7F0C71E4"/>
    <w:rsid w:val="7F0C8ABD"/>
    <w:rsid w:val="7F0DBAC5"/>
    <w:rsid w:val="7F0DFA73"/>
    <w:rsid w:val="7F0F33D6"/>
    <w:rsid w:val="7F0F3F69"/>
    <w:rsid w:val="7F0F9932"/>
    <w:rsid w:val="7F127777"/>
    <w:rsid w:val="7F173FD5"/>
    <w:rsid w:val="7F1C76C6"/>
    <w:rsid w:val="7F1D16D9"/>
    <w:rsid w:val="7F1EB845"/>
    <w:rsid w:val="7F281DD8"/>
    <w:rsid w:val="7F288BEA"/>
    <w:rsid w:val="7F2D7F37"/>
    <w:rsid w:val="7F2EA486"/>
    <w:rsid w:val="7F2F2677"/>
    <w:rsid w:val="7F3355DF"/>
    <w:rsid w:val="7F3407AD"/>
    <w:rsid w:val="7F34DAE6"/>
    <w:rsid w:val="7F35670A"/>
    <w:rsid w:val="7F372984"/>
    <w:rsid w:val="7F392780"/>
    <w:rsid w:val="7F394670"/>
    <w:rsid w:val="7F3B3085"/>
    <w:rsid w:val="7F3D71D0"/>
    <w:rsid w:val="7F409247"/>
    <w:rsid w:val="7F4571C4"/>
    <w:rsid w:val="7F47A091"/>
    <w:rsid w:val="7F4CCC46"/>
    <w:rsid w:val="7F504F7E"/>
    <w:rsid w:val="7F55E98F"/>
    <w:rsid w:val="7F58BB2B"/>
    <w:rsid w:val="7F590870"/>
    <w:rsid w:val="7F5930B5"/>
    <w:rsid w:val="7F601B23"/>
    <w:rsid w:val="7F60BDDF"/>
    <w:rsid w:val="7F625F1F"/>
    <w:rsid w:val="7F65228F"/>
    <w:rsid w:val="7F68973D"/>
    <w:rsid w:val="7F68BE9F"/>
    <w:rsid w:val="7F6B0A61"/>
    <w:rsid w:val="7F6CD9DB"/>
    <w:rsid w:val="7F6EF206"/>
    <w:rsid w:val="7F6EF218"/>
    <w:rsid w:val="7F70C85F"/>
    <w:rsid w:val="7F7415AE"/>
    <w:rsid w:val="7F751A55"/>
    <w:rsid w:val="7F757E81"/>
    <w:rsid w:val="7F75D96F"/>
    <w:rsid w:val="7F76F852"/>
    <w:rsid w:val="7F784C96"/>
    <w:rsid w:val="7F7CE5BB"/>
    <w:rsid w:val="7F7DCB04"/>
    <w:rsid w:val="7F7EF5DD"/>
    <w:rsid w:val="7F80C1B4"/>
    <w:rsid w:val="7F827816"/>
    <w:rsid w:val="7F82A58A"/>
    <w:rsid w:val="7F849D61"/>
    <w:rsid w:val="7F84F1B1"/>
    <w:rsid w:val="7F85022D"/>
    <w:rsid w:val="7F8917B3"/>
    <w:rsid w:val="7F8A64DD"/>
    <w:rsid w:val="7F8B5E21"/>
    <w:rsid w:val="7F8BFA95"/>
    <w:rsid w:val="7F8C9368"/>
    <w:rsid w:val="7F8DCFF2"/>
    <w:rsid w:val="7F912F59"/>
    <w:rsid w:val="7F98D04E"/>
    <w:rsid w:val="7F9C8B0C"/>
    <w:rsid w:val="7F9DF353"/>
    <w:rsid w:val="7F9EB454"/>
    <w:rsid w:val="7F9EB602"/>
    <w:rsid w:val="7FA0BA0A"/>
    <w:rsid w:val="7FA37BCC"/>
    <w:rsid w:val="7FA3CBB6"/>
    <w:rsid w:val="7FA6DC82"/>
    <w:rsid w:val="7FA926CB"/>
    <w:rsid w:val="7FACC759"/>
    <w:rsid w:val="7FAEF396"/>
    <w:rsid w:val="7FB0AE40"/>
    <w:rsid w:val="7FB47CA9"/>
    <w:rsid w:val="7FB92FA4"/>
    <w:rsid w:val="7FBB6F58"/>
    <w:rsid w:val="7FBCCAD4"/>
    <w:rsid w:val="7FBD8129"/>
    <w:rsid w:val="7FC00AAF"/>
    <w:rsid w:val="7FC0EF98"/>
    <w:rsid w:val="7FC11F6D"/>
    <w:rsid w:val="7FC786B7"/>
    <w:rsid w:val="7FC8D765"/>
    <w:rsid w:val="7FCDE2AE"/>
    <w:rsid w:val="7FCE4623"/>
    <w:rsid w:val="7FCEE275"/>
    <w:rsid w:val="7FCF5FEA"/>
    <w:rsid w:val="7FD44251"/>
    <w:rsid w:val="7FD5B050"/>
    <w:rsid w:val="7FD5B7B6"/>
    <w:rsid w:val="7FDE12E0"/>
    <w:rsid w:val="7FDE2BAC"/>
    <w:rsid w:val="7FE45408"/>
    <w:rsid w:val="7FE55E56"/>
    <w:rsid w:val="7FE6CB54"/>
    <w:rsid w:val="7FE80E30"/>
    <w:rsid w:val="7FEA4AF1"/>
    <w:rsid w:val="7FF159D8"/>
    <w:rsid w:val="7FF29169"/>
    <w:rsid w:val="7FF30AF3"/>
    <w:rsid w:val="7FF35E09"/>
    <w:rsid w:val="7FF3A3D5"/>
    <w:rsid w:val="7FF5479B"/>
    <w:rsid w:val="7FF5FCA1"/>
    <w:rsid w:val="7FF87D11"/>
    <w:rsid w:val="7FF8D55A"/>
    <w:rsid w:val="7FF9EC0D"/>
    <w:rsid w:val="7FFED8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DD1AB2E"/>
  <w15:chartTrackingRefBased/>
  <w15:docId w15:val="{BD7EEA2A-EB51-4CBA-A1CB-7FA6FA23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408"/>
    <w:pPr>
      <w:spacing w:after="160" w:line="240" w:lineRule="auto"/>
      <w:jc w:val="both"/>
    </w:pPr>
    <w:rPr>
      <w:rFonts w:ascii="Times New Roman" w:hAnsi="Times New Roman" w:cs="Times New Roman"/>
      <w:sz w:val="24"/>
      <w:szCs w:val="24"/>
    </w:rPr>
  </w:style>
  <w:style w:type="paragraph" w:styleId="Heading1">
    <w:name w:val="heading 1"/>
    <w:basedOn w:val="Normal"/>
    <w:next w:val="Text1"/>
    <w:link w:val="Heading1Char"/>
    <w:qFormat/>
    <w:rsid w:val="006B087E"/>
    <w:pPr>
      <w:keepNext/>
      <w:numPr>
        <w:numId w:val="121"/>
      </w:numPr>
      <w:tabs>
        <w:tab w:val="num" w:pos="480"/>
      </w:tabs>
      <w:spacing w:before="240"/>
      <w:outlineLvl w:val="0"/>
    </w:pPr>
    <w:rPr>
      <w:rFonts w:eastAsia="Times New Roman"/>
      <w:b/>
      <w:smallCaps/>
      <w:szCs w:val="20"/>
    </w:rPr>
  </w:style>
  <w:style w:type="paragraph" w:styleId="Heading2">
    <w:name w:val="heading 2"/>
    <w:basedOn w:val="Normal"/>
    <w:next w:val="Text2"/>
    <w:link w:val="Heading2Char"/>
    <w:qFormat/>
    <w:rsid w:val="00CD1C16"/>
    <w:pPr>
      <w:keepNext/>
      <w:numPr>
        <w:ilvl w:val="1"/>
        <w:numId w:val="121"/>
      </w:numPr>
      <w:tabs>
        <w:tab w:val="num" w:pos="1200"/>
      </w:tabs>
      <w:spacing w:before="240"/>
      <w:ind w:left="578" w:hanging="578"/>
      <w:outlineLvl w:val="1"/>
    </w:pPr>
    <w:rPr>
      <w:rFonts w:eastAsia="Times New Roman"/>
      <w:b/>
      <w:szCs w:val="20"/>
    </w:rPr>
  </w:style>
  <w:style w:type="paragraph" w:styleId="Heading3">
    <w:name w:val="heading 3"/>
    <w:basedOn w:val="Normal"/>
    <w:next w:val="Normal"/>
    <w:link w:val="Heading3Char"/>
    <w:autoRedefine/>
    <w:qFormat/>
    <w:rsid w:val="00ED49E6"/>
    <w:pPr>
      <w:keepNext/>
      <w:numPr>
        <w:ilvl w:val="2"/>
        <w:numId w:val="121"/>
      </w:numPr>
      <w:spacing w:before="240"/>
      <w:ind w:left="720"/>
      <w:outlineLvl w:val="2"/>
    </w:pPr>
    <w:rPr>
      <w:rFonts w:eastAsia="Times New Roman"/>
      <w:bCs/>
      <w:i/>
      <w:szCs w:val="20"/>
      <w:lang w:val="en-IE"/>
    </w:rPr>
  </w:style>
  <w:style w:type="paragraph" w:styleId="Heading4">
    <w:name w:val="heading 4"/>
    <w:basedOn w:val="Normal"/>
    <w:next w:val="Normal"/>
    <w:link w:val="Heading4Char"/>
    <w:qFormat/>
    <w:rsid w:val="006B087E"/>
    <w:pPr>
      <w:keepNext/>
      <w:numPr>
        <w:ilvl w:val="3"/>
        <w:numId w:val="121"/>
      </w:numPr>
      <w:tabs>
        <w:tab w:val="num" w:pos="1920"/>
      </w:tabs>
      <w:outlineLvl w:val="3"/>
    </w:pPr>
    <w:rPr>
      <w:rFonts w:eastAsia="Times New Roman"/>
      <w:szCs w:val="20"/>
    </w:rPr>
  </w:style>
  <w:style w:type="paragraph" w:styleId="Heading5">
    <w:name w:val="heading 5"/>
    <w:basedOn w:val="Normal"/>
    <w:next w:val="Normal"/>
    <w:link w:val="Heading5Char"/>
    <w:uiPriority w:val="9"/>
    <w:unhideWhenUsed/>
    <w:qFormat/>
    <w:rsid w:val="0053316B"/>
    <w:pPr>
      <w:keepNext/>
      <w:keepLines/>
      <w:spacing w:before="40" w:after="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9E4D53"/>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aliases w:val="Stakeholders views"/>
    <w:basedOn w:val="Normal"/>
    <w:next w:val="Normal"/>
    <w:link w:val="Heading7Char"/>
    <w:autoRedefine/>
    <w:uiPriority w:val="9"/>
    <w:unhideWhenUsed/>
    <w:rsid w:val="009E4D53"/>
    <w:pPr>
      <w:keepNext/>
      <w:keepLines/>
      <w:spacing w:before="120" w:after="120"/>
      <w:ind w:left="1296" w:hanging="1296"/>
      <w:outlineLvl w:val="6"/>
    </w:pPr>
    <w:rPr>
      <w:rFonts w:eastAsiaTheme="majorEastAsia" w:cstheme="majorBidi"/>
      <w:i/>
      <w:iCs/>
      <w:color w:val="243F60" w:themeColor="accent1" w:themeShade="7F"/>
      <w:u w:val="single"/>
    </w:rPr>
  </w:style>
  <w:style w:type="paragraph" w:styleId="Heading8">
    <w:name w:val="heading 8"/>
    <w:basedOn w:val="Normal"/>
    <w:next w:val="Normal"/>
    <w:link w:val="Heading8Char"/>
    <w:uiPriority w:val="9"/>
    <w:semiHidden/>
    <w:unhideWhenUsed/>
    <w:qFormat/>
    <w:rsid w:val="00BB3BF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3BF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087E"/>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6B087E"/>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ED49E6"/>
    <w:rPr>
      <w:rFonts w:ascii="Times New Roman" w:eastAsia="Times New Roman" w:hAnsi="Times New Roman" w:cs="Times New Roman"/>
      <w:bCs/>
      <w:i/>
      <w:sz w:val="24"/>
      <w:szCs w:val="20"/>
      <w:lang w:val="en-IE"/>
    </w:rPr>
  </w:style>
  <w:style w:type="character" w:customStyle="1" w:styleId="Heading4Char">
    <w:name w:val="Heading 4 Char"/>
    <w:basedOn w:val="DefaultParagraphFont"/>
    <w:link w:val="Heading4"/>
    <w:rsid w:val="006B087E"/>
    <w:rPr>
      <w:rFonts w:ascii="Times New Roman" w:eastAsia="Times New Roman" w:hAnsi="Times New Roman" w:cs="Times New Roman"/>
      <w:sz w:val="24"/>
      <w:szCs w:val="20"/>
    </w:rPr>
  </w:style>
  <w:style w:type="character" w:customStyle="1" w:styleId="Marker">
    <w:name w:val="Marker"/>
    <w:basedOn w:val="DefaultParagraphFont"/>
    <w:rsid w:val="00C6592A"/>
    <w:rPr>
      <w:color w:val="0000FF"/>
      <w:bdr w:val="none" w:sz="0" w:space="0" w:color="auto"/>
      <w:shd w:val="clear" w:color="auto" w:fill="auto"/>
    </w:rPr>
  </w:style>
  <w:style w:type="paragraph" w:customStyle="1" w:styleId="Pagedecouverture">
    <w:name w:val="Page de couverture"/>
    <w:basedOn w:val="Normal"/>
    <w:next w:val="Normal"/>
    <w:rsid w:val="006B087E"/>
    <w:pPr>
      <w:spacing w:after="0"/>
    </w:pPr>
  </w:style>
  <w:style w:type="paragraph" w:styleId="Header">
    <w:name w:val="header"/>
    <w:basedOn w:val="Normal"/>
    <w:link w:val="HeaderChar"/>
    <w:uiPriority w:val="99"/>
    <w:unhideWhenUsed/>
    <w:rsid w:val="006B087E"/>
    <w:pPr>
      <w:tabs>
        <w:tab w:val="center" w:pos="4535"/>
        <w:tab w:val="right" w:pos="9071"/>
      </w:tabs>
      <w:spacing w:after="120"/>
    </w:pPr>
  </w:style>
  <w:style w:type="character" w:customStyle="1" w:styleId="HeaderChar">
    <w:name w:val="Header Char"/>
    <w:basedOn w:val="DefaultParagraphFont"/>
    <w:link w:val="Header"/>
    <w:uiPriority w:val="99"/>
    <w:rsid w:val="006B087E"/>
    <w:rPr>
      <w:rFonts w:ascii="Times New Roman" w:hAnsi="Times New Roman" w:cs="Times New Roman"/>
      <w:sz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ind w:left="-850" w:right="-850"/>
    </w:pPr>
  </w:style>
  <w:style w:type="character" w:customStyle="1" w:styleId="FooterChar">
    <w:name w:val="Footer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sid w:val="006B087E"/>
    <w:rPr>
      <w:rFonts w:ascii="Times New Roman" w:hAnsi="Times New Roman" w:cs="Times New Roman"/>
      <w:sz w:val="24"/>
      <w:szCs w:val="24"/>
    </w:rPr>
  </w:style>
  <w:style w:type="paragraph" w:customStyle="1" w:styleId="HeaderCoverPage">
    <w:name w:val="Header Cover Page"/>
    <w:basedOn w:val="Normal"/>
    <w:link w:val="HeaderCoverPageChar"/>
    <w:rsid w:val="006B087E"/>
    <w:pPr>
      <w:tabs>
        <w:tab w:val="center" w:pos="4535"/>
        <w:tab w:val="right" w:pos="9071"/>
      </w:tabs>
      <w:spacing w:after="120"/>
    </w:pPr>
  </w:style>
  <w:style w:type="character" w:customStyle="1" w:styleId="HeaderCoverPageChar">
    <w:name w:val="Header Cover Page Char"/>
    <w:basedOn w:val="DefaultParagraphFont"/>
    <w:link w:val="HeaderCoverPage"/>
    <w:rsid w:val="006B087E"/>
    <w:rPr>
      <w:rFonts w:ascii="Times New Roman" w:hAnsi="Times New Roman" w:cs="Times New Roman"/>
      <w:sz w:val="24"/>
      <w:szCs w:val="24"/>
    </w:rPr>
  </w:style>
  <w:style w:type="paragraph" w:customStyle="1" w:styleId="Text1">
    <w:name w:val="Text 1"/>
    <w:basedOn w:val="Normal"/>
    <w:uiPriority w:val="99"/>
    <w:qFormat/>
    <w:rsid w:val="006B087E"/>
    <w:pPr>
      <w:ind w:left="482"/>
    </w:pPr>
    <w:rPr>
      <w:rFonts w:eastAsia="Times New Roman"/>
      <w:szCs w:val="20"/>
    </w:rPr>
  </w:style>
  <w:style w:type="paragraph" w:customStyle="1" w:styleId="Text2">
    <w:name w:val="Text 2"/>
    <w:basedOn w:val="Normal"/>
    <w:rsid w:val="006B087E"/>
    <w:pPr>
      <w:tabs>
        <w:tab w:val="left" w:pos="2302"/>
      </w:tabs>
      <w:ind w:left="1202"/>
    </w:pPr>
    <w:rPr>
      <w:rFonts w:eastAsia="Times New Roman"/>
      <w:szCs w:val="20"/>
    </w:rPr>
  </w:style>
  <w:style w:type="paragraph" w:styleId="ListBullet">
    <w:name w:val="List Bullet"/>
    <w:basedOn w:val="Normal"/>
    <w:rsid w:val="006B087E"/>
    <w:pPr>
      <w:numPr>
        <w:numId w:val="8"/>
      </w:numPr>
    </w:pPr>
    <w:rPr>
      <w:rFonts w:eastAsia="Times New Roman"/>
      <w:szCs w:val="20"/>
    </w:rPr>
  </w:style>
  <w:style w:type="paragraph" w:customStyle="1" w:styleId="ListDash1">
    <w:name w:val="List Dash 1"/>
    <w:basedOn w:val="Text1"/>
    <w:rsid w:val="006B087E"/>
    <w:pPr>
      <w:tabs>
        <w:tab w:val="num" w:pos="480"/>
      </w:tabs>
      <w:ind w:left="480" w:hanging="480"/>
    </w:pPr>
  </w:style>
  <w:style w:type="table" w:styleId="TableGrid">
    <w:name w:val="Table Grid"/>
    <w:aliases w:val="Document Table,CV1,HTG,Deloitte,Standard table format,Simple table,Table Grid IDEA,Table Format 1,TabelEcorys,Tabela Renova"/>
    <w:basedOn w:val="TableNormal"/>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next w:val="Normal"/>
    <w:link w:val="AnnexTitleChar"/>
    <w:autoRedefine/>
    <w:qFormat/>
    <w:rsid w:val="00FC6D56"/>
    <w:pPr>
      <w:pageBreakBefore/>
      <w:numPr>
        <w:numId w:val="0"/>
      </w:numPr>
      <w:spacing w:after="480"/>
      <w:jc w:val="left"/>
    </w:pPr>
    <w:rPr>
      <w:sz w:val="32"/>
      <w:lang w:val="en-IE"/>
    </w:rPr>
  </w:style>
  <w:style w:type="character" w:customStyle="1" w:styleId="AnnexTitleChar">
    <w:name w:val="Annex Title Char"/>
    <w:basedOn w:val="DefaultParagraphFont"/>
    <w:link w:val="AnnexTitle"/>
    <w:rsid w:val="00FC6D56"/>
    <w:rPr>
      <w:rFonts w:ascii="Times New Roman" w:eastAsia="Times New Roman" w:hAnsi="Times New Roman" w:cs="Times New Roman"/>
      <w:b/>
      <w:smallCaps/>
      <w:sz w:val="32"/>
      <w:szCs w:val="20"/>
      <w:lang w:val="en-IE"/>
    </w:rPr>
  </w:style>
  <w:style w:type="table" w:customStyle="1" w:styleId="CV11">
    <w:name w:val="CV11"/>
    <w:basedOn w:val="TableNormal"/>
    <w:next w:val="TableGrid"/>
    <w:uiPriority w:val="5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spacing w:before="120" w:after="120"/>
      <w:ind w:left="482" w:right="720" w:hanging="482"/>
    </w:pPr>
    <w:rPr>
      <w:rFonts w:eastAsia="Times New Roman"/>
      <w:caps/>
      <w:sz w:val="20"/>
      <w:szCs w:val="20"/>
    </w:rPr>
  </w:style>
  <w:style w:type="paragraph" w:styleId="TOC2">
    <w:name w:val="toc 2"/>
    <w:basedOn w:val="Normal"/>
    <w:next w:val="Normal"/>
    <w:autoRedefine/>
    <w:uiPriority w:val="39"/>
    <w:rsid w:val="00D67B38"/>
    <w:pPr>
      <w:tabs>
        <w:tab w:val="right" w:leader="dot" w:pos="8640"/>
      </w:tabs>
      <w:spacing w:before="60" w:after="60"/>
      <w:ind w:left="1077" w:right="720" w:hanging="595"/>
    </w:pPr>
    <w:rPr>
      <w:rFonts w:eastAsia="Times New Roman"/>
      <w:sz w:val="20"/>
      <w:szCs w:val="20"/>
    </w:rPr>
  </w:style>
  <w:style w:type="paragraph" w:styleId="TOCHeading">
    <w:name w:val="TOC Heading"/>
    <w:basedOn w:val="Normal"/>
    <w:next w:val="Normal"/>
    <w:qFormat/>
    <w:rsid w:val="006B087E"/>
    <w:pPr>
      <w:keepNext/>
      <w:spacing w:before="240"/>
      <w:jc w:val="center"/>
    </w:pPr>
    <w:rPr>
      <w:rFonts w:eastAsia="Times New Roman"/>
      <w:b/>
      <w:szCs w:val="20"/>
    </w:rPr>
  </w:style>
  <w:style w:type="character" w:styleId="Hyperlink">
    <w:name w:val="Hyperlink"/>
    <w:basedOn w:val="DefaultParagraphFont"/>
    <w:uiPriority w:val="99"/>
    <w:unhideWhenUsed/>
    <w:rsid w:val="006B087E"/>
    <w:rPr>
      <w:color w:val="0000FF" w:themeColor="hyperlink"/>
      <w:u w:val="single"/>
    </w:rPr>
  </w:style>
  <w:style w:type="paragraph" w:styleId="BalloonText">
    <w:name w:val="Balloon Text"/>
    <w:basedOn w:val="Normal"/>
    <w:link w:val="BalloonTextChar"/>
    <w:uiPriority w:val="99"/>
    <w:semiHidden/>
    <w:unhideWhenUsed/>
    <w:rsid w:val="006B08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pPr>
      <w:spacing w:after="0"/>
    </w:pPr>
  </w:style>
  <w:style w:type="paragraph" w:customStyle="1" w:styleId="HeaderLandscape">
    <w:name w:val="HeaderLandscape"/>
    <w:basedOn w:val="Normal"/>
    <w:rsid w:val="006B087E"/>
    <w:pPr>
      <w:tabs>
        <w:tab w:val="center" w:pos="7285"/>
        <w:tab w:val="right" w:pos="14003"/>
      </w:tabs>
      <w:spacing w:after="120"/>
    </w:p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rsid w:val="006B087E"/>
    <w:pPr>
      <w:tabs>
        <w:tab w:val="center" w:pos="7285"/>
        <w:tab w:val="center" w:pos="10913"/>
        <w:tab w:val="right" w:pos="15137"/>
      </w:tabs>
      <w:spacing w:before="360" w:after="0"/>
      <w:ind w:left="-567" w:right="-567"/>
    </w:p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HeaderSensitivityRight">
    <w:name w:val="Header Sensitivity Right"/>
    <w:basedOn w:val="Normal"/>
    <w:link w:val="HeaderSensitivityRightChar"/>
    <w:rsid w:val="006B087E"/>
    <w:pPr>
      <w:spacing w:after="120"/>
      <w:jc w:val="right"/>
    </w:pPr>
    <w:rPr>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szCs w:val="24"/>
    </w:rPr>
  </w:style>
  <w:style w:type="character" w:customStyle="1" w:styleId="Heading5Char">
    <w:name w:val="Heading 5 Char"/>
    <w:basedOn w:val="DefaultParagraphFont"/>
    <w:link w:val="Heading5"/>
    <w:uiPriority w:val="9"/>
    <w:rsid w:val="0053316B"/>
    <w:rPr>
      <w:rFonts w:asciiTheme="majorHAnsi" w:eastAsiaTheme="majorEastAsia" w:hAnsiTheme="majorHAnsi" w:cstheme="majorBidi"/>
      <w:color w:val="365F91" w:themeColor="accent1" w:themeShade="BF"/>
      <w:sz w:val="24"/>
      <w:szCs w:val="24"/>
    </w:rPr>
  </w:style>
  <w:style w:type="paragraph" w:styleId="Title">
    <w:name w:val="Title"/>
    <w:basedOn w:val="Normal"/>
    <w:next w:val="Normal"/>
    <w:link w:val="TitleChar"/>
    <w:uiPriority w:val="10"/>
    <w:qFormat/>
    <w:rsid w:val="0053316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16B"/>
    <w:rPr>
      <w:rFonts w:asciiTheme="majorHAnsi" w:eastAsiaTheme="majorEastAsia" w:hAnsiTheme="majorHAnsi" w:cstheme="majorBidi"/>
      <w:spacing w:val="-10"/>
      <w:kern w:val="28"/>
      <w:sz w:val="56"/>
      <w:szCs w:val="56"/>
    </w:rPr>
  </w:style>
  <w:style w:type="paragraph" w:styleId="NoSpacing">
    <w:name w:val="No Spacing"/>
    <w:uiPriority w:val="1"/>
    <w:qFormat/>
    <w:rsid w:val="00FB0D73"/>
    <w:pPr>
      <w:spacing w:after="0" w:line="240" w:lineRule="auto"/>
    </w:pPr>
    <w:rPr>
      <w:rFonts w:eastAsiaTheme="minorEastAsia"/>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FB0D73"/>
    <w:pPr>
      <w:spacing w:after="0"/>
    </w:pPr>
    <w:rPr>
      <w:rFonts w:eastAsiaTheme="minorEastAsia"/>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FB0D73"/>
    <w:rPr>
      <w:rFonts w:ascii="Times New Roman" w:eastAsiaTheme="minorEastAsia" w:hAnsi="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basedOn w:val="DefaultParagraphFont"/>
    <w:link w:val="CharCharChar1"/>
    <w:uiPriority w:val="99"/>
    <w:unhideWhenUsed/>
    <w:qFormat/>
    <w:rsid w:val="00FB0D73"/>
    <w:rPr>
      <w:vertAlign w:val="superscript"/>
    </w:rPr>
  </w:style>
  <w:style w:type="paragraph" w:customStyle="1" w:styleId="CharCharChar1">
    <w:name w:val="Char Char Char1"/>
    <w:basedOn w:val="Normal"/>
    <w:link w:val="FootnoteReference"/>
    <w:uiPriority w:val="99"/>
    <w:rsid w:val="00FB0D73"/>
    <w:pPr>
      <w:spacing w:line="240" w:lineRule="exact"/>
    </w:pPr>
    <w:rPr>
      <w:vertAlign w:val="superscript"/>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autoRedefine/>
    <w:uiPriority w:val="34"/>
    <w:qFormat/>
    <w:rsid w:val="007826C8"/>
    <w:pPr>
      <w:numPr>
        <w:numId w:val="224"/>
      </w:numPr>
      <w:shd w:val="clear" w:color="auto" w:fill="FFFFFF" w:themeFill="background1"/>
      <w:spacing w:after="0"/>
      <w:contextualSpacing/>
    </w:pPr>
    <w:rPr>
      <w:rFonts w:eastAsia="Times New Roman"/>
      <w:sz w:val="20"/>
      <w:szCs w:val="20"/>
      <w:lang w:val="en-IE" w:eastAsia="en-GB"/>
    </w:rPr>
  </w:style>
  <w:style w:type="character" w:styleId="CommentReference">
    <w:name w:val="annotation reference"/>
    <w:basedOn w:val="DefaultParagraphFont"/>
    <w:uiPriority w:val="99"/>
    <w:semiHidden/>
    <w:unhideWhenUsed/>
    <w:rsid w:val="002252CF"/>
    <w:rPr>
      <w:sz w:val="16"/>
      <w:szCs w:val="16"/>
    </w:rPr>
  </w:style>
  <w:style w:type="paragraph" w:styleId="CommentText">
    <w:name w:val="annotation text"/>
    <w:basedOn w:val="Normal"/>
    <w:link w:val="CommentTextChar"/>
    <w:uiPriority w:val="99"/>
    <w:unhideWhenUsed/>
    <w:rsid w:val="002252CF"/>
    <w:rPr>
      <w:sz w:val="20"/>
      <w:szCs w:val="20"/>
    </w:rPr>
  </w:style>
  <w:style w:type="character" w:customStyle="1" w:styleId="CommentTextChar">
    <w:name w:val="Comment Text Char"/>
    <w:basedOn w:val="DefaultParagraphFont"/>
    <w:link w:val="CommentText"/>
    <w:uiPriority w:val="99"/>
    <w:rsid w:val="002252C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52CF"/>
    <w:rPr>
      <w:b/>
      <w:bCs/>
    </w:rPr>
  </w:style>
  <w:style w:type="character" w:customStyle="1" w:styleId="CommentSubjectChar">
    <w:name w:val="Comment Subject Char"/>
    <w:basedOn w:val="CommentTextChar"/>
    <w:link w:val="CommentSubject"/>
    <w:uiPriority w:val="99"/>
    <w:semiHidden/>
    <w:rsid w:val="002252CF"/>
    <w:rPr>
      <w:rFonts w:ascii="Times New Roman" w:hAnsi="Times New Roman" w:cs="Times New Roman"/>
      <w:b/>
      <w:bCs/>
      <w:sz w:val="20"/>
      <w:szCs w:val="20"/>
    </w:rPr>
  </w:style>
  <w:style w:type="paragraph" w:styleId="Revision">
    <w:name w:val="Revision"/>
    <w:hidden/>
    <w:uiPriority w:val="99"/>
    <w:semiHidden/>
    <w:rsid w:val="002252CF"/>
    <w:pPr>
      <w:spacing w:after="0" w:line="240" w:lineRule="auto"/>
    </w:pPr>
    <w:rPr>
      <w:rFonts w:ascii="Times New Roman" w:hAnsi="Times New Roman" w:cs="Times New Roman"/>
      <w:sz w:val="24"/>
      <w:szCs w:val="24"/>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locked/>
    <w:rsid w:val="007826C8"/>
    <w:rPr>
      <w:rFonts w:ascii="Times New Roman" w:eastAsia="Times New Roman" w:hAnsi="Times New Roman" w:cs="Times New Roman"/>
      <w:sz w:val="20"/>
      <w:szCs w:val="20"/>
      <w:shd w:val="clear" w:color="auto" w:fill="FFFFFF" w:themeFill="background1"/>
      <w:lang w:val="en-IE"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1A1BDB"/>
    <w:pPr>
      <w:spacing w:line="240" w:lineRule="exact"/>
    </w:pPr>
    <w:rPr>
      <w:rFonts w:asciiTheme="minorHAnsi" w:hAnsiTheme="minorHAnsi" w:cstheme="minorBidi"/>
      <w:sz w:val="22"/>
      <w:szCs w:val="22"/>
      <w:vertAlign w:val="superscript"/>
    </w:rPr>
  </w:style>
  <w:style w:type="paragraph" w:styleId="NormalWeb">
    <w:name w:val="Normal (Web)"/>
    <w:basedOn w:val="Normal"/>
    <w:uiPriority w:val="99"/>
    <w:unhideWhenUsed/>
    <w:rsid w:val="005F3A55"/>
    <w:pPr>
      <w:spacing w:before="100" w:beforeAutospacing="1" w:after="100" w:afterAutospacing="1"/>
      <w:jc w:val="left"/>
    </w:pPr>
    <w:rPr>
      <w:rFonts w:eastAsia="Times New Roman"/>
      <w:lang w:val="en-IE" w:eastAsia="en-IE"/>
    </w:rPr>
  </w:style>
  <w:style w:type="paragraph" w:styleId="Caption">
    <w:name w:val="caption"/>
    <w:aliases w:val="Source"/>
    <w:basedOn w:val="Normal"/>
    <w:next w:val="Normal"/>
    <w:uiPriority w:val="35"/>
    <w:unhideWhenUsed/>
    <w:qFormat/>
    <w:rsid w:val="00852D07"/>
    <w:pPr>
      <w:spacing w:after="200"/>
    </w:pPr>
    <w:rPr>
      <w:i/>
      <w:iCs/>
      <w:color w:val="1F497D" w:themeColor="text2"/>
      <w:sz w:val="18"/>
      <w:szCs w:val="18"/>
    </w:rPr>
  </w:style>
  <w:style w:type="paragraph" w:customStyle="1" w:styleId="paragraph">
    <w:name w:val="paragraph"/>
    <w:basedOn w:val="Normal"/>
    <w:rsid w:val="004C17FB"/>
    <w:pPr>
      <w:spacing w:before="100" w:beforeAutospacing="1" w:after="100" w:afterAutospacing="1"/>
      <w:jc w:val="left"/>
    </w:pPr>
    <w:rPr>
      <w:rFonts w:eastAsia="Times New Roman"/>
      <w:lang w:val="en-IE" w:eastAsia="en-IE"/>
    </w:rPr>
  </w:style>
  <w:style w:type="character" w:customStyle="1" w:styleId="normaltextrun">
    <w:name w:val="normaltextrun"/>
    <w:basedOn w:val="DefaultParagraphFont"/>
    <w:rsid w:val="004C17FB"/>
  </w:style>
  <w:style w:type="character" w:customStyle="1" w:styleId="eop">
    <w:name w:val="eop"/>
    <w:basedOn w:val="DefaultParagraphFont"/>
    <w:rsid w:val="004C17FB"/>
  </w:style>
  <w:style w:type="character" w:styleId="Strong">
    <w:name w:val="Strong"/>
    <w:basedOn w:val="DefaultParagraphFont"/>
    <w:uiPriority w:val="22"/>
    <w:qFormat/>
    <w:rsid w:val="000D3616"/>
    <w:rPr>
      <w:b/>
      <w:bCs/>
    </w:rPr>
  </w:style>
  <w:style w:type="paragraph" w:customStyle="1" w:styleId="paranormaltext">
    <w:name w:val="paranormaltext"/>
    <w:basedOn w:val="Normal"/>
    <w:rsid w:val="00C55E42"/>
    <w:pPr>
      <w:spacing w:before="100" w:beforeAutospacing="1" w:after="100" w:afterAutospacing="1"/>
      <w:jc w:val="left"/>
    </w:pPr>
    <w:rPr>
      <w:rFonts w:eastAsia="Times New Roman"/>
      <w:lang w:val="en-IE" w:eastAsia="en-IE"/>
    </w:rPr>
  </w:style>
  <w:style w:type="character" w:customStyle="1" w:styleId="paracolourtext">
    <w:name w:val="paracolourtext"/>
    <w:basedOn w:val="DefaultParagraphFont"/>
    <w:rsid w:val="00CF34BD"/>
  </w:style>
  <w:style w:type="paragraph" w:customStyle="1" w:styleId="BodyText1">
    <w:name w:val="Body Text1"/>
    <w:basedOn w:val="Normal"/>
    <w:link w:val="BodytextChar"/>
    <w:autoRedefine/>
    <w:qFormat/>
    <w:rsid w:val="005E35C7"/>
    <w:pPr>
      <w:spacing w:before="120" w:after="120"/>
      <w:ind w:left="426"/>
    </w:pPr>
    <w:rPr>
      <w:rFonts w:eastAsia="Times New Roman"/>
      <w:iCs/>
      <w:noProof/>
      <w:szCs w:val="20"/>
      <w:lang w:val="en-IE"/>
    </w:rPr>
  </w:style>
  <w:style w:type="character" w:customStyle="1" w:styleId="BodytextChar">
    <w:name w:val="Body text Char"/>
    <w:link w:val="BodyText1"/>
    <w:rsid w:val="005E35C7"/>
    <w:rPr>
      <w:rFonts w:ascii="Times New Roman" w:eastAsia="Times New Roman" w:hAnsi="Times New Roman" w:cs="Times New Roman"/>
      <w:iCs/>
      <w:noProof/>
      <w:sz w:val="24"/>
      <w:szCs w:val="20"/>
      <w:lang w:val="en-IE"/>
    </w:rPr>
  </w:style>
  <w:style w:type="paragraph" w:styleId="TOC3">
    <w:name w:val="toc 3"/>
    <w:basedOn w:val="Normal"/>
    <w:next w:val="Normal"/>
    <w:autoRedefine/>
    <w:uiPriority w:val="39"/>
    <w:unhideWhenUsed/>
    <w:rsid w:val="00D67B38"/>
    <w:pPr>
      <w:spacing w:after="100"/>
      <w:ind w:left="480"/>
    </w:pPr>
    <w:rPr>
      <w:sz w:val="20"/>
    </w:rPr>
  </w:style>
  <w:style w:type="paragraph" w:customStyle="1" w:styleId="bullet1">
    <w:name w:val="bullet 1"/>
    <w:basedOn w:val="BodyText1"/>
    <w:link w:val="bullet1Char"/>
    <w:rsid w:val="002044FA"/>
    <w:pPr>
      <w:tabs>
        <w:tab w:val="num" w:pos="480"/>
      </w:tabs>
      <w:ind w:left="480" w:hanging="480"/>
    </w:pPr>
    <w:rPr>
      <w:szCs w:val="24"/>
    </w:rPr>
  </w:style>
  <w:style w:type="character" w:customStyle="1" w:styleId="bullet1Char">
    <w:name w:val="bullet 1 Char"/>
    <w:basedOn w:val="BodytextChar"/>
    <w:link w:val="bullet1"/>
    <w:rsid w:val="002044FA"/>
    <w:rPr>
      <w:rFonts w:ascii="Arial" w:eastAsia="Times New Roman" w:hAnsi="Arial" w:cs="Times New Roman"/>
      <w:i w:val="0"/>
      <w:iCs/>
      <w:noProof/>
      <w:sz w:val="24"/>
      <w:szCs w:val="24"/>
      <w:u w:val="single"/>
      <w:lang w:val="en-IE"/>
    </w:rPr>
  </w:style>
  <w:style w:type="paragraph" w:customStyle="1" w:styleId="Figure">
    <w:name w:val="Figure"/>
    <w:basedOn w:val="Normal"/>
    <w:link w:val="FigureChar"/>
    <w:qFormat/>
    <w:rsid w:val="00CF1B7B"/>
    <w:pPr>
      <w:spacing w:before="120" w:after="120"/>
      <w:jc w:val="center"/>
    </w:pPr>
    <w:rPr>
      <w:rFonts w:ascii="Arial" w:eastAsia="Times New Roman" w:hAnsi="Arial"/>
      <w:i/>
      <w:sz w:val="16"/>
      <w:szCs w:val="14"/>
      <w:lang w:eastAsia="nl-BE"/>
    </w:rPr>
  </w:style>
  <w:style w:type="character" w:customStyle="1" w:styleId="FigureChar">
    <w:name w:val="Figure Char"/>
    <w:basedOn w:val="DefaultParagraphFont"/>
    <w:link w:val="Figure"/>
    <w:rsid w:val="00CF1B7B"/>
    <w:rPr>
      <w:rFonts w:ascii="Arial" w:eastAsia="Times New Roman" w:hAnsi="Arial" w:cs="Times New Roman"/>
      <w:i/>
      <w:sz w:val="16"/>
      <w:szCs w:val="14"/>
      <w:lang w:eastAsia="nl-BE"/>
    </w:rPr>
  </w:style>
  <w:style w:type="character" w:customStyle="1" w:styleId="TabletexttitleChar">
    <w:name w:val="Table text title Char"/>
    <w:basedOn w:val="DefaultParagraphFont"/>
    <w:link w:val="Tabletexttitle"/>
    <w:locked/>
    <w:rsid w:val="00C91993"/>
    <w:rPr>
      <w:rFonts w:ascii="Arial" w:hAnsi="Arial"/>
      <w:b/>
      <w:color w:val="FFFFFF"/>
      <w:szCs w:val="18"/>
    </w:rPr>
  </w:style>
  <w:style w:type="paragraph" w:customStyle="1" w:styleId="Tabletexttitle">
    <w:name w:val="Table text title"/>
    <w:basedOn w:val="Normal"/>
    <w:link w:val="TabletexttitleChar"/>
    <w:qFormat/>
    <w:rsid w:val="00C91993"/>
    <w:pPr>
      <w:framePr w:vSpace="68" w:wrap="around" w:vAnchor="text" w:hAnchor="margin" w:y="200"/>
      <w:tabs>
        <w:tab w:val="left" w:pos="990"/>
      </w:tabs>
      <w:spacing w:after="0"/>
      <w:suppressOverlap/>
      <w:jc w:val="left"/>
    </w:pPr>
    <w:rPr>
      <w:rFonts w:ascii="Arial" w:hAnsi="Arial" w:cstheme="minorBidi"/>
      <w:b/>
      <w:color w:val="FFFFFF"/>
      <w:sz w:val="22"/>
      <w:szCs w:val="18"/>
    </w:rPr>
  </w:style>
  <w:style w:type="character" w:customStyle="1" w:styleId="TabletextChar">
    <w:name w:val="Table_text Char"/>
    <w:basedOn w:val="DefaultParagraphFont"/>
    <w:link w:val="Tabletext"/>
    <w:locked/>
    <w:rsid w:val="00C91993"/>
    <w:rPr>
      <w:rFonts w:ascii="Arial" w:hAnsi="Arial"/>
      <w:sz w:val="18"/>
      <w:szCs w:val="17"/>
    </w:rPr>
  </w:style>
  <w:style w:type="paragraph" w:customStyle="1" w:styleId="Tabletext">
    <w:name w:val="Table_text"/>
    <w:basedOn w:val="Normal"/>
    <w:link w:val="TabletextChar"/>
    <w:qFormat/>
    <w:rsid w:val="00C91993"/>
    <w:pPr>
      <w:framePr w:vSpace="68" w:wrap="around" w:vAnchor="text" w:hAnchor="margin" w:y="200"/>
      <w:spacing w:after="0"/>
      <w:suppressOverlap/>
    </w:pPr>
    <w:rPr>
      <w:rFonts w:ascii="Arial" w:hAnsi="Arial" w:cstheme="minorBidi"/>
      <w:sz w:val="18"/>
      <w:szCs w:val="17"/>
    </w:rPr>
  </w:style>
  <w:style w:type="paragraph" w:customStyle="1" w:styleId="annexsubsection">
    <w:name w:val="annex subsection"/>
    <w:basedOn w:val="BodyText1"/>
    <w:link w:val="annexsubsectionChar"/>
    <w:autoRedefine/>
    <w:qFormat/>
    <w:rsid w:val="00CB1B8A"/>
    <w:pPr>
      <w:ind w:left="0"/>
      <w:jc w:val="left"/>
    </w:pPr>
    <w:rPr>
      <w:rFonts w:ascii="Times New Roman Bold" w:hAnsi="Times New Roman Bold"/>
      <w:b/>
    </w:rPr>
  </w:style>
  <w:style w:type="character" w:customStyle="1" w:styleId="annexsubsectionChar">
    <w:name w:val="annex subsection Char"/>
    <w:basedOn w:val="BodytextChar"/>
    <w:link w:val="annexsubsection"/>
    <w:rsid w:val="00CB1B8A"/>
    <w:rPr>
      <w:rFonts w:ascii="Times New Roman Bold" w:eastAsia="Times New Roman" w:hAnsi="Times New Roman Bold" w:cs="Times New Roman"/>
      <w:b/>
      <w:iCs/>
      <w:noProof/>
      <w:sz w:val="24"/>
      <w:szCs w:val="20"/>
      <w:lang w:val="en-IE"/>
    </w:rPr>
  </w:style>
  <w:style w:type="table" w:styleId="PlainTable4">
    <w:name w:val="Plain Table 4"/>
    <w:basedOn w:val="TableNormal"/>
    <w:uiPriority w:val="44"/>
    <w:rsid w:val="00855322"/>
    <w:pPr>
      <w:spacing w:after="0" w:line="240" w:lineRule="auto"/>
    </w:pPr>
    <w:rPr>
      <w:rFonts w:ascii="Times New Roman" w:eastAsia="Times New Roman" w:hAnsi="Times New Roman" w:cs="Times New Roman"/>
      <w:sz w:val="20"/>
      <w:szCs w:val="20"/>
      <w:lang w:val="nl-BE" w:eastAsia="nl-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A1043B"/>
    <w:rPr>
      <w:color w:val="605E5C"/>
      <w:shd w:val="clear" w:color="auto" w:fill="E1DFDD"/>
    </w:rPr>
  </w:style>
  <w:style w:type="character" w:customStyle="1" w:styleId="Heading6Char">
    <w:name w:val="Heading 6 Char"/>
    <w:basedOn w:val="DefaultParagraphFont"/>
    <w:link w:val="Heading6"/>
    <w:uiPriority w:val="9"/>
    <w:rsid w:val="009E4D53"/>
    <w:rPr>
      <w:rFonts w:asciiTheme="majorHAnsi" w:eastAsiaTheme="majorEastAsia" w:hAnsiTheme="majorHAnsi" w:cstheme="majorBidi"/>
      <w:color w:val="243F60" w:themeColor="accent1" w:themeShade="7F"/>
      <w:sz w:val="24"/>
      <w:szCs w:val="24"/>
    </w:rPr>
  </w:style>
  <w:style w:type="character" w:customStyle="1" w:styleId="Heading7Char">
    <w:name w:val="Heading 7 Char"/>
    <w:aliases w:val="Stakeholders views Char"/>
    <w:basedOn w:val="DefaultParagraphFont"/>
    <w:link w:val="Heading7"/>
    <w:uiPriority w:val="9"/>
    <w:rsid w:val="009E4D53"/>
    <w:rPr>
      <w:rFonts w:ascii="Times New Roman" w:eastAsiaTheme="majorEastAsia" w:hAnsi="Times New Roman" w:cstheme="majorBidi"/>
      <w:i/>
      <w:iCs/>
      <w:color w:val="243F60" w:themeColor="accent1" w:themeShade="7F"/>
      <w:sz w:val="24"/>
      <w:szCs w:val="24"/>
      <w:u w:val="single"/>
    </w:rPr>
  </w:style>
  <w:style w:type="paragraph" w:customStyle="1" w:styleId="Bullets">
    <w:name w:val="Bullets"/>
    <w:basedOn w:val="Normal"/>
    <w:autoRedefine/>
    <w:qFormat/>
    <w:rsid w:val="004C618F"/>
    <w:pPr>
      <w:numPr>
        <w:numId w:val="242"/>
      </w:numPr>
      <w:ind w:left="470" w:hanging="357"/>
    </w:pPr>
    <w:rPr>
      <w:rFonts w:eastAsiaTheme="minorEastAsia" w:cs="Calibri"/>
      <w:color w:val="000000" w:themeColor="text1"/>
      <w:lang w:val="en-IE" w:eastAsia="en-GB"/>
    </w:rPr>
  </w:style>
  <w:style w:type="paragraph" w:customStyle="1" w:styleId="Stakeholders">
    <w:name w:val="Stakeholders"/>
    <w:basedOn w:val="Normal"/>
    <w:autoRedefine/>
    <w:qFormat/>
    <w:rsid w:val="00D6264D"/>
    <w:pPr>
      <w:keepNext/>
      <w:spacing w:before="120"/>
    </w:pPr>
    <w:rPr>
      <w:i/>
      <w:u w:val="single"/>
      <w:lang w:val="en-IE"/>
    </w:rPr>
  </w:style>
  <w:style w:type="character" w:customStyle="1" w:styleId="Heading8Char">
    <w:name w:val="Heading 8 Char"/>
    <w:basedOn w:val="DefaultParagraphFont"/>
    <w:link w:val="Heading8"/>
    <w:uiPriority w:val="9"/>
    <w:semiHidden/>
    <w:rsid w:val="000705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70542"/>
    <w:rPr>
      <w:rFonts w:asciiTheme="majorHAnsi" w:eastAsiaTheme="majorEastAsia" w:hAnsiTheme="majorHAnsi" w:cstheme="majorBidi"/>
      <w:i/>
      <w:iCs/>
      <w:color w:val="272727" w:themeColor="text1" w:themeTint="D8"/>
      <w:sz w:val="21"/>
      <w:szCs w:val="21"/>
    </w:rPr>
  </w:style>
  <w:style w:type="paragraph" w:customStyle="1" w:styleId="Annexsubsections">
    <w:name w:val="Annex subsections"/>
    <w:basedOn w:val="Stakeholders"/>
    <w:autoRedefine/>
    <w:qFormat/>
    <w:rsid w:val="00815724"/>
    <w:pPr>
      <w:numPr>
        <w:numId w:val="116"/>
      </w:numPr>
    </w:pPr>
    <w:rPr>
      <w:rFonts w:ascii="Times New Roman Bold" w:hAnsi="Times New Roman Bold"/>
      <w:b/>
      <w:i w:val="0"/>
      <w:smallCaps/>
      <w:sz w:val="28"/>
      <w:u w:val="none"/>
    </w:rPr>
  </w:style>
  <w:style w:type="paragraph" w:customStyle="1" w:styleId="Style1">
    <w:name w:val="Style1"/>
    <w:basedOn w:val="Annexsubsections"/>
    <w:qFormat/>
    <w:rsid w:val="00140462"/>
    <w:pPr>
      <w:numPr>
        <w:numId w:val="0"/>
      </w:numPr>
      <w:ind w:left="360" w:hanging="360"/>
    </w:pPr>
  </w:style>
  <w:style w:type="paragraph" w:customStyle="1" w:styleId="LettersinAnnex">
    <w:name w:val="Letters in Annex"/>
    <w:basedOn w:val="Normal"/>
    <w:autoRedefine/>
    <w:qFormat/>
    <w:rsid w:val="009311C2"/>
    <w:pPr>
      <w:spacing w:before="240"/>
    </w:pPr>
    <w:rPr>
      <w:rFonts w:ascii="Times New Roman Bold" w:hAnsi="Times New Roman Bold"/>
      <w:b/>
      <w:smallCaps/>
      <w:lang w:val="en-IE"/>
    </w:rPr>
  </w:style>
  <w:style w:type="character" w:customStyle="1" w:styleId="UnresolvedMention2">
    <w:name w:val="Unresolved Mention2"/>
    <w:basedOn w:val="DefaultParagraphFont"/>
    <w:uiPriority w:val="99"/>
    <w:semiHidden/>
    <w:unhideWhenUsed/>
    <w:rsid w:val="00904F3C"/>
    <w:rPr>
      <w:color w:val="605E5C"/>
      <w:shd w:val="clear" w:color="auto" w:fill="E1DFDD"/>
    </w:rPr>
  </w:style>
  <w:style w:type="character" w:customStyle="1" w:styleId="markedcontent">
    <w:name w:val="markedcontent"/>
    <w:basedOn w:val="DefaultParagraphFont"/>
    <w:rsid w:val="00011AD3"/>
  </w:style>
  <w:style w:type="character" w:customStyle="1" w:styleId="UnresolvedMention3">
    <w:name w:val="Unresolved Mention3"/>
    <w:basedOn w:val="DefaultParagraphFont"/>
    <w:uiPriority w:val="99"/>
    <w:semiHidden/>
    <w:unhideWhenUsed/>
    <w:rsid w:val="002350E6"/>
    <w:rPr>
      <w:color w:val="605E5C"/>
      <w:shd w:val="clear" w:color="auto" w:fill="E1DFDD"/>
    </w:rPr>
  </w:style>
  <w:style w:type="character" w:customStyle="1" w:styleId="UnresolvedMention4">
    <w:name w:val="Unresolved Mention4"/>
    <w:basedOn w:val="DefaultParagraphFont"/>
    <w:uiPriority w:val="99"/>
    <w:semiHidden/>
    <w:unhideWhenUsed/>
    <w:rsid w:val="006A5D7D"/>
    <w:rPr>
      <w:color w:val="605E5C"/>
      <w:shd w:val="clear" w:color="auto" w:fill="E1DFDD"/>
    </w:rPr>
  </w:style>
  <w:style w:type="paragraph" w:customStyle="1" w:styleId="Normal1">
    <w:name w:val="Normal1"/>
    <w:basedOn w:val="Normal"/>
    <w:uiPriority w:val="99"/>
    <w:rsid w:val="00006638"/>
    <w:pPr>
      <w:spacing w:before="100" w:beforeAutospacing="1" w:after="100" w:afterAutospacing="1"/>
    </w:pPr>
    <w:rPr>
      <w:rFonts w:eastAsia="Times New Roman"/>
      <w:lang w:val="en-IE" w:eastAsia="en-GB"/>
    </w:rPr>
  </w:style>
  <w:style w:type="character" w:styleId="FollowedHyperlink">
    <w:name w:val="FollowedHyperlink"/>
    <w:basedOn w:val="DefaultParagraphFont"/>
    <w:uiPriority w:val="99"/>
    <w:semiHidden/>
    <w:unhideWhenUsed/>
    <w:rsid w:val="00572A5E"/>
    <w:rPr>
      <w:color w:val="800080" w:themeColor="followedHyperlink"/>
      <w:u w:val="single"/>
    </w:rPr>
  </w:style>
  <w:style w:type="character" w:styleId="IntenseEmphasis">
    <w:name w:val="Intense Emphasis"/>
    <w:basedOn w:val="DefaultParagraphFont"/>
    <w:uiPriority w:val="21"/>
    <w:qFormat/>
    <w:rsid w:val="00203152"/>
    <w:rPr>
      <w:i/>
      <w:iCs/>
      <w:color w:val="4F81BD" w:themeColor="accent1"/>
    </w:rPr>
  </w:style>
  <w:style w:type="paragraph" w:customStyle="1" w:styleId="LegalNumPar">
    <w:name w:val="LegalNumPar"/>
    <w:basedOn w:val="Normal"/>
    <w:rsid w:val="00315660"/>
    <w:pPr>
      <w:widowControl w:val="0"/>
      <w:numPr>
        <w:numId w:val="195"/>
      </w:numPr>
      <w:spacing w:after="0" w:line="360" w:lineRule="auto"/>
      <w:jc w:val="left"/>
    </w:pPr>
    <w:rPr>
      <w:rFonts w:eastAsia="Times New Roman"/>
      <w:szCs w:val="22"/>
      <w:lang w:val="en-US"/>
    </w:rPr>
  </w:style>
  <w:style w:type="paragraph" w:customStyle="1" w:styleId="LegalNumPar2">
    <w:name w:val="LegalNumPar2"/>
    <w:basedOn w:val="Normal"/>
    <w:rsid w:val="00B8380B"/>
    <w:pPr>
      <w:widowControl w:val="0"/>
      <w:numPr>
        <w:ilvl w:val="1"/>
        <w:numId w:val="195"/>
      </w:numPr>
      <w:spacing w:after="0" w:line="360" w:lineRule="auto"/>
      <w:jc w:val="left"/>
    </w:pPr>
    <w:rPr>
      <w:rFonts w:eastAsia="Times New Roman"/>
      <w:szCs w:val="22"/>
      <w:lang w:val="en-US"/>
    </w:rPr>
  </w:style>
  <w:style w:type="paragraph" w:customStyle="1" w:styleId="LegalNumPar3">
    <w:name w:val="LegalNumPar3"/>
    <w:basedOn w:val="Normal"/>
    <w:rsid w:val="00315660"/>
    <w:pPr>
      <w:widowControl w:val="0"/>
      <w:spacing w:after="0" w:line="360" w:lineRule="auto"/>
      <w:ind w:left="935" w:hanging="360"/>
      <w:jc w:val="left"/>
    </w:pPr>
    <w:rPr>
      <w:rFonts w:eastAsia="Times New Roman"/>
      <w:szCs w:val="22"/>
      <w:lang w:val="en-US"/>
    </w:rPr>
  </w:style>
  <w:style w:type="paragraph" w:customStyle="1" w:styleId="Default">
    <w:name w:val="Default"/>
    <w:rsid w:val="00B8380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TableParagraph">
    <w:name w:val="Table Paragraph"/>
    <w:basedOn w:val="Normal"/>
    <w:uiPriority w:val="1"/>
    <w:qFormat/>
    <w:rsid w:val="00B8380B"/>
    <w:pPr>
      <w:widowControl w:val="0"/>
      <w:autoSpaceDE w:val="0"/>
      <w:autoSpaceDN w:val="0"/>
      <w:spacing w:after="0"/>
      <w:jc w:val="left"/>
    </w:pPr>
    <w:rPr>
      <w:rFonts w:eastAsia="Times New Roman"/>
      <w:sz w:val="22"/>
      <w:szCs w:val="22"/>
      <w:lang w:val="en-US"/>
    </w:rPr>
  </w:style>
  <w:style w:type="paragraph" w:styleId="BodyText">
    <w:name w:val="Body Text"/>
    <w:basedOn w:val="Normal"/>
    <w:link w:val="BodyTextChar0"/>
    <w:uiPriority w:val="1"/>
    <w:qFormat/>
    <w:rsid w:val="00B8380B"/>
    <w:pPr>
      <w:widowControl w:val="0"/>
      <w:autoSpaceDE w:val="0"/>
      <w:autoSpaceDN w:val="0"/>
      <w:spacing w:after="0"/>
      <w:jc w:val="left"/>
    </w:pPr>
    <w:rPr>
      <w:rFonts w:eastAsia="Times New Roman"/>
      <w:sz w:val="20"/>
      <w:szCs w:val="20"/>
      <w:lang w:val="en-US"/>
    </w:rPr>
  </w:style>
  <w:style w:type="character" w:customStyle="1" w:styleId="BodyTextChar0">
    <w:name w:val="Body Text Char"/>
    <w:basedOn w:val="DefaultParagraphFont"/>
    <w:link w:val="BodyText"/>
    <w:uiPriority w:val="1"/>
    <w:rsid w:val="00B8380B"/>
    <w:rPr>
      <w:rFonts w:ascii="Times New Roman" w:eastAsia="Times New Roman" w:hAnsi="Times New Roman" w:cs="Times New Roman"/>
      <w:sz w:val="20"/>
      <w:szCs w:val="20"/>
      <w:lang w:val="en-US"/>
    </w:rPr>
  </w:style>
  <w:style w:type="paragraph" w:styleId="TOC4">
    <w:name w:val="toc 4"/>
    <w:basedOn w:val="Normal"/>
    <w:next w:val="Normal"/>
    <w:autoRedefine/>
    <w:uiPriority w:val="39"/>
    <w:unhideWhenUsed/>
    <w:rsid w:val="00B8380B"/>
    <w:pPr>
      <w:spacing w:after="100" w:line="259"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B8380B"/>
    <w:pPr>
      <w:spacing w:after="100" w:line="259"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B8380B"/>
    <w:pPr>
      <w:spacing w:after="100" w:line="259"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B8380B"/>
    <w:pPr>
      <w:spacing w:after="100" w:line="259"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B8380B"/>
    <w:pPr>
      <w:spacing w:after="100" w:line="259"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B8380B"/>
    <w:pPr>
      <w:spacing w:after="100" w:line="259" w:lineRule="auto"/>
      <w:ind w:left="1760"/>
      <w:jc w:val="left"/>
    </w:pPr>
    <w:rPr>
      <w:rFonts w:asciiTheme="minorHAnsi" w:eastAsiaTheme="minorEastAsia" w:hAnsiTheme="minorHAnsi" w:cstheme="minorBidi"/>
      <w:sz w:val="22"/>
      <w:szCs w:val="22"/>
      <w:lang w:eastAsia="en-GB"/>
    </w:rPr>
  </w:style>
  <w:style w:type="character" w:customStyle="1" w:styleId="tabletitleChar">
    <w:name w:val="table title Char"/>
    <w:basedOn w:val="DefaultParagraphFont"/>
    <w:link w:val="tabletitle"/>
    <w:locked/>
    <w:rsid w:val="00FC6D56"/>
    <w:rPr>
      <w:rFonts w:ascii="Arial" w:hAnsi="Arial" w:cs="Arial"/>
      <w:b/>
      <w:noProof/>
      <w:color w:val="1F497D" w:themeColor="text2"/>
      <w:lang w:val="fr-BE"/>
    </w:rPr>
  </w:style>
  <w:style w:type="paragraph" w:customStyle="1" w:styleId="tabletitle">
    <w:name w:val="table title"/>
    <w:basedOn w:val="Normal"/>
    <w:link w:val="tabletitleChar"/>
    <w:qFormat/>
    <w:rsid w:val="00FC6D56"/>
    <w:pPr>
      <w:spacing w:before="120" w:after="120"/>
      <w:jc w:val="center"/>
    </w:pPr>
    <w:rPr>
      <w:rFonts w:ascii="Arial" w:hAnsi="Arial" w:cs="Arial"/>
      <w:b/>
      <w:noProof/>
      <w:color w:val="1F497D" w:themeColor="text2"/>
      <w:sz w:val="22"/>
      <w:szCs w:val="22"/>
      <w:lang w:val="fr-BE"/>
    </w:rPr>
  </w:style>
  <w:style w:type="character" w:customStyle="1" w:styleId="TablesubtitleChar">
    <w:name w:val="Table subtitle Char"/>
    <w:basedOn w:val="tabletitleChar"/>
    <w:link w:val="Tablesubtitle"/>
    <w:locked/>
    <w:rsid w:val="00FC6D56"/>
    <w:rPr>
      <w:rFonts w:ascii="Arial" w:hAnsi="Arial" w:cs="Arial"/>
      <w:b w:val="0"/>
      <w:i/>
      <w:noProof/>
      <w:color w:val="1F497D" w:themeColor="text2"/>
      <w:lang w:val="fr-BE"/>
    </w:rPr>
  </w:style>
  <w:style w:type="paragraph" w:customStyle="1" w:styleId="Tablesubtitle">
    <w:name w:val="Table subtitle"/>
    <w:basedOn w:val="tabletitle"/>
    <w:link w:val="TablesubtitleChar"/>
    <w:qFormat/>
    <w:rsid w:val="00FC6D56"/>
    <w:rPr>
      <w:b w:val="0"/>
      <w:i/>
    </w:rPr>
  </w:style>
  <w:style w:type="paragraph" w:customStyle="1" w:styleId="Size10">
    <w:name w:val="Size 10"/>
    <w:basedOn w:val="Normal"/>
    <w:autoRedefine/>
    <w:qFormat/>
    <w:rsid w:val="00F03230"/>
    <w:pPr>
      <w:spacing w:after="0"/>
      <w:ind w:right="29"/>
      <w:jc w:val="left"/>
    </w:pPr>
    <w:rPr>
      <w:rFonts w:eastAsia="Times New Roman"/>
      <w:sz w:val="20"/>
      <w:lang w:val="en-IE" w:eastAsia="en-GB"/>
    </w:rPr>
  </w:style>
  <w:style w:type="character" w:customStyle="1" w:styleId="UnresolvedMention5">
    <w:name w:val="Unresolved Mention5"/>
    <w:basedOn w:val="DefaultParagraphFont"/>
    <w:uiPriority w:val="99"/>
    <w:semiHidden/>
    <w:unhideWhenUsed/>
    <w:rsid w:val="004F7FCB"/>
    <w:rPr>
      <w:color w:val="605E5C"/>
      <w:shd w:val="clear" w:color="auto" w:fill="E1DFDD"/>
    </w:rPr>
  </w:style>
  <w:style w:type="paragraph" w:customStyle="1" w:styleId="Bulletslevel2">
    <w:name w:val="Bullets level2"/>
    <w:basedOn w:val="Bullets"/>
    <w:autoRedefine/>
    <w:qFormat/>
    <w:rsid w:val="00F1145C"/>
    <w:pPr>
      <w:numPr>
        <w:numId w:val="227"/>
      </w:numPr>
      <w:ind w:left="1037" w:hanging="357"/>
    </w:pPr>
  </w:style>
  <w:style w:type="paragraph" w:customStyle="1" w:styleId="TechnicalBlock">
    <w:name w:val="Technical Block"/>
    <w:basedOn w:val="Normal"/>
    <w:link w:val="TechnicalBlockChar"/>
    <w:rsid w:val="00C6592A"/>
    <w:pPr>
      <w:spacing w:after="240"/>
      <w:jc w:val="center"/>
    </w:pPr>
  </w:style>
  <w:style w:type="character" w:customStyle="1" w:styleId="TechnicalBlockChar">
    <w:name w:val="Technical Block Char"/>
    <w:basedOn w:val="DefaultParagraphFont"/>
    <w:link w:val="TechnicalBlock"/>
    <w:rsid w:val="00C6592A"/>
    <w:rPr>
      <w:rFonts w:ascii="Times New Roman" w:hAnsi="Times New Roman" w:cs="Times New Roman"/>
      <w:sz w:val="24"/>
      <w:szCs w:val="24"/>
    </w:rPr>
  </w:style>
  <w:style w:type="paragraph" w:customStyle="1" w:styleId="EntText">
    <w:name w:val="EntText"/>
    <w:basedOn w:val="Normal"/>
    <w:rsid w:val="00C6592A"/>
    <w:pPr>
      <w:spacing w:before="120" w:after="120" w:line="360" w:lineRule="auto"/>
      <w:jc w:val="left"/>
    </w:pPr>
    <w:rPr>
      <w:szCs w:val="22"/>
    </w:rPr>
  </w:style>
  <w:style w:type="paragraph" w:customStyle="1" w:styleId="Lignefinal">
    <w:name w:val="Ligne final"/>
    <w:basedOn w:val="Normal"/>
    <w:next w:val="Normal"/>
    <w:rsid w:val="00C6592A"/>
    <w:pPr>
      <w:pBdr>
        <w:bottom w:val="single" w:sz="4" w:space="0" w:color="000000"/>
      </w:pBdr>
      <w:spacing w:before="360" w:after="120" w:line="360" w:lineRule="auto"/>
      <w:ind w:left="3400" w:right="3400"/>
      <w:jc w:val="center"/>
    </w:pPr>
    <w:rPr>
      <w:b/>
      <w:szCs w:val="22"/>
    </w:rPr>
  </w:style>
  <w:style w:type="paragraph" w:customStyle="1" w:styleId="pj">
    <w:name w:val="p.j."/>
    <w:basedOn w:val="Normal"/>
    <w:link w:val="pjChar"/>
    <w:rsid w:val="00C6592A"/>
    <w:pPr>
      <w:spacing w:before="1200" w:after="120"/>
      <w:ind w:left="1440" w:hanging="1440"/>
      <w:jc w:val="left"/>
    </w:pPr>
  </w:style>
  <w:style w:type="character" w:customStyle="1" w:styleId="pjChar">
    <w:name w:val="p.j. Char"/>
    <w:basedOn w:val="TechnicalBlockChar"/>
    <w:link w:val="pj"/>
    <w:rsid w:val="00C6592A"/>
    <w:rPr>
      <w:rFonts w:ascii="Times New Roman" w:hAnsi="Times New Roman" w:cs="Times New Roman"/>
      <w:sz w:val="24"/>
      <w:szCs w:val="24"/>
    </w:rPr>
  </w:style>
  <w:style w:type="paragraph" w:customStyle="1" w:styleId="nbbordered">
    <w:name w:val="nb bordered"/>
    <w:basedOn w:val="Normal"/>
    <w:link w:val="nbborderedChar"/>
    <w:rsid w:val="00C6592A"/>
    <w:pPr>
      <w:pBdr>
        <w:top w:val="single" w:sz="4" w:space="1" w:color="auto"/>
        <w:left w:val="single" w:sz="4" w:space="4" w:color="auto"/>
        <w:bottom w:val="single" w:sz="4" w:space="1" w:color="auto"/>
        <w:right w:val="single" w:sz="4" w:space="4" w:color="auto"/>
        <w:between w:val="single" w:sz="4" w:space="0" w:color="auto"/>
      </w:pBdr>
      <w:ind w:left="480" w:hanging="480"/>
    </w:pPr>
    <w:rPr>
      <w:b/>
    </w:rPr>
  </w:style>
  <w:style w:type="character" w:customStyle="1" w:styleId="nbborderedChar">
    <w:name w:val="nb bordered Char"/>
    <w:basedOn w:val="TechnicalBlockChar"/>
    <w:link w:val="nbbordered"/>
    <w:rsid w:val="00C6592A"/>
    <w:rPr>
      <w:rFonts w:ascii="Times New Roman" w:hAnsi="Times New Roman" w:cs="Times New Roman"/>
      <w:b/>
      <w:sz w:val="24"/>
      <w:szCs w:val="24"/>
    </w:rPr>
  </w:style>
  <w:style w:type="paragraph" w:customStyle="1" w:styleId="HeaderCouncil">
    <w:name w:val="Header Council"/>
    <w:basedOn w:val="Normal"/>
    <w:link w:val="HeaderCouncilChar"/>
    <w:rsid w:val="00C6592A"/>
    <w:pPr>
      <w:spacing w:after="0"/>
    </w:pPr>
    <w:rPr>
      <w:noProof/>
      <w:sz w:val="2"/>
      <w:lang w:val="en-IE"/>
    </w:rPr>
  </w:style>
  <w:style w:type="character" w:customStyle="1" w:styleId="HeaderCouncilChar">
    <w:name w:val="Header Council Char"/>
    <w:basedOn w:val="DefaultParagraphFont"/>
    <w:link w:val="HeaderCouncil"/>
    <w:rsid w:val="00C6592A"/>
    <w:rPr>
      <w:rFonts w:ascii="Times New Roman" w:hAnsi="Times New Roman" w:cs="Times New Roman"/>
      <w:noProof/>
      <w:sz w:val="2"/>
      <w:szCs w:val="24"/>
      <w:lang w:val="en-IE"/>
    </w:rPr>
  </w:style>
  <w:style w:type="paragraph" w:customStyle="1" w:styleId="HeaderCouncilLarge">
    <w:name w:val="Header Council Large"/>
    <w:basedOn w:val="Normal"/>
    <w:link w:val="HeaderCouncilLargeChar"/>
    <w:rsid w:val="00C6592A"/>
    <w:pPr>
      <w:spacing w:after="440"/>
    </w:pPr>
    <w:rPr>
      <w:noProof/>
      <w:sz w:val="2"/>
      <w:lang w:val="en-IE"/>
    </w:rPr>
  </w:style>
  <w:style w:type="character" w:customStyle="1" w:styleId="HeaderCouncilLargeChar">
    <w:name w:val="Header Council Large Char"/>
    <w:basedOn w:val="DefaultParagraphFont"/>
    <w:link w:val="HeaderCouncilLarge"/>
    <w:rsid w:val="00C6592A"/>
    <w:rPr>
      <w:rFonts w:ascii="Times New Roman" w:hAnsi="Times New Roman" w:cs="Times New Roman"/>
      <w:noProof/>
      <w:sz w:val="2"/>
      <w:szCs w:val="24"/>
      <w:lang w:val="en-IE"/>
    </w:rPr>
  </w:style>
  <w:style w:type="paragraph" w:customStyle="1" w:styleId="FooterCouncil">
    <w:name w:val="Footer Council"/>
    <w:basedOn w:val="Normal"/>
    <w:link w:val="FooterCouncilChar"/>
    <w:rsid w:val="00C6592A"/>
    <w:pPr>
      <w:spacing w:after="0"/>
    </w:pPr>
    <w:rPr>
      <w:noProof/>
      <w:sz w:val="2"/>
      <w:lang w:val="en-IE"/>
    </w:rPr>
  </w:style>
  <w:style w:type="character" w:customStyle="1" w:styleId="FooterCouncilChar">
    <w:name w:val="Footer Council Char"/>
    <w:basedOn w:val="DefaultParagraphFont"/>
    <w:link w:val="FooterCouncil"/>
    <w:rsid w:val="00C6592A"/>
    <w:rPr>
      <w:rFonts w:ascii="Times New Roman" w:hAnsi="Times New Roman" w:cs="Times New Roman"/>
      <w:noProof/>
      <w:sz w:val="2"/>
      <w:szCs w:val="24"/>
      <w:lang w:val="en-IE"/>
    </w:rPr>
  </w:style>
  <w:style w:type="paragraph" w:customStyle="1" w:styleId="FooterText">
    <w:name w:val="Footer Text"/>
    <w:basedOn w:val="Normal"/>
    <w:rsid w:val="00C6592A"/>
    <w:pPr>
      <w:spacing w:after="0"/>
      <w:jc w:val="left"/>
    </w:pPr>
    <w:rPr>
      <w:rFonts w:eastAsia="Times New Roman"/>
    </w:rPr>
  </w:style>
  <w:style w:type="character" w:styleId="PlaceholderText">
    <w:name w:val="Placeholder Text"/>
    <w:basedOn w:val="DefaultParagraphFont"/>
    <w:uiPriority w:val="99"/>
    <w:semiHidden/>
    <w:rsid w:val="00C659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075">
      <w:bodyDiv w:val="1"/>
      <w:marLeft w:val="0"/>
      <w:marRight w:val="0"/>
      <w:marTop w:val="0"/>
      <w:marBottom w:val="0"/>
      <w:divBdr>
        <w:top w:val="none" w:sz="0" w:space="0" w:color="auto"/>
        <w:left w:val="none" w:sz="0" w:space="0" w:color="auto"/>
        <w:bottom w:val="none" w:sz="0" w:space="0" w:color="auto"/>
        <w:right w:val="none" w:sz="0" w:space="0" w:color="auto"/>
      </w:divBdr>
    </w:div>
    <w:div w:id="125660228">
      <w:bodyDiv w:val="1"/>
      <w:marLeft w:val="0"/>
      <w:marRight w:val="0"/>
      <w:marTop w:val="0"/>
      <w:marBottom w:val="0"/>
      <w:divBdr>
        <w:top w:val="none" w:sz="0" w:space="0" w:color="auto"/>
        <w:left w:val="none" w:sz="0" w:space="0" w:color="auto"/>
        <w:bottom w:val="none" w:sz="0" w:space="0" w:color="auto"/>
        <w:right w:val="none" w:sz="0" w:space="0" w:color="auto"/>
      </w:divBdr>
    </w:div>
    <w:div w:id="129130534">
      <w:bodyDiv w:val="1"/>
      <w:marLeft w:val="0"/>
      <w:marRight w:val="0"/>
      <w:marTop w:val="0"/>
      <w:marBottom w:val="0"/>
      <w:divBdr>
        <w:top w:val="none" w:sz="0" w:space="0" w:color="auto"/>
        <w:left w:val="none" w:sz="0" w:space="0" w:color="auto"/>
        <w:bottom w:val="none" w:sz="0" w:space="0" w:color="auto"/>
        <w:right w:val="none" w:sz="0" w:space="0" w:color="auto"/>
      </w:divBdr>
    </w:div>
    <w:div w:id="221406548">
      <w:bodyDiv w:val="1"/>
      <w:marLeft w:val="0"/>
      <w:marRight w:val="0"/>
      <w:marTop w:val="0"/>
      <w:marBottom w:val="0"/>
      <w:divBdr>
        <w:top w:val="none" w:sz="0" w:space="0" w:color="auto"/>
        <w:left w:val="none" w:sz="0" w:space="0" w:color="auto"/>
        <w:bottom w:val="none" w:sz="0" w:space="0" w:color="auto"/>
        <w:right w:val="none" w:sz="0" w:space="0" w:color="auto"/>
      </w:divBdr>
    </w:div>
    <w:div w:id="487289501">
      <w:bodyDiv w:val="1"/>
      <w:marLeft w:val="0"/>
      <w:marRight w:val="0"/>
      <w:marTop w:val="0"/>
      <w:marBottom w:val="0"/>
      <w:divBdr>
        <w:top w:val="none" w:sz="0" w:space="0" w:color="auto"/>
        <w:left w:val="none" w:sz="0" w:space="0" w:color="auto"/>
        <w:bottom w:val="none" w:sz="0" w:space="0" w:color="auto"/>
        <w:right w:val="none" w:sz="0" w:space="0" w:color="auto"/>
      </w:divBdr>
    </w:div>
    <w:div w:id="524683213">
      <w:bodyDiv w:val="1"/>
      <w:marLeft w:val="0"/>
      <w:marRight w:val="0"/>
      <w:marTop w:val="0"/>
      <w:marBottom w:val="0"/>
      <w:divBdr>
        <w:top w:val="none" w:sz="0" w:space="0" w:color="auto"/>
        <w:left w:val="none" w:sz="0" w:space="0" w:color="auto"/>
        <w:bottom w:val="none" w:sz="0" w:space="0" w:color="auto"/>
        <w:right w:val="none" w:sz="0" w:space="0" w:color="auto"/>
      </w:divBdr>
    </w:div>
    <w:div w:id="568656932">
      <w:bodyDiv w:val="1"/>
      <w:marLeft w:val="0"/>
      <w:marRight w:val="0"/>
      <w:marTop w:val="0"/>
      <w:marBottom w:val="0"/>
      <w:divBdr>
        <w:top w:val="none" w:sz="0" w:space="0" w:color="auto"/>
        <w:left w:val="none" w:sz="0" w:space="0" w:color="auto"/>
        <w:bottom w:val="none" w:sz="0" w:space="0" w:color="auto"/>
        <w:right w:val="none" w:sz="0" w:space="0" w:color="auto"/>
      </w:divBdr>
    </w:div>
    <w:div w:id="641273669">
      <w:bodyDiv w:val="1"/>
      <w:marLeft w:val="0"/>
      <w:marRight w:val="0"/>
      <w:marTop w:val="0"/>
      <w:marBottom w:val="0"/>
      <w:divBdr>
        <w:top w:val="none" w:sz="0" w:space="0" w:color="auto"/>
        <w:left w:val="none" w:sz="0" w:space="0" w:color="auto"/>
        <w:bottom w:val="none" w:sz="0" w:space="0" w:color="auto"/>
        <w:right w:val="none" w:sz="0" w:space="0" w:color="auto"/>
      </w:divBdr>
    </w:div>
    <w:div w:id="825124632">
      <w:bodyDiv w:val="1"/>
      <w:marLeft w:val="0"/>
      <w:marRight w:val="0"/>
      <w:marTop w:val="0"/>
      <w:marBottom w:val="0"/>
      <w:divBdr>
        <w:top w:val="none" w:sz="0" w:space="0" w:color="auto"/>
        <w:left w:val="none" w:sz="0" w:space="0" w:color="auto"/>
        <w:bottom w:val="none" w:sz="0" w:space="0" w:color="auto"/>
        <w:right w:val="none" w:sz="0" w:space="0" w:color="auto"/>
      </w:divBdr>
    </w:div>
    <w:div w:id="826019133">
      <w:bodyDiv w:val="1"/>
      <w:marLeft w:val="0"/>
      <w:marRight w:val="0"/>
      <w:marTop w:val="0"/>
      <w:marBottom w:val="0"/>
      <w:divBdr>
        <w:top w:val="none" w:sz="0" w:space="0" w:color="auto"/>
        <w:left w:val="none" w:sz="0" w:space="0" w:color="auto"/>
        <w:bottom w:val="none" w:sz="0" w:space="0" w:color="auto"/>
        <w:right w:val="none" w:sz="0" w:space="0" w:color="auto"/>
      </w:divBdr>
    </w:div>
    <w:div w:id="858734263">
      <w:bodyDiv w:val="1"/>
      <w:marLeft w:val="0"/>
      <w:marRight w:val="0"/>
      <w:marTop w:val="0"/>
      <w:marBottom w:val="0"/>
      <w:divBdr>
        <w:top w:val="none" w:sz="0" w:space="0" w:color="auto"/>
        <w:left w:val="none" w:sz="0" w:space="0" w:color="auto"/>
        <w:bottom w:val="none" w:sz="0" w:space="0" w:color="auto"/>
        <w:right w:val="none" w:sz="0" w:space="0" w:color="auto"/>
      </w:divBdr>
    </w:div>
    <w:div w:id="860361673">
      <w:bodyDiv w:val="1"/>
      <w:marLeft w:val="0"/>
      <w:marRight w:val="0"/>
      <w:marTop w:val="0"/>
      <w:marBottom w:val="0"/>
      <w:divBdr>
        <w:top w:val="none" w:sz="0" w:space="0" w:color="auto"/>
        <w:left w:val="none" w:sz="0" w:space="0" w:color="auto"/>
        <w:bottom w:val="none" w:sz="0" w:space="0" w:color="auto"/>
        <w:right w:val="none" w:sz="0" w:space="0" w:color="auto"/>
      </w:divBdr>
    </w:div>
    <w:div w:id="932201851">
      <w:bodyDiv w:val="1"/>
      <w:marLeft w:val="0"/>
      <w:marRight w:val="0"/>
      <w:marTop w:val="0"/>
      <w:marBottom w:val="0"/>
      <w:divBdr>
        <w:top w:val="none" w:sz="0" w:space="0" w:color="auto"/>
        <w:left w:val="none" w:sz="0" w:space="0" w:color="auto"/>
        <w:bottom w:val="none" w:sz="0" w:space="0" w:color="auto"/>
        <w:right w:val="none" w:sz="0" w:space="0" w:color="auto"/>
      </w:divBdr>
    </w:div>
    <w:div w:id="1060595787">
      <w:bodyDiv w:val="1"/>
      <w:marLeft w:val="0"/>
      <w:marRight w:val="0"/>
      <w:marTop w:val="0"/>
      <w:marBottom w:val="0"/>
      <w:divBdr>
        <w:top w:val="none" w:sz="0" w:space="0" w:color="auto"/>
        <w:left w:val="none" w:sz="0" w:space="0" w:color="auto"/>
        <w:bottom w:val="none" w:sz="0" w:space="0" w:color="auto"/>
        <w:right w:val="none" w:sz="0" w:space="0" w:color="auto"/>
      </w:divBdr>
    </w:div>
    <w:div w:id="1097367203">
      <w:bodyDiv w:val="1"/>
      <w:marLeft w:val="0"/>
      <w:marRight w:val="0"/>
      <w:marTop w:val="0"/>
      <w:marBottom w:val="0"/>
      <w:divBdr>
        <w:top w:val="none" w:sz="0" w:space="0" w:color="auto"/>
        <w:left w:val="none" w:sz="0" w:space="0" w:color="auto"/>
        <w:bottom w:val="none" w:sz="0" w:space="0" w:color="auto"/>
        <w:right w:val="none" w:sz="0" w:space="0" w:color="auto"/>
      </w:divBdr>
    </w:div>
    <w:div w:id="1410074442">
      <w:bodyDiv w:val="1"/>
      <w:marLeft w:val="0"/>
      <w:marRight w:val="0"/>
      <w:marTop w:val="0"/>
      <w:marBottom w:val="0"/>
      <w:divBdr>
        <w:top w:val="none" w:sz="0" w:space="0" w:color="auto"/>
        <w:left w:val="none" w:sz="0" w:space="0" w:color="auto"/>
        <w:bottom w:val="none" w:sz="0" w:space="0" w:color="auto"/>
        <w:right w:val="none" w:sz="0" w:space="0" w:color="auto"/>
      </w:divBdr>
    </w:div>
    <w:div w:id="1410154845">
      <w:bodyDiv w:val="1"/>
      <w:marLeft w:val="0"/>
      <w:marRight w:val="0"/>
      <w:marTop w:val="0"/>
      <w:marBottom w:val="0"/>
      <w:divBdr>
        <w:top w:val="none" w:sz="0" w:space="0" w:color="auto"/>
        <w:left w:val="none" w:sz="0" w:space="0" w:color="auto"/>
        <w:bottom w:val="none" w:sz="0" w:space="0" w:color="auto"/>
        <w:right w:val="none" w:sz="0" w:space="0" w:color="auto"/>
      </w:divBdr>
    </w:div>
    <w:div w:id="1435901788">
      <w:bodyDiv w:val="1"/>
      <w:marLeft w:val="0"/>
      <w:marRight w:val="0"/>
      <w:marTop w:val="0"/>
      <w:marBottom w:val="0"/>
      <w:divBdr>
        <w:top w:val="none" w:sz="0" w:space="0" w:color="auto"/>
        <w:left w:val="none" w:sz="0" w:space="0" w:color="auto"/>
        <w:bottom w:val="none" w:sz="0" w:space="0" w:color="auto"/>
        <w:right w:val="none" w:sz="0" w:space="0" w:color="auto"/>
      </w:divBdr>
    </w:div>
    <w:div w:id="1558734857">
      <w:bodyDiv w:val="1"/>
      <w:marLeft w:val="0"/>
      <w:marRight w:val="0"/>
      <w:marTop w:val="0"/>
      <w:marBottom w:val="0"/>
      <w:divBdr>
        <w:top w:val="none" w:sz="0" w:space="0" w:color="auto"/>
        <w:left w:val="none" w:sz="0" w:space="0" w:color="auto"/>
        <w:bottom w:val="none" w:sz="0" w:space="0" w:color="auto"/>
        <w:right w:val="none" w:sz="0" w:space="0" w:color="auto"/>
      </w:divBdr>
    </w:div>
    <w:div w:id="1614678078">
      <w:bodyDiv w:val="1"/>
      <w:marLeft w:val="0"/>
      <w:marRight w:val="0"/>
      <w:marTop w:val="0"/>
      <w:marBottom w:val="0"/>
      <w:divBdr>
        <w:top w:val="none" w:sz="0" w:space="0" w:color="auto"/>
        <w:left w:val="none" w:sz="0" w:space="0" w:color="auto"/>
        <w:bottom w:val="none" w:sz="0" w:space="0" w:color="auto"/>
        <w:right w:val="none" w:sz="0" w:space="0" w:color="auto"/>
      </w:divBdr>
    </w:div>
    <w:div w:id="1814252280">
      <w:bodyDiv w:val="1"/>
      <w:marLeft w:val="0"/>
      <w:marRight w:val="0"/>
      <w:marTop w:val="0"/>
      <w:marBottom w:val="0"/>
      <w:divBdr>
        <w:top w:val="none" w:sz="0" w:space="0" w:color="auto"/>
        <w:left w:val="none" w:sz="0" w:space="0" w:color="auto"/>
        <w:bottom w:val="none" w:sz="0" w:space="0" w:color="auto"/>
        <w:right w:val="none" w:sz="0" w:space="0" w:color="auto"/>
      </w:divBdr>
    </w:div>
    <w:div w:id="1815683960">
      <w:bodyDiv w:val="1"/>
      <w:marLeft w:val="0"/>
      <w:marRight w:val="0"/>
      <w:marTop w:val="0"/>
      <w:marBottom w:val="0"/>
      <w:divBdr>
        <w:top w:val="none" w:sz="0" w:space="0" w:color="auto"/>
        <w:left w:val="none" w:sz="0" w:space="0" w:color="auto"/>
        <w:bottom w:val="none" w:sz="0" w:space="0" w:color="auto"/>
        <w:right w:val="none" w:sz="0" w:space="0" w:color="auto"/>
      </w:divBdr>
    </w:div>
    <w:div w:id="1990404490">
      <w:bodyDiv w:val="1"/>
      <w:marLeft w:val="0"/>
      <w:marRight w:val="0"/>
      <w:marTop w:val="0"/>
      <w:marBottom w:val="0"/>
      <w:divBdr>
        <w:top w:val="none" w:sz="0" w:space="0" w:color="auto"/>
        <w:left w:val="none" w:sz="0" w:space="0" w:color="auto"/>
        <w:bottom w:val="none" w:sz="0" w:space="0" w:color="auto"/>
        <w:right w:val="none" w:sz="0" w:space="0" w:color="auto"/>
      </w:divBdr>
    </w:div>
    <w:div w:id="2003317441">
      <w:bodyDiv w:val="1"/>
      <w:marLeft w:val="0"/>
      <w:marRight w:val="0"/>
      <w:marTop w:val="0"/>
      <w:marBottom w:val="0"/>
      <w:divBdr>
        <w:top w:val="none" w:sz="0" w:space="0" w:color="auto"/>
        <w:left w:val="none" w:sz="0" w:space="0" w:color="auto"/>
        <w:bottom w:val="none" w:sz="0" w:space="0" w:color="auto"/>
        <w:right w:val="none" w:sz="0" w:space="0" w:color="auto"/>
      </w:divBdr>
      <w:divsChild>
        <w:div w:id="23678200">
          <w:marLeft w:val="0"/>
          <w:marRight w:val="0"/>
          <w:marTop w:val="0"/>
          <w:marBottom w:val="0"/>
          <w:divBdr>
            <w:top w:val="none" w:sz="0" w:space="0" w:color="auto"/>
            <w:left w:val="none" w:sz="0" w:space="0" w:color="auto"/>
            <w:bottom w:val="none" w:sz="0" w:space="0" w:color="auto"/>
            <w:right w:val="none" w:sz="0" w:space="0" w:color="auto"/>
          </w:divBdr>
          <w:divsChild>
            <w:div w:id="571432770">
              <w:marLeft w:val="0"/>
              <w:marRight w:val="0"/>
              <w:marTop w:val="0"/>
              <w:marBottom w:val="0"/>
              <w:divBdr>
                <w:top w:val="none" w:sz="0" w:space="0" w:color="auto"/>
                <w:left w:val="none" w:sz="0" w:space="0" w:color="auto"/>
                <w:bottom w:val="none" w:sz="0" w:space="0" w:color="auto"/>
                <w:right w:val="none" w:sz="0" w:space="0" w:color="auto"/>
              </w:divBdr>
              <w:divsChild>
                <w:div w:id="12515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4468">
      <w:bodyDiv w:val="1"/>
      <w:marLeft w:val="0"/>
      <w:marRight w:val="0"/>
      <w:marTop w:val="0"/>
      <w:marBottom w:val="0"/>
      <w:divBdr>
        <w:top w:val="none" w:sz="0" w:space="0" w:color="auto"/>
        <w:left w:val="none" w:sz="0" w:space="0" w:color="auto"/>
        <w:bottom w:val="none" w:sz="0" w:space="0" w:color="auto"/>
        <w:right w:val="none" w:sz="0" w:space="0" w:color="auto"/>
      </w:divBdr>
    </w:div>
    <w:div w:id="2061900050">
      <w:bodyDiv w:val="1"/>
      <w:marLeft w:val="0"/>
      <w:marRight w:val="0"/>
      <w:marTop w:val="0"/>
      <w:marBottom w:val="0"/>
      <w:divBdr>
        <w:top w:val="none" w:sz="0" w:space="0" w:color="auto"/>
        <w:left w:val="none" w:sz="0" w:space="0" w:color="auto"/>
        <w:bottom w:val="none" w:sz="0" w:space="0" w:color="auto"/>
        <w:right w:val="none" w:sz="0" w:space="0" w:color="auto"/>
      </w:divBdr>
    </w:div>
    <w:div w:id="213116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29.xml"/><Relationship Id="rId21" Type="http://schemas.openxmlformats.org/officeDocument/2006/relationships/footer" Target="footer4.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diagramData" Target="diagrams/data2.xml"/><Relationship Id="rId68" Type="http://schemas.openxmlformats.org/officeDocument/2006/relationships/diagramData" Target="diagrams/data3.xml"/><Relationship Id="rId84" Type="http://schemas.openxmlformats.org/officeDocument/2006/relationships/header" Target="header17.xml"/><Relationship Id="rId89" Type="http://schemas.openxmlformats.org/officeDocument/2006/relationships/header" Target="header19.xml"/><Relationship Id="rId112" Type="http://schemas.openxmlformats.org/officeDocument/2006/relationships/image" Target="media/image30.png"/><Relationship Id="rId16" Type="http://schemas.openxmlformats.org/officeDocument/2006/relationships/header" Target="header3.xml"/><Relationship Id="rId107" Type="http://schemas.openxmlformats.org/officeDocument/2006/relationships/image" Target="media/image25.png"/><Relationship Id="rId11" Type="http://schemas.openxmlformats.org/officeDocument/2006/relationships/image" Target="media/image1.emf"/><Relationship Id="rId32" Type="http://schemas.openxmlformats.org/officeDocument/2006/relationships/header" Target="header11.xml"/><Relationship Id="rId37" Type="http://schemas.openxmlformats.org/officeDocument/2006/relationships/image" Target="media/image3.png"/><Relationship Id="rId53" Type="http://schemas.openxmlformats.org/officeDocument/2006/relationships/image" Target="media/image16.png"/><Relationship Id="rId58" Type="http://schemas.openxmlformats.org/officeDocument/2006/relationships/diagramData" Target="diagrams/data1.xml"/><Relationship Id="rId74" Type="http://schemas.openxmlformats.org/officeDocument/2006/relationships/image" Target="media/image22.png"/><Relationship Id="rId79" Type="http://schemas.openxmlformats.org/officeDocument/2006/relationships/footer" Target="footer13.xml"/><Relationship Id="rId102" Type="http://schemas.openxmlformats.org/officeDocument/2006/relationships/header" Target="header26.xml"/><Relationship Id="rId5" Type="http://schemas.openxmlformats.org/officeDocument/2006/relationships/numbering" Target="numbering.xml"/><Relationship Id="rId61" Type="http://schemas.openxmlformats.org/officeDocument/2006/relationships/diagramColors" Target="diagrams/colors1.xml"/><Relationship Id="rId82" Type="http://schemas.openxmlformats.org/officeDocument/2006/relationships/footer" Target="footer15.xml"/><Relationship Id="rId90" Type="http://schemas.openxmlformats.org/officeDocument/2006/relationships/header" Target="header20.xml"/><Relationship Id="rId95" Type="http://schemas.openxmlformats.org/officeDocument/2006/relationships/header" Target="header22.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9.png"/><Relationship Id="rId48" Type="http://schemas.openxmlformats.org/officeDocument/2006/relationships/hyperlink" Target="https://ec.europa.eu/info/law/better-regulation/have-your-say/initiatives/13357-Intellectual-property-revised-framework-for-compulsory-licensing-of-patents_en" TargetMode="External"/><Relationship Id="rId56" Type="http://schemas.openxmlformats.org/officeDocument/2006/relationships/image" Target="media/image19.png"/><Relationship Id="rId64" Type="http://schemas.openxmlformats.org/officeDocument/2006/relationships/diagramLayout" Target="diagrams/layout2.xml"/><Relationship Id="rId69" Type="http://schemas.openxmlformats.org/officeDocument/2006/relationships/diagramLayout" Target="diagrams/layout3.xml"/><Relationship Id="rId77" Type="http://schemas.openxmlformats.org/officeDocument/2006/relationships/header" Target="header13.xml"/><Relationship Id="rId100" Type="http://schemas.openxmlformats.org/officeDocument/2006/relationships/footer" Target="footer24.xml"/><Relationship Id="rId105" Type="http://schemas.openxmlformats.org/officeDocument/2006/relationships/header" Target="header27.xml"/><Relationship Id="rId113" Type="http://schemas.openxmlformats.org/officeDocument/2006/relationships/image" Target="media/image31.png"/><Relationship Id="rId118"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image" Target="media/image14.png"/><Relationship Id="rId72" Type="http://schemas.microsoft.com/office/2007/relationships/diagramDrawing" Target="diagrams/drawing3.xml"/><Relationship Id="rId80" Type="http://schemas.openxmlformats.org/officeDocument/2006/relationships/footer" Target="footer14.xml"/><Relationship Id="rId85" Type="http://schemas.openxmlformats.org/officeDocument/2006/relationships/footer" Target="footer16.xml"/><Relationship Id="rId93" Type="http://schemas.openxmlformats.org/officeDocument/2006/relationships/header" Target="header21.xml"/><Relationship Id="rId98" Type="http://schemas.openxmlformats.org/officeDocument/2006/relationships/footer" Target="footer23.xm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diagramLayout" Target="diagrams/layout1.xml"/><Relationship Id="rId67" Type="http://schemas.microsoft.com/office/2007/relationships/diagramDrawing" Target="diagrams/drawing2.xml"/><Relationship Id="rId103" Type="http://schemas.openxmlformats.org/officeDocument/2006/relationships/footer" Target="footer25.xml"/><Relationship Id="rId108" Type="http://schemas.openxmlformats.org/officeDocument/2006/relationships/image" Target="media/image26.png"/><Relationship Id="rId116" Type="http://schemas.openxmlformats.org/officeDocument/2006/relationships/footer" Target="footer28.xml"/><Relationship Id="rId20" Type="http://schemas.openxmlformats.org/officeDocument/2006/relationships/header" Target="header5.xml"/><Relationship Id="rId41" Type="http://schemas.openxmlformats.org/officeDocument/2006/relationships/image" Target="media/image7.png"/><Relationship Id="rId54" Type="http://schemas.openxmlformats.org/officeDocument/2006/relationships/image" Target="media/image17.png"/><Relationship Id="rId62" Type="http://schemas.microsoft.com/office/2007/relationships/diagramDrawing" Target="diagrams/drawing1.xml"/><Relationship Id="rId70" Type="http://schemas.openxmlformats.org/officeDocument/2006/relationships/diagramQuickStyle" Target="diagrams/quickStyle3.xml"/><Relationship Id="rId75" Type="http://schemas.openxmlformats.org/officeDocument/2006/relationships/image" Target="media/image23.png"/><Relationship Id="rId83" Type="http://schemas.openxmlformats.org/officeDocument/2006/relationships/header" Target="header16.xml"/><Relationship Id="rId88" Type="http://schemas.openxmlformats.org/officeDocument/2006/relationships/footer" Target="footer18.xml"/><Relationship Id="rId91" Type="http://schemas.openxmlformats.org/officeDocument/2006/relationships/footer" Target="footer19.xml"/><Relationship Id="rId96" Type="http://schemas.openxmlformats.org/officeDocument/2006/relationships/header" Target="header23.xml"/><Relationship Id="rId11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yperlink" Target="https://single-market-economy.ec.europa.eu/news/commission-seeks-views-and-input-compulsory-licensing-patents-2022-07-07_en" TargetMode="External"/><Relationship Id="rId57" Type="http://schemas.openxmlformats.org/officeDocument/2006/relationships/image" Target="media/image20.png"/><Relationship Id="rId106" Type="http://schemas.openxmlformats.org/officeDocument/2006/relationships/footer" Target="footer27.xml"/><Relationship Id="rId114" Type="http://schemas.openxmlformats.org/officeDocument/2006/relationships/header" Target="header28.xml"/><Relationship Id="rId119" Type="http://schemas.openxmlformats.org/officeDocument/2006/relationships/footer" Target="footer30.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image" Target="media/image10.png"/><Relationship Id="rId52" Type="http://schemas.openxmlformats.org/officeDocument/2006/relationships/image" Target="media/image15.png"/><Relationship Id="rId60" Type="http://schemas.openxmlformats.org/officeDocument/2006/relationships/diagramQuickStyle" Target="diagrams/quickStyle1.xml"/><Relationship Id="rId65" Type="http://schemas.openxmlformats.org/officeDocument/2006/relationships/diagramQuickStyle" Target="diagrams/quickStyle2.xml"/><Relationship Id="rId73" Type="http://schemas.openxmlformats.org/officeDocument/2006/relationships/image" Target="media/image21.png"/><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footer" Target="footer17.xml"/><Relationship Id="rId94" Type="http://schemas.openxmlformats.org/officeDocument/2006/relationships/footer" Target="footer21.xml"/><Relationship Id="rId99" Type="http://schemas.openxmlformats.org/officeDocument/2006/relationships/header" Target="header24.xml"/><Relationship Id="rId101"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5.png"/><Relationship Id="rId109" Type="http://schemas.openxmlformats.org/officeDocument/2006/relationships/image" Target="media/image27.png"/><Relationship Id="rId34" Type="http://schemas.openxmlformats.org/officeDocument/2006/relationships/footer" Target="footer11.xml"/><Relationship Id="rId50" Type="http://schemas.openxmlformats.org/officeDocument/2006/relationships/hyperlink" Target="https://www.epo.org/learning/materials/compulsory-licensing-in-europe.html" TargetMode="External"/><Relationship Id="rId55" Type="http://schemas.openxmlformats.org/officeDocument/2006/relationships/image" Target="media/image18.png"/><Relationship Id="rId76" Type="http://schemas.openxmlformats.org/officeDocument/2006/relationships/image" Target="media/image24.png"/><Relationship Id="rId97" Type="http://schemas.openxmlformats.org/officeDocument/2006/relationships/footer" Target="footer22.xml"/><Relationship Id="rId104" Type="http://schemas.openxmlformats.org/officeDocument/2006/relationships/footer" Target="footer26.xm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diagramColors" Target="diagrams/colors3.xml"/><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diagramColors" Target="diagrams/colors2.xml"/><Relationship Id="rId87" Type="http://schemas.openxmlformats.org/officeDocument/2006/relationships/header" Target="header18.xml"/><Relationship Id="rId110" Type="http://schemas.openxmlformats.org/officeDocument/2006/relationships/image" Target="media/image28.png"/><Relationship Id="rId115" Type="http://schemas.openxmlformats.org/officeDocument/2006/relationships/header" Target="header29.xml"/></Relationships>
</file>

<file path=word/_rels/footnotes.xml.rels><?xml version="1.0" encoding="UTF-8" standalone="yes"?>
<Relationships xmlns="http://schemas.openxmlformats.org/package/2006/relationships"><Relationship Id="rId8" Type="http://schemas.openxmlformats.org/officeDocument/2006/relationships/hyperlink" Target="https://patentscope.wipo.int/search/en/covid19.jsf" TargetMode="External"/><Relationship Id="rId13" Type="http://schemas.openxmlformats.org/officeDocument/2006/relationships/hyperlink" Target="https://patentscope.wipo.int/search/en/covid19.jsf" TargetMode="External"/><Relationship Id="rId18" Type="http://schemas.openxmlformats.org/officeDocument/2006/relationships/hyperlink" Target="https://msfaccess.org/neither-expeditious-nor-solution-wto-august-30th-decision-unworkable" TargetMode="External"/><Relationship Id="rId3" Type="http://schemas.openxmlformats.org/officeDocument/2006/relationships/hyperlink" Target="https://www.consilium.europa.eu/media/50529/st-9932-2021-init.pdf" TargetMode="External"/><Relationship Id="rId21" Type="http://schemas.openxmlformats.org/officeDocument/2006/relationships/hyperlink" Target="https://www.biospace.com/article/releases/apotex-corp-receives-final-tender-approval-from-rwanda-for-vital-aids-drug-/" TargetMode="External"/><Relationship Id="rId7" Type="http://schemas.openxmlformats.org/officeDocument/2006/relationships/hyperlink" Target="https://eur-lex.europa.eu/legal-content/EN/TXT/?uri=celex:52022PC0046" TargetMode="External"/><Relationship Id="rId12" Type="http://schemas.openxmlformats.org/officeDocument/2006/relationships/hyperlink" Target="https://cepr.org/voxeu/columns/eu-economy-after-covid-19-implications-economic-governance" TargetMode="External"/><Relationship Id="rId17" Type="http://schemas.openxmlformats.org/officeDocument/2006/relationships/hyperlink" Target="https://www.wto.org/english/thewto_e/minist_e/min01_e/mindecl_trips_e.pdf" TargetMode="External"/><Relationship Id="rId2" Type="http://schemas.openxmlformats.org/officeDocument/2006/relationships/hyperlink" Target="https://eur-lex.europa.eu/resource.html?uri=cellar%3A413d324d-4fc3-11ed-92ed-01aa75ed71a1.0001.02/DOC_1&amp;format=PDF" TargetMode="External"/><Relationship Id="rId16" Type="http://schemas.openxmlformats.org/officeDocument/2006/relationships/hyperlink" Target="https://wipolex.wipo.int/en/text/287556" TargetMode="External"/><Relationship Id="rId20" Type="http://schemas.openxmlformats.org/officeDocument/2006/relationships/hyperlink" Target="https://www.wto.org/english/news_e/news07_e/trips_health_notif_oct07_e.htm" TargetMode="External"/><Relationship Id="rId1" Type="http://schemas.openxmlformats.org/officeDocument/2006/relationships/hyperlink" Target="https://ec.europa.eu/info/law/better-regulation/have-your-say/initiatives/13357-Intellectual-property-revised-framework-for-compulsory-licensing-of-patents_en" TargetMode="External"/><Relationship Id="rId6" Type="http://schemas.openxmlformats.org/officeDocument/2006/relationships/hyperlink" Target="https://eur-lex.europa.eu/legal-content/EN/TXT/?uri=uriserv%3AOJ.L_.2022.314.01.0064.01.ENG&amp;toc=OJ%3AL%3A2022%3A314%3AFULL" TargetMode="External"/><Relationship Id="rId11" Type="http://schemas.openxmlformats.org/officeDocument/2006/relationships/hyperlink" Target="https://www.undp.org/coronavirus/socio-economic-impact-covid-19" TargetMode="External"/><Relationship Id="rId24" Type="http://schemas.openxmlformats.org/officeDocument/2006/relationships/hyperlink" Target="https://ec.europa.eu/transparency/documents-register/detail?ref=SWD(2022)289&amp;lang=en" TargetMode="External"/><Relationship Id="rId5" Type="http://schemas.openxmlformats.org/officeDocument/2006/relationships/hyperlink" Target="https://eur-lex.europa.eu/legal-content/EN/TXT/?uri=uriserv%3AOJ.L_.2022.314.01.0026.01.ENG&amp;toc=OJ%3AL%3A2022%3A314%3AFULL" TargetMode="External"/><Relationship Id="rId15" Type="http://schemas.openxmlformats.org/officeDocument/2006/relationships/hyperlink" Target="https://go.patentsight.com/?welcome=1" TargetMode="External"/><Relationship Id="rId23" Type="http://schemas.openxmlformats.org/officeDocument/2006/relationships/hyperlink" Target="https://www.wto.org/english/res_e/publications_e/who-wipo-wto_2020_e.htm" TargetMode="External"/><Relationship Id="rId10" Type="http://schemas.openxmlformats.org/officeDocument/2006/relationships/hyperlink" Target="https://www.ncbi.nlm.nih.gov/pmc/articles/PMC5490222/pdf/40545_2017_Article_107.pdf" TargetMode="External"/><Relationship Id="rId19" Type="http://schemas.openxmlformats.org/officeDocument/2006/relationships/hyperlink" Target="https://docs.wto.org/dol2fe/Pages/FE_Search/FE_S_S009-DP.aspx?language=E&amp;CatalogueIdList=67527&amp;CurrentCatalogueIdIndex=0&amp;FullTextSearch" TargetMode="External"/><Relationship Id="rId4" Type="http://schemas.openxmlformats.org/officeDocument/2006/relationships/hyperlink" Target="https://single-market-economy.ec.europa.eu/document/d1d0b38a-cec8-479d-be70-1ffae7e227a5_en" TargetMode="External"/><Relationship Id="rId9" Type="http://schemas.openxmlformats.org/officeDocument/2006/relationships/hyperlink" Target="https://ec.europa.eu/eurostat/statistics-explained/index.php?title=Intra-EU_trade_in_goods_-_main_features" TargetMode="External"/><Relationship Id="rId14" Type="http://schemas.openxmlformats.org/officeDocument/2006/relationships/hyperlink" Target="https://ec.europa.eu/eurostat/statistics-explained/index.php?title=Glossary:International_patent_classification_(IPC)" TargetMode="External"/><Relationship Id="rId22" Type="http://schemas.openxmlformats.org/officeDocument/2006/relationships/hyperlink" Target="https://www.canada.ca/en/health-canada/corporate/transparency/corporate-management-reporting/evaluation.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CB0AA7-C4E5-45A0-B6B4-3EB37F298CCC}"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fr-FR"/>
        </a:p>
      </dgm:t>
    </dgm:pt>
    <dgm:pt modelId="{F31EA163-5A32-43CF-A4A7-2C74ECBFC526}">
      <dgm:prSet phldrT="[Texte]"/>
      <dgm:spPr>
        <a:solidFill>
          <a:schemeClr val="tx2">
            <a:lumMod val="40000"/>
            <a:lumOff val="60000"/>
          </a:schemeClr>
        </a:solidFill>
      </dgm:spPr>
      <dgm:t>
        <a:bodyPr/>
        <a:lstStyle/>
        <a:p>
          <a:r>
            <a:rPr lang="fr-FR"/>
            <a:t>December 2004 - Apotex agreement to produce a fixed-dose combination </a:t>
          </a:r>
        </a:p>
      </dgm:t>
    </dgm:pt>
    <dgm:pt modelId="{C9CCD9E7-CC6D-42C6-A021-FC279DE8F924}" type="parTrans" cxnId="{BCB6B406-2833-4E48-8A87-C2702037592C}">
      <dgm:prSet/>
      <dgm:spPr/>
      <dgm:t>
        <a:bodyPr/>
        <a:lstStyle/>
        <a:p>
          <a:endParaRPr lang="fr-FR"/>
        </a:p>
      </dgm:t>
    </dgm:pt>
    <dgm:pt modelId="{3ECFA7AF-8B11-4A93-895E-91E90E0092F7}" type="sibTrans" cxnId="{BCB6B406-2833-4E48-8A87-C2702037592C}">
      <dgm:prSet/>
      <dgm:spPr>
        <a:solidFill>
          <a:schemeClr val="tx2"/>
        </a:solidFill>
      </dgm:spPr>
      <dgm:t>
        <a:bodyPr/>
        <a:lstStyle/>
        <a:p>
          <a:endParaRPr lang="fr-FR"/>
        </a:p>
      </dgm:t>
    </dgm:pt>
    <dgm:pt modelId="{2D97A316-45DD-4B9C-8361-32A7ACBBEE3A}">
      <dgm:prSet phldrT="[Texte]"/>
      <dgm:spPr>
        <a:solidFill>
          <a:schemeClr val="tx2">
            <a:lumMod val="40000"/>
            <a:lumOff val="60000"/>
          </a:schemeClr>
        </a:solidFill>
      </dgm:spPr>
      <dgm:t>
        <a:bodyPr/>
        <a:lstStyle/>
        <a:p>
          <a:r>
            <a:rPr lang="fr-FR"/>
            <a:t>September 2005 - Amendment of Schedule 1 of CAMR to include fixed-dose combination drugs</a:t>
          </a:r>
        </a:p>
      </dgm:t>
    </dgm:pt>
    <dgm:pt modelId="{40D0FE92-5D47-42A7-90A3-437207EEB2A3}" type="parTrans" cxnId="{0C016F43-CA49-4067-A80D-69ACB502DFB7}">
      <dgm:prSet/>
      <dgm:spPr/>
      <dgm:t>
        <a:bodyPr/>
        <a:lstStyle/>
        <a:p>
          <a:endParaRPr lang="fr-FR"/>
        </a:p>
      </dgm:t>
    </dgm:pt>
    <dgm:pt modelId="{20996C43-55AE-4172-AA90-68312E5E5B65}" type="sibTrans" cxnId="{0C016F43-CA49-4067-A80D-69ACB502DFB7}">
      <dgm:prSet/>
      <dgm:spPr>
        <a:solidFill>
          <a:schemeClr val="tx2"/>
        </a:solidFill>
      </dgm:spPr>
      <dgm:t>
        <a:bodyPr/>
        <a:lstStyle/>
        <a:p>
          <a:endParaRPr lang="fr-FR"/>
        </a:p>
      </dgm:t>
    </dgm:pt>
    <dgm:pt modelId="{B1459098-5B38-4CC7-BA2E-91EB93BB3817}">
      <dgm:prSet phldrT="[Texte]"/>
      <dgm:spPr>
        <a:solidFill>
          <a:schemeClr val="tx2">
            <a:lumMod val="40000"/>
            <a:lumOff val="60000"/>
          </a:schemeClr>
        </a:solidFill>
      </dgm:spPr>
      <dgm:t>
        <a:bodyPr/>
        <a:lstStyle/>
        <a:p>
          <a:r>
            <a:rPr lang="fr-FR"/>
            <a:t>August 2006 - Regulatory approval of product by Health Canada</a:t>
          </a:r>
        </a:p>
      </dgm:t>
    </dgm:pt>
    <dgm:pt modelId="{29F9B9DC-55C5-4E66-AF57-AE4D26AE51EA}" type="parTrans" cxnId="{0C696BDC-FF31-44EF-BF83-36F95F0B46A6}">
      <dgm:prSet/>
      <dgm:spPr/>
      <dgm:t>
        <a:bodyPr/>
        <a:lstStyle/>
        <a:p>
          <a:endParaRPr lang="fr-FR"/>
        </a:p>
      </dgm:t>
    </dgm:pt>
    <dgm:pt modelId="{B08668A7-04D9-4D49-8EB7-515D8C32D46B}" type="sibTrans" cxnId="{0C696BDC-FF31-44EF-BF83-36F95F0B46A6}">
      <dgm:prSet/>
      <dgm:spPr>
        <a:solidFill>
          <a:schemeClr val="tx2"/>
        </a:solidFill>
      </dgm:spPr>
      <dgm:t>
        <a:bodyPr/>
        <a:lstStyle/>
        <a:p>
          <a:endParaRPr lang="fr-FR"/>
        </a:p>
      </dgm:t>
    </dgm:pt>
    <dgm:pt modelId="{9C2E8B38-9DDE-44F2-B7F7-1EC76BDC1E73}">
      <dgm:prSet phldrT="[Texte]"/>
      <dgm:spPr>
        <a:solidFill>
          <a:schemeClr val="tx2">
            <a:lumMod val="40000"/>
            <a:lumOff val="60000"/>
          </a:schemeClr>
        </a:solidFill>
      </dgm:spPr>
      <dgm:t>
        <a:bodyPr/>
        <a:lstStyle/>
        <a:p>
          <a:r>
            <a:rPr lang="fr-FR"/>
            <a:t>May 2007 - Rwanda notification to the WTO Council for TRIPS of intent to import medicine under Art. 31bis</a:t>
          </a:r>
        </a:p>
      </dgm:t>
    </dgm:pt>
    <dgm:pt modelId="{9A87C052-19DF-4804-9744-5CDD4C74DCF2}" type="parTrans" cxnId="{4091CA8F-1221-4BEA-ABE1-F25B7CE43EBE}">
      <dgm:prSet/>
      <dgm:spPr/>
      <dgm:t>
        <a:bodyPr/>
        <a:lstStyle/>
        <a:p>
          <a:endParaRPr lang="fr-FR"/>
        </a:p>
      </dgm:t>
    </dgm:pt>
    <dgm:pt modelId="{18C2826E-0925-4E62-81C9-5E558E772404}" type="sibTrans" cxnId="{4091CA8F-1221-4BEA-ABE1-F25B7CE43EBE}">
      <dgm:prSet/>
      <dgm:spPr>
        <a:solidFill>
          <a:schemeClr val="tx2"/>
        </a:solidFill>
      </dgm:spPr>
      <dgm:t>
        <a:bodyPr/>
        <a:lstStyle/>
        <a:p>
          <a:endParaRPr lang="fr-FR"/>
        </a:p>
      </dgm:t>
    </dgm:pt>
    <dgm:pt modelId="{BC2DC0AB-08D8-4CD0-A27E-CC3BF08DE1D5}">
      <dgm:prSet phldrT="[Texte]"/>
      <dgm:spPr>
        <a:solidFill>
          <a:schemeClr val="tx2">
            <a:lumMod val="40000"/>
            <a:lumOff val="60000"/>
          </a:schemeClr>
        </a:solidFill>
      </dgm:spPr>
      <dgm:t>
        <a:bodyPr/>
        <a:lstStyle/>
        <a:p>
          <a:r>
            <a:rPr lang="fr-FR"/>
            <a:t>September 2007 - Apotex files and obtains a 2-year CL</a:t>
          </a:r>
        </a:p>
      </dgm:t>
    </dgm:pt>
    <dgm:pt modelId="{53D46FF1-A31D-47EB-9BA7-C7CCB70A1E50}" type="parTrans" cxnId="{5220093A-C2F9-4981-8B68-3947D1580E13}">
      <dgm:prSet/>
      <dgm:spPr/>
      <dgm:t>
        <a:bodyPr/>
        <a:lstStyle/>
        <a:p>
          <a:endParaRPr lang="fr-FR"/>
        </a:p>
      </dgm:t>
    </dgm:pt>
    <dgm:pt modelId="{8A5DE4E8-D545-4C0B-B5B5-0F914C7C9461}" type="sibTrans" cxnId="{5220093A-C2F9-4981-8B68-3947D1580E13}">
      <dgm:prSet/>
      <dgm:spPr>
        <a:solidFill>
          <a:schemeClr val="tx2"/>
        </a:solidFill>
      </dgm:spPr>
      <dgm:t>
        <a:bodyPr/>
        <a:lstStyle/>
        <a:p>
          <a:endParaRPr lang="fr-FR"/>
        </a:p>
      </dgm:t>
    </dgm:pt>
    <dgm:pt modelId="{E3CD1B25-D6A0-46B0-BA88-FECD2024C4CC}">
      <dgm:prSet/>
      <dgm:spPr>
        <a:solidFill>
          <a:schemeClr val="tx2">
            <a:lumMod val="40000"/>
            <a:lumOff val="60000"/>
          </a:schemeClr>
        </a:solidFill>
      </dgm:spPr>
      <dgm:t>
        <a:bodyPr/>
        <a:lstStyle/>
        <a:p>
          <a:r>
            <a:rPr lang="fr-FR"/>
            <a:t>October 2007 - Canada notification to WTO Council for TRIPS of intent to export medicine</a:t>
          </a:r>
        </a:p>
      </dgm:t>
    </dgm:pt>
    <dgm:pt modelId="{0D97AD2C-EDD6-451C-A73E-9E459102B828}" type="parTrans" cxnId="{783C42AB-B882-4CC0-8299-C8A74D9D649A}">
      <dgm:prSet/>
      <dgm:spPr/>
      <dgm:t>
        <a:bodyPr/>
        <a:lstStyle/>
        <a:p>
          <a:endParaRPr lang="fr-FR"/>
        </a:p>
      </dgm:t>
    </dgm:pt>
    <dgm:pt modelId="{034DF245-153E-4C2A-9763-1EC751E13F4F}" type="sibTrans" cxnId="{783C42AB-B882-4CC0-8299-C8A74D9D649A}">
      <dgm:prSet/>
      <dgm:spPr>
        <a:solidFill>
          <a:schemeClr val="tx2"/>
        </a:solidFill>
      </dgm:spPr>
      <dgm:t>
        <a:bodyPr/>
        <a:lstStyle/>
        <a:p>
          <a:endParaRPr lang="fr-FR"/>
        </a:p>
      </dgm:t>
    </dgm:pt>
    <dgm:pt modelId="{9C04605B-2FA2-42C3-BDF3-9B4F68B633F7}">
      <dgm:prSet/>
      <dgm:spPr>
        <a:solidFill>
          <a:schemeClr val="tx2">
            <a:lumMod val="40000"/>
            <a:lumOff val="60000"/>
          </a:schemeClr>
        </a:solidFill>
      </dgm:spPr>
      <dgm:t>
        <a:bodyPr/>
        <a:lstStyle/>
        <a:p>
          <a:r>
            <a:rPr lang="fr-FR"/>
            <a:t>May 2008 - Apotex received final tender approval from Rwanda to export the CL drug</a:t>
          </a:r>
        </a:p>
      </dgm:t>
    </dgm:pt>
    <dgm:pt modelId="{4AB45C16-90FD-4D51-9955-EAC02FB0BFD5}" type="parTrans" cxnId="{E983CD6A-1A4B-4BEE-A66E-EE58A0A98CDD}">
      <dgm:prSet/>
      <dgm:spPr/>
      <dgm:t>
        <a:bodyPr/>
        <a:lstStyle/>
        <a:p>
          <a:endParaRPr lang="fr-FR"/>
        </a:p>
      </dgm:t>
    </dgm:pt>
    <dgm:pt modelId="{354E3C16-E5A1-49A0-80B4-11A93BE832DE}" type="sibTrans" cxnId="{E983CD6A-1A4B-4BEE-A66E-EE58A0A98CDD}">
      <dgm:prSet/>
      <dgm:spPr/>
      <dgm:t>
        <a:bodyPr/>
        <a:lstStyle/>
        <a:p>
          <a:endParaRPr lang="fr-FR"/>
        </a:p>
      </dgm:t>
    </dgm:pt>
    <dgm:pt modelId="{D8A541B1-A99F-4137-BB64-FD4DFA491EEC}" type="pres">
      <dgm:prSet presAssocID="{3ECB0AA7-C4E5-45A0-B6B4-3EB37F298CCC}" presName="diagram" presStyleCnt="0">
        <dgm:presLayoutVars>
          <dgm:dir/>
          <dgm:resizeHandles val="exact"/>
        </dgm:presLayoutVars>
      </dgm:prSet>
      <dgm:spPr/>
    </dgm:pt>
    <dgm:pt modelId="{B0D804B9-439B-47CB-B298-5F4B2C5AEC4E}" type="pres">
      <dgm:prSet presAssocID="{F31EA163-5A32-43CF-A4A7-2C74ECBFC526}" presName="node" presStyleLbl="node1" presStyleIdx="0" presStyleCnt="7">
        <dgm:presLayoutVars>
          <dgm:bulletEnabled val="1"/>
        </dgm:presLayoutVars>
      </dgm:prSet>
      <dgm:spPr/>
    </dgm:pt>
    <dgm:pt modelId="{24F055E0-7ED3-463E-B52D-1B97ACA7318E}" type="pres">
      <dgm:prSet presAssocID="{3ECFA7AF-8B11-4A93-895E-91E90E0092F7}" presName="sibTrans" presStyleLbl="sibTrans2D1" presStyleIdx="0" presStyleCnt="6"/>
      <dgm:spPr/>
    </dgm:pt>
    <dgm:pt modelId="{00222905-4371-4294-A428-BB11BC2A2866}" type="pres">
      <dgm:prSet presAssocID="{3ECFA7AF-8B11-4A93-895E-91E90E0092F7}" presName="connectorText" presStyleLbl="sibTrans2D1" presStyleIdx="0" presStyleCnt="6"/>
      <dgm:spPr/>
    </dgm:pt>
    <dgm:pt modelId="{A5BAF762-C552-4E08-9EA5-9EA50A27AFFD}" type="pres">
      <dgm:prSet presAssocID="{2D97A316-45DD-4B9C-8361-32A7ACBBEE3A}" presName="node" presStyleLbl="node1" presStyleIdx="1" presStyleCnt="7">
        <dgm:presLayoutVars>
          <dgm:bulletEnabled val="1"/>
        </dgm:presLayoutVars>
      </dgm:prSet>
      <dgm:spPr/>
    </dgm:pt>
    <dgm:pt modelId="{F654E532-42E4-4246-94FA-BA1CB15714FE}" type="pres">
      <dgm:prSet presAssocID="{20996C43-55AE-4172-AA90-68312E5E5B65}" presName="sibTrans" presStyleLbl="sibTrans2D1" presStyleIdx="1" presStyleCnt="6"/>
      <dgm:spPr/>
    </dgm:pt>
    <dgm:pt modelId="{9217178E-1031-44B0-B5A0-62F48AEF785E}" type="pres">
      <dgm:prSet presAssocID="{20996C43-55AE-4172-AA90-68312E5E5B65}" presName="connectorText" presStyleLbl="sibTrans2D1" presStyleIdx="1" presStyleCnt="6"/>
      <dgm:spPr/>
    </dgm:pt>
    <dgm:pt modelId="{C47BE6A9-0547-4B48-B633-7053A55691A6}" type="pres">
      <dgm:prSet presAssocID="{B1459098-5B38-4CC7-BA2E-91EB93BB3817}" presName="node" presStyleLbl="node1" presStyleIdx="2" presStyleCnt="7">
        <dgm:presLayoutVars>
          <dgm:bulletEnabled val="1"/>
        </dgm:presLayoutVars>
      </dgm:prSet>
      <dgm:spPr/>
    </dgm:pt>
    <dgm:pt modelId="{CE35AED9-3E4D-444E-8E55-CDFCA4F235CE}" type="pres">
      <dgm:prSet presAssocID="{B08668A7-04D9-4D49-8EB7-515D8C32D46B}" presName="sibTrans" presStyleLbl="sibTrans2D1" presStyleIdx="2" presStyleCnt="6"/>
      <dgm:spPr/>
    </dgm:pt>
    <dgm:pt modelId="{1956F86E-6BC6-4EDC-BF49-BB8F4DED74FF}" type="pres">
      <dgm:prSet presAssocID="{B08668A7-04D9-4D49-8EB7-515D8C32D46B}" presName="connectorText" presStyleLbl="sibTrans2D1" presStyleIdx="2" presStyleCnt="6"/>
      <dgm:spPr/>
    </dgm:pt>
    <dgm:pt modelId="{F300E78D-2E62-4035-9388-5F27ED5BC6CB}" type="pres">
      <dgm:prSet presAssocID="{9C2E8B38-9DDE-44F2-B7F7-1EC76BDC1E73}" presName="node" presStyleLbl="node1" presStyleIdx="3" presStyleCnt="7">
        <dgm:presLayoutVars>
          <dgm:bulletEnabled val="1"/>
        </dgm:presLayoutVars>
      </dgm:prSet>
      <dgm:spPr/>
    </dgm:pt>
    <dgm:pt modelId="{95413D42-C626-43C4-9D69-30CEC0160B6B}" type="pres">
      <dgm:prSet presAssocID="{18C2826E-0925-4E62-81C9-5E558E772404}" presName="sibTrans" presStyleLbl="sibTrans2D1" presStyleIdx="3" presStyleCnt="6"/>
      <dgm:spPr/>
    </dgm:pt>
    <dgm:pt modelId="{A6D9B8A7-58AE-4264-B895-853D02E4974A}" type="pres">
      <dgm:prSet presAssocID="{18C2826E-0925-4E62-81C9-5E558E772404}" presName="connectorText" presStyleLbl="sibTrans2D1" presStyleIdx="3" presStyleCnt="6"/>
      <dgm:spPr/>
    </dgm:pt>
    <dgm:pt modelId="{AADF9639-D8D1-4CA8-9EDA-002EB9C2E8AF}" type="pres">
      <dgm:prSet presAssocID="{BC2DC0AB-08D8-4CD0-A27E-CC3BF08DE1D5}" presName="node" presStyleLbl="node1" presStyleIdx="4" presStyleCnt="7">
        <dgm:presLayoutVars>
          <dgm:bulletEnabled val="1"/>
        </dgm:presLayoutVars>
      </dgm:prSet>
      <dgm:spPr/>
    </dgm:pt>
    <dgm:pt modelId="{5BA68BFC-55DD-4F56-A2B9-B3F1CB08DA1B}" type="pres">
      <dgm:prSet presAssocID="{8A5DE4E8-D545-4C0B-B5B5-0F914C7C9461}" presName="sibTrans" presStyleLbl="sibTrans2D1" presStyleIdx="4" presStyleCnt="6"/>
      <dgm:spPr/>
    </dgm:pt>
    <dgm:pt modelId="{1A85DEE1-A793-478C-8EE4-5EC5E263C08F}" type="pres">
      <dgm:prSet presAssocID="{8A5DE4E8-D545-4C0B-B5B5-0F914C7C9461}" presName="connectorText" presStyleLbl="sibTrans2D1" presStyleIdx="4" presStyleCnt="6"/>
      <dgm:spPr/>
    </dgm:pt>
    <dgm:pt modelId="{9F3D783C-CAE6-4A16-AD8B-6DF5301B76CB}" type="pres">
      <dgm:prSet presAssocID="{E3CD1B25-D6A0-46B0-BA88-FECD2024C4CC}" presName="node" presStyleLbl="node1" presStyleIdx="5" presStyleCnt="7">
        <dgm:presLayoutVars>
          <dgm:bulletEnabled val="1"/>
        </dgm:presLayoutVars>
      </dgm:prSet>
      <dgm:spPr/>
    </dgm:pt>
    <dgm:pt modelId="{DA30AD01-BF1A-426D-A254-C7F21BF769B9}" type="pres">
      <dgm:prSet presAssocID="{034DF245-153E-4C2A-9763-1EC751E13F4F}" presName="sibTrans" presStyleLbl="sibTrans2D1" presStyleIdx="5" presStyleCnt="6"/>
      <dgm:spPr/>
    </dgm:pt>
    <dgm:pt modelId="{E0E882EA-5A66-4B3D-8344-EFCB0798D967}" type="pres">
      <dgm:prSet presAssocID="{034DF245-153E-4C2A-9763-1EC751E13F4F}" presName="connectorText" presStyleLbl="sibTrans2D1" presStyleIdx="5" presStyleCnt="6"/>
      <dgm:spPr/>
    </dgm:pt>
    <dgm:pt modelId="{73343A88-502C-4AEC-A4AD-BA4D42AADF95}" type="pres">
      <dgm:prSet presAssocID="{9C04605B-2FA2-42C3-BDF3-9B4F68B633F7}" presName="node" presStyleLbl="node1" presStyleIdx="6" presStyleCnt="7">
        <dgm:presLayoutVars>
          <dgm:bulletEnabled val="1"/>
        </dgm:presLayoutVars>
      </dgm:prSet>
      <dgm:spPr/>
    </dgm:pt>
  </dgm:ptLst>
  <dgm:cxnLst>
    <dgm:cxn modelId="{BCB6B406-2833-4E48-8A87-C2702037592C}" srcId="{3ECB0AA7-C4E5-45A0-B6B4-3EB37F298CCC}" destId="{F31EA163-5A32-43CF-A4A7-2C74ECBFC526}" srcOrd="0" destOrd="0" parTransId="{C9CCD9E7-CC6D-42C6-A021-FC279DE8F924}" sibTransId="{3ECFA7AF-8B11-4A93-895E-91E90E0092F7}"/>
    <dgm:cxn modelId="{36E6461E-F79C-4C0A-8C1E-E62374C41153}" type="presOf" srcId="{BC2DC0AB-08D8-4CD0-A27E-CC3BF08DE1D5}" destId="{AADF9639-D8D1-4CA8-9EDA-002EB9C2E8AF}" srcOrd="0" destOrd="0" presId="urn:microsoft.com/office/officeart/2005/8/layout/process5"/>
    <dgm:cxn modelId="{80BBF232-77C0-45C4-88C8-9B13087AC62A}" type="presOf" srcId="{3ECFA7AF-8B11-4A93-895E-91E90E0092F7}" destId="{24F055E0-7ED3-463E-B52D-1B97ACA7318E}" srcOrd="0" destOrd="0" presId="urn:microsoft.com/office/officeart/2005/8/layout/process5"/>
    <dgm:cxn modelId="{5220093A-C2F9-4981-8B68-3947D1580E13}" srcId="{3ECB0AA7-C4E5-45A0-B6B4-3EB37F298CCC}" destId="{BC2DC0AB-08D8-4CD0-A27E-CC3BF08DE1D5}" srcOrd="4" destOrd="0" parTransId="{53D46FF1-A31D-47EB-9BA7-C7CCB70A1E50}" sibTransId="{8A5DE4E8-D545-4C0B-B5B5-0F914C7C9461}"/>
    <dgm:cxn modelId="{1190385E-118A-438C-AD0E-B19F243C793F}" type="presOf" srcId="{3ECFA7AF-8B11-4A93-895E-91E90E0092F7}" destId="{00222905-4371-4294-A428-BB11BC2A2866}" srcOrd="1" destOrd="0" presId="urn:microsoft.com/office/officeart/2005/8/layout/process5"/>
    <dgm:cxn modelId="{0C016F43-CA49-4067-A80D-69ACB502DFB7}" srcId="{3ECB0AA7-C4E5-45A0-B6B4-3EB37F298CCC}" destId="{2D97A316-45DD-4B9C-8361-32A7ACBBEE3A}" srcOrd="1" destOrd="0" parTransId="{40D0FE92-5D47-42A7-90A3-437207EEB2A3}" sibTransId="{20996C43-55AE-4172-AA90-68312E5E5B65}"/>
    <dgm:cxn modelId="{2BF7D746-4B62-45AD-8E5F-64AAED30FC71}" type="presOf" srcId="{034DF245-153E-4C2A-9763-1EC751E13F4F}" destId="{DA30AD01-BF1A-426D-A254-C7F21BF769B9}" srcOrd="0" destOrd="0" presId="urn:microsoft.com/office/officeart/2005/8/layout/process5"/>
    <dgm:cxn modelId="{E983CD6A-1A4B-4BEE-A66E-EE58A0A98CDD}" srcId="{3ECB0AA7-C4E5-45A0-B6B4-3EB37F298CCC}" destId="{9C04605B-2FA2-42C3-BDF3-9B4F68B633F7}" srcOrd="6" destOrd="0" parTransId="{4AB45C16-90FD-4D51-9955-EAC02FB0BFD5}" sibTransId="{354E3C16-E5A1-49A0-80B4-11A93BE832DE}"/>
    <dgm:cxn modelId="{6243B84E-1FF9-49EC-8F88-8BC8DC665122}" type="presOf" srcId="{9C04605B-2FA2-42C3-BDF3-9B4F68B633F7}" destId="{73343A88-502C-4AEC-A4AD-BA4D42AADF95}" srcOrd="0" destOrd="0" presId="urn:microsoft.com/office/officeart/2005/8/layout/process5"/>
    <dgm:cxn modelId="{DE85EC6E-A1E5-4ADF-8845-C975E3D9D1E1}" type="presOf" srcId="{B08668A7-04D9-4D49-8EB7-515D8C32D46B}" destId="{CE35AED9-3E4D-444E-8E55-CDFCA4F235CE}" srcOrd="0" destOrd="0" presId="urn:microsoft.com/office/officeart/2005/8/layout/process5"/>
    <dgm:cxn modelId="{B58A5D71-2D1D-4CE7-8837-B5E7565925C9}" type="presOf" srcId="{18C2826E-0925-4E62-81C9-5E558E772404}" destId="{A6D9B8A7-58AE-4264-B895-853D02E4974A}" srcOrd="1" destOrd="0" presId="urn:microsoft.com/office/officeart/2005/8/layout/process5"/>
    <dgm:cxn modelId="{1BA20C77-A964-49A3-9CB3-296069E9F213}" type="presOf" srcId="{B1459098-5B38-4CC7-BA2E-91EB93BB3817}" destId="{C47BE6A9-0547-4B48-B633-7053A55691A6}" srcOrd="0" destOrd="0" presId="urn:microsoft.com/office/officeart/2005/8/layout/process5"/>
    <dgm:cxn modelId="{72A53259-F689-44CE-8294-748E97C204AC}" type="presOf" srcId="{8A5DE4E8-D545-4C0B-B5B5-0F914C7C9461}" destId="{1A85DEE1-A793-478C-8EE4-5EC5E263C08F}" srcOrd="1" destOrd="0" presId="urn:microsoft.com/office/officeart/2005/8/layout/process5"/>
    <dgm:cxn modelId="{EF906088-EC52-4C7F-9ABE-DD1B57C11C3C}" type="presOf" srcId="{20996C43-55AE-4172-AA90-68312E5E5B65}" destId="{F654E532-42E4-4246-94FA-BA1CB15714FE}" srcOrd="0" destOrd="0" presId="urn:microsoft.com/office/officeart/2005/8/layout/process5"/>
    <dgm:cxn modelId="{EC147B88-4D26-4739-8C67-24A38ECF87E4}" type="presOf" srcId="{F31EA163-5A32-43CF-A4A7-2C74ECBFC526}" destId="{B0D804B9-439B-47CB-B298-5F4B2C5AEC4E}" srcOrd="0" destOrd="0" presId="urn:microsoft.com/office/officeart/2005/8/layout/process5"/>
    <dgm:cxn modelId="{6266168E-D112-4C51-987C-8C0E6CEBE90C}" type="presOf" srcId="{B08668A7-04D9-4D49-8EB7-515D8C32D46B}" destId="{1956F86E-6BC6-4EDC-BF49-BB8F4DED74FF}" srcOrd="1" destOrd="0" presId="urn:microsoft.com/office/officeart/2005/8/layout/process5"/>
    <dgm:cxn modelId="{4091CA8F-1221-4BEA-ABE1-F25B7CE43EBE}" srcId="{3ECB0AA7-C4E5-45A0-B6B4-3EB37F298CCC}" destId="{9C2E8B38-9DDE-44F2-B7F7-1EC76BDC1E73}" srcOrd="3" destOrd="0" parTransId="{9A87C052-19DF-4804-9744-5CDD4C74DCF2}" sibTransId="{18C2826E-0925-4E62-81C9-5E558E772404}"/>
    <dgm:cxn modelId="{D3E3F590-E8A7-442F-BFEE-EAB01FEE9153}" type="presOf" srcId="{2D97A316-45DD-4B9C-8361-32A7ACBBEE3A}" destId="{A5BAF762-C552-4E08-9EA5-9EA50A27AFFD}" srcOrd="0" destOrd="0" presId="urn:microsoft.com/office/officeart/2005/8/layout/process5"/>
    <dgm:cxn modelId="{810ABC95-3BD4-4F37-B548-079E9FED8615}" type="presOf" srcId="{18C2826E-0925-4E62-81C9-5E558E772404}" destId="{95413D42-C626-43C4-9D69-30CEC0160B6B}" srcOrd="0" destOrd="0" presId="urn:microsoft.com/office/officeart/2005/8/layout/process5"/>
    <dgm:cxn modelId="{1FA03A9A-A593-4143-B32A-58CF6403FC14}" type="presOf" srcId="{3ECB0AA7-C4E5-45A0-B6B4-3EB37F298CCC}" destId="{D8A541B1-A99F-4137-BB64-FD4DFA491EEC}" srcOrd="0" destOrd="0" presId="urn:microsoft.com/office/officeart/2005/8/layout/process5"/>
    <dgm:cxn modelId="{03CF18AA-FF7D-4A78-BA14-7B7676BE4E4B}" type="presOf" srcId="{20996C43-55AE-4172-AA90-68312E5E5B65}" destId="{9217178E-1031-44B0-B5A0-62F48AEF785E}" srcOrd="1" destOrd="0" presId="urn:microsoft.com/office/officeart/2005/8/layout/process5"/>
    <dgm:cxn modelId="{783C42AB-B882-4CC0-8299-C8A74D9D649A}" srcId="{3ECB0AA7-C4E5-45A0-B6B4-3EB37F298CCC}" destId="{E3CD1B25-D6A0-46B0-BA88-FECD2024C4CC}" srcOrd="5" destOrd="0" parTransId="{0D97AD2C-EDD6-451C-A73E-9E459102B828}" sibTransId="{034DF245-153E-4C2A-9763-1EC751E13F4F}"/>
    <dgm:cxn modelId="{321A0FC4-9CC5-4974-BBED-74A65B377832}" type="presOf" srcId="{9C2E8B38-9DDE-44F2-B7F7-1EC76BDC1E73}" destId="{F300E78D-2E62-4035-9388-5F27ED5BC6CB}" srcOrd="0" destOrd="0" presId="urn:microsoft.com/office/officeart/2005/8/layout/process5"/>
    <dgm:cxn modelId="{5D8195D9-01F3-4E64-9137-F9BDD24B6DD3}" type="presOf" srcId="{8A5DE4E8-D545-4C0B-B5B5-0F914C7C9461}" destId="{5BA68BFC-55DD-4F56-A2B9-B3F1CB08DA1B}" srcOrd="0" destOrd="0" presId="urn:microsoft.com/office/officeart/2005/8/layout/process5"/>
    <dgm:cxn modelId="{0C696BDC-FF31-44EF-BF83-36F95F0B46A6}" srcId="{3ECB0AA7-C4E5-45A0-B6B4-3EB37F298CCC}" destId="{B1459098-5B38-4CC7-BA2E-91EB93BB3817}" srcOrd="2" destOrd="0" parTransId="{29F9B9DC-55C5-4E66-AF57-AE4D26AE51EA}" sibTransId="{B08668A7-04D9-4D49-8EB7-515D8C32D46B}"/>
    <dgm:cxn modelId="{61ABF0F9-880A-48D1-84B7-CC7D83C15AAB}" type="presOf" srcId="{034DF245-153E-4C2A-9763-1EC751E13F4F}" destId="{E0E882EA-5A66-4B3D-8344-EFCB0798D967}" srcOrd="1" destOrd="0" presId="urn:microsoft.com/office/officeart/2005/8/layout/process5"/>
    <dgm:cxn modelId="{00FF71FE-2C68-414A-B05E-AD9D1CB16C5A}" type="presOf" srcId="{E3CD1B25-D6A0-46B0-BA88-FECD2024C4CC}" destId="{9F3D783C-CAE6-4A16-AD8B-6DF5301B76CB}" srcOrd="0" destOrd="0" presId="urn:microsoft.com/office/officeart/2005/8/layout/process5"/>
    <dgm:cxn modelId="{E24B8080-96A1-494B-86D0-A25F8017FE2E}" type="presParOf" srcId="{D8A541B1-A99F-4137-BB64-FD4DFA491EEC}" destId="{B0D804B9-439B-47CB-B298-5F4B2C5AEC4E}" srcOrd="0" destOrd="0" presId="urn:microsoft.com/office/officeart/2005/8/layout/process5"/>
    <dgm:cxn modelId="{BA71F392-75C0-4F93-B77B-E8D2967E064B}" type="presParOf" srcId="{D8A541B1-A99F-4137-BB64-FD4DFA491EEC}" destId="{24F055E0-7ED3-463E-B52D-1B97ACA7318E}" srcOrd="1" destOrd="0" presId="urn:microsoft.com/office/officeart/2005/8/layout/process5"/>
    <dgm:cxn modelId="{15669BF5-70F9-416F-9519-CC7C94FCA11B}" type="presParOf" srcId="{24F055E0-7ED3-463E-B52D-1B97ACA7318E}" destId="{00222905-4371-4294-A428-BB11BC2A2866}" srcOrd="0" destOrd="0" presId="urn:microsoft.com/office/officeart/2005/8/layout/process5"/>
    <dgm:cxn modelId="{D0B3EDF0-A417-47BE-AEC6-F0D4A8091E3D}" type="presParOf" srcId="{D8A541B1-A99F-4137-BB64-FD4DFA491EEC}" destId="{A5BAF762-C552-4E08-9EA5-9EA50A27AFFD}" srcOrd="2" destOrd="0" presId="urn:microsoft.com/office/officeart/2005/8/layout/process5"/>
    <dgm:cxn modelId="{BCFF017A-E818-4BDC-A3AB-AE3A3A583E86}" type="presParOf" srcId="{D8A541B1-A99F-4137-BB64-FD4DFA491EEC}" destId="{F654E532-42E4-4246-94FA-BA1CB15714FE}" srcOrd="3" destOrd="0" presId="urn:microsoft.com/office/officeart/2005/8/layout/process5"/>
    <dgm:cxn modelId="{26C33642-72A3-49B7-B7C2-FA4D32757E81}" type="presParOf" srcId="{F654E532-42E4-4246-94FA-BA1CB15714FE}" destId="{9217178E-1031-44B0-B5A0-62F48AEF785E}" srcOrd="0" destOrd="0" presId="urn:microsoft.com/office/officeart/2005/8/layout/process5"/>
    <dgm:cxn modelId="{A873DB8E-1CC5-4059-8798-FD8BF670CC3A}" type="presParOf" srcId="{D8A541B1-A99F-4137-BB64-FD4DFA491EEC}" destId="{C47BE6A9-0547-4B48-B633-7053A55691A6}" srcOrd="4" destOrd="0" presId="urn:microsoft.com/office/officeart/2005/8/layout/process5"/>
    <dgm:cxn modelId="{7AC190D2-9B8B-4E91-AC23-9731002AAD4D}" type="presParOf" srcId="{D8A541B1-A99F-4137-BB64-FD4DFA491EEC}" destId="{CE35AED9-3E4D-444E-8E55-CDFCA4F235CE}" srcOrd="5" destOrd="0" presId="urn:microsoft.com/office/officeart/2005/8/layout/process5"/>
    <dgm:cxn modelId="{868A8952-8470-47F8-BC54-8DB05376F173}" type="presParOf" srcId="{CE35AED9-3E4D-444E-8E55-CDFCA4F235CE}" destId="{1956F86E-6BC6-4EDC-BF49-BB8F4DED74FF}" srcOrd="0" destOrd="0" presId="urn:microsoft.com/office/officeart/2005/8/layout/process5"/>
    <dgm:cxn modelId="{B2A7A83F-FB1B-4DEB-8720-8E42716C8F7A}" type="presParOf" srcId="{D8A541B1-A99F-4137-BB64-FD4DFA491EEC}" destId="{F300E78D-2E62-4035-9388-5F27ED5BC6CB}" srcOrd="6" destOrd="0" presId="urn:microsoft.com/office/officeart/2005/8/layout/process5"/>
    <dgm:cxn modelId="{554D5A0C-E282-4994-BA2D-239DB2BBEC16}" type="presParOf" srcId="{D8A541B1-A99F-4137-BB64-FD4DFA491EEC}" destId="{95413D42-C626-43C4-9D69-30CEC0160B6B}" srcOrd="7" destOrd="0" presId="urn:microsoft.com/office/officeart/2005/8/layout/process5"/>
    <dgm:cxn modelId="{9D3CEC36-2268-4C11-960A-BC17082E3128}" type="presParOf" srcId="{95413D42-C626-43C4-9D69-30CEC0160B6B}" destId="{A6D9B8A7-58AE-4264-B895-853D02E4974A}" srcOrd="0" destOrd="0" presId="urn:microsoft.com/office/officeart/2005/8/layout/process5"/>
    <dgm:cxn modelId="{AFBDBFFD-B0A8-4BD7-82E1-2C73B806C510}" type="presParOf" srcId="{D8A541B1-A99F-4137-BB64-FD4DFA491EEC}" destId="{AADF9639-D8D1-4CA8-9EDA-002EB9C2E8AF}" srcOrd="8" destOrd="0" presId="urn:microsoft.com/office/officeart/2005/8/layout/process5"/>
    <dgm:cxn modelId="{5BD06B87-AC1B-4FEE-B7C2-F63A2A8F5C99}" type="presParOf" srcId="{D8A541B1-A99F-4137-BB64-FD4DFA491EEC}" destId="{5BA68BFC-55DD-4F56-A2B9-B3F1CB08DA1B}" srcOrd="9" destOrd="0" presId="urn:microsoft.com/office/officeart/2005/8/layout/process5"/>
    <dgm:cxn modelId="{ABC72923-9E4A-4A3A-B4A0-FF53A7C4DD12}" type="presParOf" srcId="{5BA68BFC-55DD-4F56-A2B9-B3F1CB08DA1B}" destId="{1A85DEE1-A793-478C-8EE4-5EC5E263C08F}" srcOrd="0" destOrd="0" presId="urn:microsoft.com/office/officeart/2005/8/layout/process5"/>
    <dgm:cxn modelId="{5EFC99C4-2F4F-4660-97DC-C481EA2D4A58}" type="presParOf" srcId="{D8A541B1-A99F-4137-BB64-FD4DFA491EEC}" destId="{9F3D783C-CAE6-4A16-AD8B-6DF5301B76CB}" srcOrd="10" destOrd="0" presId="urn:microsoft.com/office/officeart/2005/8/layout/process5"/>
    <dgm:cxn modelId="{228DEDE7-CECB-4B87-8D00-9E4FC6820B5B}" type="presParOf" srcId="{D8A541B1-A99F-4137-BB64-FD4DFA491EEC}" destId="{DA30AD01-BF1A-426D-A254-C7F21BF769B9}" srcOrd="11" destOrd="0" presId="urn:microsoft.com/office/officeart/2005/8/layout/process5"/>
    <dgm:cxn modelId="{5A1619EB-062A-417E-8A0B-1A4A31BF81A7}" type="presParOf" srcId="{DA30AD01-BF1A-426D-A254-C7F21BF769B9}" destId="{E0E882EA-5A66-4B3D-8344-EFCB0798D967}" srcOrd="0" destOrd="0" presId="urn:microsoft.com/office/officeart/2005/8/layout/process5"/>
    <dgm:cxn modelId="{075D6E3B-9784-4C51-9ECC-2933F17F0BF5}" type="presParOf" srcId="{D8A541B1-A99F-4137-BB64-FD4DFA491EEC}" destId="{73343A88-502C-4AEC-A4AD-BA4D42AADF95}" srcOrd="12" destOrd="0" presId="urn:microsoft.com/office/officeart/2005/8/layout/process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9432D9-AC65-4FBB-881C-D3CFA6F4F3EA}" type="doc">
      <dgm:prSet loTypeId="urn:microsoft.com/office/officeart/2005/8/layout/vProcess5" loCatId="process" qsTypeId="urn:microsoft.com/office/officeart/2005/8/quickstyle/simple1" qsCatId="simple" csTypeId="urn:microsoft.com/office/officeart/2005/8/colors/accent0_3" csCatId="mainScheme" phldr="1"/>
      <dgm:spPr/>
      <dgm:t>
        <a:bodyPr/>
        <a:lstStyle/>
        <a:p>
          <a:endParaRPr lang="en-US"/>
        </a:p>
      </dgm:t>
    </dgm:pt>
    <dgm:pt modelId="{407B0860-7733-40D6-8D63-7BD346252963}">
      <dgm:prSet phldrT="[Text]"/>
      <dgm:spPr/>
      <dgm:t>
        <a:bodyPr/>
        <a:lstStyle/>
        <a:p>
          <a:r>
            <a:rPr lang="fr-FR"/>
            <a:t>Identification of eligible importing country and product</a:t>
          </a:r>
          <a:endParaRPr lang="en-US"/>
        </a:p>
      </dgm:t>
    </dgm:pt>
    <dgm:pt modelId="{98294A95-42AD-4AA3-8F03-D63190227F59}" type="parTrans" cxnId="{46426B63-CCAE-4A86-AA33-34FE4F4B23C3}">
      <dgm:prSet/>
      <dgm:spPr/>
      <dgm:t>
        <a:bodyPr/>
        <a:lstStyle/>
        <a:p>
          <a:endParaRPr lang="en-US"/>
        </a:p>
      </dgm:t>
    </dgm:pt>
    <dgm:pt modelId="{4166594B-8E48-40B5-8DD1-4EBDE323D6AD}" type="sibTrans" cxnId="{46426B63-CCAE-4A86-AA33-34FE4F4B23C3}">
      <dgm:prSet/>
      <dgm:spPr/>
      <dgm:t>
        <a:bodyPr/>
        <a:lstStyle/>
        <a:p>
          <a:endParaRPr lang="en-US"/>
        </a:p>
      </dgm:t>
    </dgm:pt>
    <dgm:pt modelId="{9E716F68-573F-41B7-A4FA-B1C2D7B64F09}">
      <dgm:prSet phldrT="[Text]"/>
      <dgm:spPr/>
      <dgm:t>
        <a:bodyPr/>
        <a:lstStyle/>
        <a:p>
          <a:r>
            <a:rPr lang="en-US"/>
            <a:t>Patent search</a:t>
          </a:r>
        </a:p>
      </dgm:t>
    </dgm:pt>
    <dgm:pt modelId="{88817070-9C7E-4FE1-A55F-F22227FBB19A}" type="parTrans" cxnId="{5D4D83CC-EE01-415E-9D55-EC0FA09ED5C7}">
      <dgm:prSet/>
      <dgm:spPr/>
      <dgm:t>
        <a:bodyPr/>
        <a:lstStyle/>
        <a:p>
          <a:endParaRPr lang="en-US"/>
        </a:p>
      </dgm:t>
    </dgm:pt>
    <dgm:pt modelId="{8A7B4664-6EAE-4FF1-B9DC-EB0F26C6F3FD}" type="sibTrans" cxnId="{5D4D83CC-EE01-415E-9D55-EC0FA09ED5C7}">
      <dgm:prSet/>
      <dgm:spPr/>
      <dgm:t>
        <a:bodyPr/>
        <a:lstStyle/>
        <a:p>
          <a:endParaRPr lang="en-US"/>
        </a:p>
      </dgm:t>
    </dgm:pt>
    <dgm:pt modelId="{6A58FAB4-B2F9-4230-BF22-7180BC538C83}">
      <dgm:prSet/>
      <dgm:spPr/>
      <dgm:t>
        <a:bodyPr/>
        <a:lstStyle/>
        <a:p>
          <a:r>
            <a:rPr lang="en-US"/>
            <a:t>(Where applicable): File drug submission then file the distinguishing features package with Health Canada + differences in export product marking if applicable</a:t>
          </a:r>
        </a:p>
      </dgm:t>
    </dgm:pt>
    <dgm:pt modelId="{AC9F4874-C4A1-4FF8-B028-55EB42A00C4B}" type="parTrans" cxnId="{EE243767-A23E-4F4C-828C-620731F83F42}">
      <dgm:prSet/>
      <dgm:spPr/>
      <dgm:t>
        <a:bodyPr/>
        <a:lstStyle/>
        <a:p>
          <a:endParaRPr lang="en-US"/>
        </a:p>
      </dgm:t>
    </dgm:pt>
    <dgm:pt modelId="{4459B99C-89F5-476F-A096-2839C8D7772D}" type="sibTrans" cxnId="{EE243767-A23E-4F4C-828C-620731F83F42}">
      <dgm:prSet/>
      <dgm:spPr/>
      <dgm:t>
        <a:bodyPr/>
        <a:lstStyle/>
        <a:p>
          <a:endParaRPr lang="en-US"/>
        </a:p>
      </dgm:t>
    </dgm:pt>
    <dgm:pt modelId="{71B5032B-202A-4557-AB66-95FBFEDAE26B}">
      <dgm:prSet/>
      <dgm:spPr/>
      <dgm:t>
        <a:bodyPr/>
        <a:lstStyle/>
        <a:p>
          <a:r>
            <a:rPr lang="fr-FR"/>
            <a:t>Negotiations for voluntary licence with patentee</a:t>
          </a:r>
          <a:endParaRPr lang="en-US"/>
        </a:p>
      </dgm:t>
    </dgm:pt>
    <dgm:pt modelId="{63B55FE1-C53A-4532-9D18-19AE6F7A821A}" type="parTrans" cxnId="{B253DA39-F0EE-4BB2-9AA9-D4527A5D667F}">
      <dgm:prSet/>
      <dgm:spPr/>
      <dgm:t>
        <a:bodyPr/>
        <a:lstStyle/>
        <a:p>
          <a:endParaRPr lang="en-US"/>
        </a:p>
      </dgm:t>
    </dgm:pt>
    <dgm:pt modelId="{EF72322F-098C-40DA-9049-25F96D80A8F4}" type="sibTrans" cxnId="{B253DA39-F0EE-4BB2-9AA9-D4527A5D667F}">
      <dgm:prSet/>
      <dgm:spPr/>
      <dgm:t>
        <a:bodyPr/>
        <a:lstStyle/>
        <a:p>
          <a:endParaRPr lang="en-US"/>
        </a:p>
      </dgm:t>
    </dgm:pt>
    <dgm:pt modelId="{138D87E6-1518-49B7-8763-5E6F76E25C63}">
      <dgm:prSet/>
      <dgm:spPr/>
      <dgm:t>
        <a:bodyPr/>
        <a:lstStyle/>
        <a:p>
          <a:r>
            <a:rPr lang="fr-FR"/>
            <a:t>Patentee's refusal to grand a voluntary agreement</a:t>
          </a:r>
          <a:endParaRPr lang="en-US"/>
        </a:p>
      </dgm:t>
    </dgm:pt>
    <dgm:pt modelId="{1BA6F4E7-9D18-4228-AB0C-F56E31B696B0}" type="parTrans" cxnId="{31B77F02-2692-43AA-A7A6-8EDF1EACB4BA}">
      <dgm:prSet/>
      <dgm:spPr/>
      <dgm:t>
        <a:bodyPr/>
        <a:lstStyle/>
        <a:p>
          <a:endParaRPr lang="en-US"/>
        </a:p>
      </dgm:t>
    </dgm:pt>
    <dgm:pt modelId="{E7564AF7-9F69-459B-BE16-4E5E275A345F}" type="sibTrans" cxnId="{31B77F02-2692-43AA-A7A6-8EDF1EACB4BA}">
      <dgm:prSet/>
      <dgm:spPr/>
      <dgm:t>
        <a:bodyPr/>
        <a:lstStyle/>
        <a:p>
          <a:endParaRPr lang="en-US"/>
        </a:p>
      </dgm:t>
    </dgm:pt>
    <dgm:pt modelId="{CA45E53C-530A-4407-A6BA-936ACBBDD006}">
      <dgm:prSet/>
      <dgm:spPr/>
      <dgm:t>
        <a:bodyPr/>
        <a:lstStyle/>
        <a:p>
          <a:endParaRPr lang="fr-FR"/>
        </a:p>
      </dgm:t>
    </dgm:pt>
    <dgm:pt modelId="{4845FDEB-7DA4-4AEA-B942-E2E52E3DEAB0}" type="parTrans" cxnId="{5543A8D9-346D-4215-ADDC-71EF8BD8DCDC}">
      <dgm:prSet/>
      <dgm:spPr/>
      <dgm:t>
        <a:bodyPr/>
        <a:lstStyle/>
        <a:p>
          <a:endParaRPr lang="en-US"/>
        </a:p>
      </dgm:t>
    </dgm:pt>
    <dgm:pt modelId="{D3FD73CA-F600-440C-9A88-DAC098AEAD91}" type="sibTrans" cxnId="{5543A8D9-346D-4215-ADDC-71EF8BD8DCDC}">
      <dgm:prSet/>
      <dgm:spPr/>
      <dgm:t>
        <a:bodyPr/>
        <a:lstStyle/>
        <a:p>
          <a:endParaRPr lang="en-US"/>
        </a:p>
      </dgm:t>
    </dgm:pt>
    <dgm:pt modelId="{EAF1D551-7B13-4385-9195-0881302977C6}" type="pres">
      <dgm:prSet presAssocID="{329432D9-AC65-4FBB-881C-D3CFA6F4F3EA}" presName="outerComposite" presStyleCnt="0">
        <dgm:presLayoutVars>
          <dgm:chMax val="5"/>
          <dgm:dir/>
          <dgm:resizeHandles val="exact"/>
        </dgm:presLayoutVars>
      </dgm:prSet>
      <dgm:spPr/>
    </dgm:pt>
    <dgm:pt modelId="{91BE9017-D1AC-409F-971F-33F6C3E5D3EB}" type="pres">
      <dgm:prSet presAssocID="{329432D9-AC65-4FBB-881C-D3CFA6F4F3EA}" presName="dummyMaxCanvas" presStyleCnt="0">
        <dgm:presLayoutVars/>
      </dgm:prSet>
      <dgm:spPr/>
    </dgm:pt>
    <dgm:pt modelId="{F96746F2-D5EF-484C-8882-69A8C4AFEF44}" type="pres">
      <dgm:prSet presAssocID="{329432D9-AC65-4FBB-881C-D3CFA6F4F3EA}" presName="FiveNodes_1" presStyleLbl="node1" presStyleIdx="0" presStyleCnt="5">
        <dgm:presLayoutVars>
          <dgm:bulletEnabled val="1"/>
        </dgm:presLayoutVars>
      </dgm:prSet>
      <dgm:spPr/>
    </dgm:pt>
    <dgm:pt modelId="{E4D1CC52-980B-447D-B1FD-A86B5EE507A6}" type="pres">
      <dgm:prSet presAssocID="{329432D9-AC65-4FBB-881C-D3CFA6F4F3EA}" presName="FiveNodes_2" presStyleLbl="node1" presStyleIdx="1" presStyleCnt="5">
        <dgm:presLayoutVars>
          <dgm:bulletEnabled val="1"/>
        </dgm:presLayoutVars>
      </dgm:prSet>
      <dgm:spPr/>
    </dgm:pt>
    <dgm:pt modelId="{40CF0DC9-ED76-4515-B22D-D88BF1730D3F}" type="pres">
      <dgm:prSet presAssocID="{329432D9-AC65-4FBB-881C-D3CFA6F4F3EA}" presName="FiveNodes_3" presStyleLbl="node1" presStyleIdx="2" presStyleCnt="5">
        <dgm:presLayoutVars>
          <dgm:bulletEnabled val="1"/>
        </dgm:presLayoutVars>
      </dgm:prSet>
      <dgm:spPr/>
    </dgm:pt>
    <dgm:pt modelId="{F30BD772-6FF4-4F4D-BD04-C7514C11A98E}" type="pres">
      <dgm:prSet presAssocID="{329432D9-AC65-4FBB-881C-D3CFA6F4F3EA}" presName="FiveNodes_4" presStyleLbl="node1" presStyleIdx="3" presStyleCnt="5">
        <dgm:presLayoutVars>
          <dgm:bulletEnabled val="1"/>
        </dgm:presLayoutVars>
      </dgm:prSet>
      <dgm:spPr/>
    </dgm:pt>
    <dgm:pt modelId="{78DC3F77-B502-4E19-9236-8CF9472FCACE}" type="pres">
      <dgm:prSet presAssocID="{329432D9-AC65-4FBB-881C-D3CFA6F4F3EA}" presName="FiveNodes_5" presStyleLbl="node1" presStyleIdx="4" presStyleCnt="5">
        <dgm:presLayoutVars>
          <dgm:bulletEnabled val="1"/>
        </dgm:presLayoutVars>
      </dgm:prSet>
      <dgm:spPr/>
    </dgm:pt>
    <dgm:pt modelId="{950155CA-CE7E-4C23-9A45-A831E8484BEA}" type="pres">
      <dgm:prSet presAssocID="{329432D9-AC65-4FBB-881C-D3CFA6F4F3EA}" presName="FiveConn_1-2" presStyleLbl="fgAccFollowNode1" presStyleIdx="0" presStyleCnt="4">
        <dgm:presLayoutVars>
          <dgm:bulletEnabled val="1"/>
        </dgm:presLayoutVars>
      </dgm:prSet>
      <dgm:spPr/>
    </dgm:pt>
    <dgm:pt modelId="{F46DAE8D-54FB-4CC5-A1F3-7379DE9FA425}" type="pres">
      <dgm:prSet presAssocID="{329432D9-AC65-4FBB-881C-D3CFA6F4F3EA}" presName="FiveConn_2-3" presStyleLbl="fgAccFollowNode1" presStyleIdx="1" presStyleCnt="4">
        <dgm:presLayoutVars>
          <dgm:bulletEnabled val="1"/>
        </dgm:presLayoutVars>
      </dgm:prSet>
      <dgm:spPr/>
    </dgm:pt>
    <dgm:pt modelId="{E00F31F5-C902-4B5B-8C4F-201B077C6701}" type="pres">
      <dgm:prSet presAssocID="{329432D9-AC65-4FBB-881C-D3CFA6F4F3EA}" presName="FiveConn_3-4" presStyleLbl="fgAccFollowNode1" presStyleIdx="2" presStyleCnt="4">
        <dgm:presLayoutVars>
          <dgm:bulletEnabled val="1"/>
        </dgm:presLayoutVars>
      </dgm:prSet>
      <dgm:spPr/>
    </dgm:pt>
    <dgm:pt modelId="{5B5EB0E3-0A6E-47DE-B928-63FAAAB7916F}" type="pres">
      <dgm:prSet presAssocID="{329432D9-AC65-4FBB-881C-D3CFA6F4F3EA}" presName="FiveConn_4-5" presStyleLbl="fgAccFollowNode1" presStyleIdx="3" presStyleCnt="4">
        <dgm:presLayoutVars>
          <dgm:bulletEnabled val="1"/>
        </dgm:presLayoutVars>
      </dgm:prSet>
      <dgm:spPr/>
    </dgm:pt>
    <dgm:pt modelId="{F7DD3118-1DF3-4B29-8A02-09A6173100A1}" type="pres">
      <dgm:prSet presAssocID="{329432D9-AC65-4FBB-881C-D3CFA6F4F3EA}" presName="FiveNodes_1_text" presStyleLbl="node1" presStyleIdx="4" presStyleCnt="5">
        <dgm:presLayoutVars>
          <dgm:bulletEnabled val="1"/>
        </dgm:presLayoutVars>
      </dgm:prSet>
      <dgm:spPr/>
    </dgm:pt>
    <dgm:pt modelId="{37F7F09D-16D4-49DC-95FF-F268E376E6C7}" type="pres">
      <dgm:prSet presAssocID="{329432D9-AC65-4FBB-881C-D3CFA6F4F3EA}" presName="FiveNodes_2_text" presStyleLbl="node1" presStyleIdx="4" presStyleCnt="5">
        <dgm:presLayoutVars>
          <dgm:bulletEnabled val="1"/>
        </dgm:presLayoutVars>
      </dgm:prSet>
      <dgm:spPr/>
    </dgm:pt>
    <dgm:pt modelId="{F9B0161E-CF59-4187-AFF3-C96481398A3D}" type="pres">
      <dgm:prSet presAssocID="{329432D9-AC65-4FBB-881C-D3CFA6F4F3EA}" presName="FiveNodes_3_text" presStyleLbl="node1" presStyleIdx="4" presStyleCnt="5">
        <dgm:presLayoutVars>
          <dgm:bulletEnabled val="1"/>
        </dgm:presLayoutVars>
      </dgm:prSet>
      <dgm:spPr/>
    </dgm:pt>
    <dgm:pt modelId="{D29A9504-3076-49EB-A28B-A63A501AF229}" type="pres">
      <dgm:prSet presAssocID="{329432D9-AC65-4FBB-881C-D3CFA6F4F3EA}" presName="FiveNodes_4_text" presStyleLbl="node1" presStyleIdx="4" presStyleCnt="5">
        <dgm:presLayoutVars>
          <dgm:bulletEnabled val="1"/>
        </dgm:presLayoutVars>
      </dgm:prSet>
      <dgm:spPr/>
    </dgm:pt>
    <dgm:pt modelId="{457987F8-56B5-4AC1-89FA-0E8896E3F978}" type="pres">
      <dgm:prSet presAssocID="{329432D9-AC65-4FBB-881C-D3CFA6F4F3EA}" presName="FiveNodes_5_text" presStyleLbl="node1" presStyleIdx="4" presStyleCnt="5">
        <dgm:presLayoutVars>
          <dgm:bulletEnabled val="1"/>
        </dgm:presLayoutVars>
      </dgm:prSet>
      <dgm:spPr/>
    </dgm:pt>
  </dgm:ptLst>
  <dgm:cxnLst>
    <dgm:cxn modelId="{31B77F02-2692-43AA-A7A6-8EDF1EACB4BA}" srcId="{329432D9-AC65-4FBB-881C-D3CFA6F4F3EA}" destId="{138D87E6-1518-49B7-8763-5E6F76E25C63}" srcOrd="4" destOrd="0" parTransId="{1BA6F4E7-9D18-4228-AB0C-F56E31B696B0}" sibTransId="{E7564AF7-9F69-459B-BE16-4E5E275A345F}"/>
    <dgm:cxn modelId="{CC302F0D-432C-4382-8A22-479D6C764939}" type="presOf" srcId="{9E716F68-573F-41B7-A4FA-B1C2D7B64F09}" destId="{37F7F09D-16D4-49DC-95FF-F268E376E6C7}" srcOrd="1" destOrd="0" presId="urn:microsoft.com/office/officeart/2005/8/layout/vProcess5"/>
    <dgm:cxn modelId="{49CE402D-131A-42F6-91FB-889ADFFE59EC}" type="presOf" srcId="{6A58FAB4-B2F9-4230-BF22-7180BC538C83}" destId="{40CF0DC9-ED76-4515-B22D-D88BF1730D3F}" srcOrd="0" destOrd="0" presId="urn:microsoft.com/office/officeart/2005/8/layout/vProcess5"/>
    <dgm:cxn modelId="{BD066D30-6EBC-4C21-AE65-54123FEB94B7}" type="presOf" srcId="{8A7B4664-6EAE-4FF1-B9DC-EB0F26C6F3FD}" destId="{F46DAE8D-54FB-4CC5-A1F3-7379DE9FA425}" srcOrd="0" destOrd="0" presId="urn:microsoft.com/office/officeart/2005/8/layout/vProcess5"/>
    <dgm:cxn modelId="{B253DA39-F0EE-4BB2-9AA9-D4527A5D667F}" srcId="{329432D9-AC65-4FBB-881C-D3CFA6F4F3EA}" destId="{71B5032B-202A-4557-AB66-95FBFEDAE26B}" srcOrd="3" destOrd="0" parTransId="{63B55FE1-C53A-4532-9D18-19AE6F7A821A}" sibTransId="{EF72322F-098C-40DA-9049-25F96D80A8F4}"/>
    <dgm:cxn modelId="{33026643-DADC-4F37-AFD2-491B1C9BF1C5}" type="presOf" srcId="{4459B99C-89F5-476F-A096-2839C8D7772D}" destId="{E00F31F5-C902-4B5B-8C4F-201B077C6701}" srcOrd="0" destOrd="0" presId="urn:microsoft.com/office/officeart/2005/8/layout/vProcess5"/>
    <dgm:cxn modelId="{46426B63-CCAE-4A86-AA33-34FE4F4B23C3}" srcId="{329432D9-AC65-4FBB-881C-D3CFA6F4F3EA}" destId="{407B0860-7733-40D6-8D63-7BD346252963}" srcOrd="0" destOrd="0" parTransId="{98294A95-42AD-4AA3-8F03-D63190227F59}" sibTransId="{4166594B-8E48-40B5-8DD1-4EBDE323D6AD}"/>
    <dgm:cxn modelId="{5A749365-F5F1-49FE-B66F-418569DD3F47}" type="presOf" srcId="{71B5032B-202A-4557-AB66-95FBFEDAE26B}" destId="{F30BD772-6FF4-4F4D-BD04-C7514C11A98E}" srcOrd="0" destOrd="0" presId="urn:microsoft.com/office/officeart/2005/8/layout/vProcess5"/>
    <dgm:cxn modelId="{EE243767-A23E-4F4C-828C-620731F83F42}" srcId="{329432D9-AC65-4FBB-881C-D3CFA6F4F3EA}" destId="{6A58FAB4-B2F9-4230-BF22-7180BC538C83}" srcOrd="2" destOrd="0" parTransId="{AC9F4874-C4A1-4FF8-B028-55EB42A00C4B}" sibTransId="{4459B99C-89F5-476F-A096-2839C8D7772D}"/>
    <dgm:cxn modelId="{2BDA2772-AA09-4288-A2BF-1C33BD01D0DE}" type="presOf" srcId="{329432D9-AC65-4FBB-881C-D3CFA6F4F3EA}" destId="{EAF1D551-7B13-4385-9195-0881302977C6}" srcOrd="0" destOrd="0" presId="urn:microsoft.com/office/officeart/2005/8/layout/vProcess5"/>
    <dgm:cxn modelId="{2442E552-8BE0-41B9-8340-51E22A0CAEE2}" type="presOf" srcId="{9E716F68-573F-41B7-A4FA-B1C2D7B64F09}" destId="{E4D1CC52-980B-447D-B1FD-A86B5EE507A6}" srcOrd="0" destOrd="0" presId="urn:microsoft.com/office/officeart/2005/8/layout/vProcess5"/>
    <dgm:cxn modelId="{9B7BC953-176E-435F-BEFB-F1E69A4F9AED}" type="presOf" srcId="{138D87E6-1518-49B7-8763-5E6F76E25C63}" destId="{78DC3F77-B502-4E19-9236-8CF9472FCACE}" srcOrd="0" destOrd="0" presId="urn:microsoft.com/office/officeart/2005/8/layout/vProcess5"/>
    <dgm:cxn modelId="{E082D779-F98D-4FB7-9107-0E0436DBF85D}" type="presOf" srcId="{4166594B-8E48-40B5-8DD1-4EBDE323D6AD}" destId="{950155CA-CE7E-4C23-9A45-A831E8484BEA}" srcOrd="0" destOrd="0" presId="urn:microsoft.com/office/officeart/2005/8/layout/vProcess5"/>
    <dgm:cxn modelId="{A13DBFB1-E141-4C2F-A240-02F7D8E7915B}" type="presOf" srcId="{407B0860-7733-40D6-8D63-7BD346252963}" destId="{F7DD3118-1DF3-4B29-8A02-09A6173100A1}" srcOrd="1" destOrd="0" presId="urn:microsoft.com/office/officeart/2005/8/layout/vProcess5"/>
    <dgm:cxn modelId="{739706BE-6D5B-4555-9696-50677DB9F843}" type="presOf" srcId="{EF72322F-098C-40DA-9049-25F96D80A8F4}" destId="{5B5EB0E3-0A6E-47DE-B928-63FAAAB7916F}" srcOrd="0" destOrd="0" presId="urn:microsoft.com/office/officeart/2005/8/layout/vProcess5"/>
    <dgm:cxn modelId="{095BB3C7-1430-4837-B6F6-D86E02ACB1AB}" type="presOf" srcId="{407B0860-7733-40D6-8D63-7BD346252963}" destId="{F96746F2-D5EF-484C-8882-69A8C4AFEF44}" srcOrd="0" destOrd="0" presId="urn:microsoft.com/office/officeart/2005/8/layout/vProcess5"/>
    <dgm:cxn modelId="{5D4D83CC-EE01-415E-9D55-EC0FA09ED5C7}" srcId="{329432D9-AC65-4FBB-881C-D3CFA6F4F3EA}" destId="{9E716F68-573F-41B7-A4FA-B1C2D7B64F09}" srcOrd="1" destOrd="0" parTransId="{88817070-9C7E-4FE1-A55F-F22227FBB19A}" sibTransId="{8A7B4664-6EAE-4FF1-B9DC-EB0F26C6F3FD}"/>
    <dgm:cxn modelId="{5543A8D9-346D-4215-ADDC-71EF8BD8DCDC}" srcId="{329432D9-AC65-4FBB-881C-D3CFA6F4F3EA}" destId="{CA45E53C-530A-4407-A6BA-936ACBBDD006}" srcOrd="5" destOrd="0" parTransId="{4845FDEB-7DA4-4AEA-B942-E2E52E3DEAB0}" sibTransId="{D3FD73CA-F600-440C-9A88-DAC098AEAD91}"/>
    <dgm:cxn modelId="{33F9F4DA-D985-4E22-90E1-7D453F6782ED}" type="presOf" srcId="{71B5032B-202A-4557-AB66-95FBFEDAE26B}" destId="{D29A9504-3076-49EB-A28B-A63A501AF229}" srcOrd="1" destOrd="0" presId="urn:microsoft.com/office/officeart/2005/8/layout/vProcess5"/>
    <dgm:cxn modelId="{A608B5DB-D54B-4F85-9692-906A735E5039}" type="presOf" srcId="{6A58FAB4-B2F9-4230-BF22-7180BC538C83}" destId="{F9B0161E-CF59-4187-AFF3-C96481398A3D}" srcOrd="1" destOrd="0" presId="urn:microsoft.com/office/officeart/2005/8/layout/vProcess5"/>
    <dgm:cxn modelId="{910DEBE0-ACC8-422A-902A-C6EE8486C46A}" type="presOf" srcId="{138D87E6-1518-49B7-8763-5E6F76E25C63}" destId="{457987F8-56B5-4AC1-89FA-0E8896E3F978}" srcOrd="1" destOrd="0" presId="urn:microsoft.com/office/officeart/2005/8/layout/vProcess5"/>
    <dgm:cxn modelId="{9C7A4943-E1BF-4B7D-BB52-CE2E05076474}" type="presParOf" srcId="{EAF1D551-7B13-4385-9195-0881302977C6}" destId="{91BE9017-D1AC-409F-971F-33F6C3E5D3EB}" srcOrd="0" destOrd="0" presId="urn:microsoft.com/office/officeart/2005/8/layout/vProcess5"/>
    <dgm:cxn modelId="{25F9AF36-467F-4139-A4DC-C590B6B7056F}" type="presParOf" srcId="{EAF1D551-7B13-4385-9195-0881302977C6}" destId="{F96746F2-D5EF-484C-8882-69A8C4AFEF44}" srcOrd="1" destOrd="0" presId="urn:microsoft.com/office/officeart/2005/8/layout/vProcess5"/>
    <dgm:cxn modelId="{8F10FD68-2EBB-48DA-A4CD-6B4F50944606}" type="presParOf" srcId="{EAF1D551-7B13-4385-9195-0881302977C6}" destId="{E4D1CC52-980B-447D-B1FD-A86B5EE507A6}" srcOrd="2" destOrd="0" presId="urn:microsoft.com/office/officeart/2005/8/layout/vProcess5"/>
    <dgm:cxn modelId="{5EEE5DE3-6B4D-49BD-B788-40D8BC92801C}" type="presParOf" srcId="{EAF1D551-7B13-4385-9195-0881302977C6}" destId="{40CF0DC9-ED76-4515-B22D-D88BF1730D3F}" srcOrd="3" destOrd="0" presId="urn:microsoft.com/office/officeart/2005/8/layout/vProcess5"/>
    <dgm:cxn modelId="{D50ACEA3-2851-4CFE-8E12-E58DC85E4B6F}" type="presParOf" srcId="{EAF1D551-7B13-4385-9195-0881302977C6}" destId="{F30BD772-6FF4-4F4D-BD04-C7514C11A98E}" srcOrd="4" destOrd="0" presId="urn:microsoft.com/office/officeart/2005/8/layout/vProcess5"/>
    <dgm:cxn modelId="{BA22E7B2-5A30-43EF-A87D-99D4565AE4DA}" type="presParOf" srcId="{EAF1D551-7B13-4385-9195-0881302977C6}" destId="{78DC3F77-B502-4E19-9236-8CF9472FCACE}" srcOrd="5" destOrd="0" presId="urn:microsoft.com/office/officeart/2005/8/layout/vProcess5"/>
    <dgm:cxn modelId="{2D86D27F-3EF0-4107-8D1C-E612A1A3C3A2}" type="presParOf" srcId="{EAF1D551-7B13-4385-9195-0881302977C6}" destId="{950155CA-CE7E-4C23-9A45-A831E8484BEA}" srcOrd="6" destOrd="0" presId="urn:microsoft.com/office/officeart/2005/8/layout/vProcess5"/>
    <dgm:cxn modelId="{D3897E94-34A0-4299-8B74-47C8ECD5956A}" type="presParOf" srcId="{EAF1D551-7B13-4385-9195-0881302977C6}" destId="{F46DAE8D-54FB-4CC5-A1F3-7379DE9FA425}" srcOrd="7" destOrd="0" presId="urn:microsoft.com/office/officeart/2005/8/layout/vProcess5"/>
    <dgm:cxn modelId="{1D3C4530-2996-4F6A-AA37-94C25484F75C}" type="presParOf" srcId="{EAF1D551-7B13-4385-9195-0881302977C6}" destId="{E00F31F5-C902-4B5B-8C4F-201B077C6701}" srcOrd="8" destOrd="0" presId="urn:microsoft.com/office/officeart/2005/8/layout/vProcess5"/>
    <dgm:cxn modelId="{C57ECC92-11D9-48BB-89E8-BAFFC272C43A}" type="presParOf" srcId="{EAF1D551-7B13-4385-9195-0881302977C6}" destId="{5B5EB0E3-0A6E-47DE-B928-63FAAAB7916F}" srcOrd="9" destOrd="0" presId="urn:microsoft.com/office/officeart/2005/8/layout/vProcess5"/>
    <dgm:cxn modelId="{3A4E0AC2-F4C4-4EB5-BE18-E206270AC842}" type="presParOf" srcId="{EAF1D551-7B13-4385-9195-0881302977C6}" destId="{F7DD3118-1DF3-4B29-8A02-09A6173100A1}" srcOrd="10" destOrd="0" presId="urn:microsoft.com/office/officeart/2005/8/layout/vProcess5"/>
    <dgm:cxn modelId="{8CB3CA9F-9EC6-4663-AB3C-50ED3D98C58D}" type="presParOf" srcId="{EAF1D551-7B13-4385-9195-0881302977C6}" destId="{37F7F09D-16D4-49DC-95FF-F268E376E6C7}" srcOrd="11" destOrd="0" presId="urn:microsoft.com/office/officeart/2005/8/layout/vProcess5"/>
    <dgm:cxn modelId="{72A0842F-E312-4296-B5F4-823A88FF3A46}" type="presParOf" srcId="{EAF1D551-7B13-4385-9195-0881302977C6}" destId="{F9B0161E-CF59-4187-AFF3-C96481398A3D}" srcOrd="12" destOrd="0" presId="urn:microsoft.com/office/officeart/2005/8/layout/vProcess5"/>
    <dgm:cxn modelId="{5D9F3C45-99AA-46F1-964C-6D43D1963571}" type="presParOf" srcId="{EAF1D551-7B13-4385-9195-0881302977C6}" destId="{D29A9504-3076-49EB-A28B-A63A501AF229}" srcOrd="13" destOrd="0" presId="urn:microsoft.com/office/officeart/2005/8/layout/vProcess5"/>
    <dgm:cxn modelId="{8810E3A7-2BC4-4360-98D0-537C686BB749}" type="presParOf" srcId="{EAF1D551-7B13-4385-9195-0881302977C6}" destId="{457987F8-56B5-4AC1-89FA-0E8896E3F978}" srcOrd="14" destOrd="0" presId="urn:microsoft.com/office/officeart/2005/8/layout/vProcess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12A8AC-4A3A-459F-8D0A-A56909C9413B}" type="doc">
      <dgm:prSet loTypeId="urn:microsoft.com/office/officeart/2005/8/layout/vProcess5" loCatId="process" qsTypeId="urn:microsoft.com/office/officeart/2005/8/quickstyle/simple1" qsCatId="simple" csTypeId="urn:microsoft.com/office/officeart/2005/8/colors/accent0_3" csCatId="mainScheme" phldr="1"/>
      <dgm:spPr/>
      <dgm:t>
        <a:bodyPr/>
        <a:lstStyle/>
        <a:p>
          <a:endParaRPr lang="en-US"/>
        </a:p>
      </dgm:t>
    </dgm:pt>
    <dgm:pt modelId="{07FD9782-00DF-470C-BC4C-8B8CA65FF2AB}">
      <dgm:prSet phldrT="[Text]"/>
      <dgm:spPr/>
      <dgm:t>
        <a:bodyPr/>
        <a:lstStyle/>
        <a:p>
          <a:r>
            <a:rPr lang="fr-FR"/>
            <a:t>Submission of WTO notification by both exporter and importer</a:t>
          </a:r>
          <a:endParaRPr lang="en-US"/>
        </a:p>
      </dgm:t>
    </dgm:pt>
    <dgm:pt modelId="{6C85B556-B835-41FA-A804-21DCA0027F47}" type="parTrans" cxnId="{601CE173-D851-41E7-A77B-2D2E1B27FA71}">
      <dgm:prSet/>
      <dgm:spPr/>
      <dgm:t>
        <a:bodyPr/>
        <a:lstStyle/>
        <a:p>
          <a:endParaRPr lang="en-US"/>
        </a:p>
      </dgm:t>
    </dgm:pt>
    <dgm:pt modelId="{DA19B198-7CCE-4F43-9652-83F9EE4361F5}" type="sibTrans" cxnId="{601CE173-D851-41E7-A77B-2D2E1B27FA71}">
      <dgm:prSet/>
      <dgm:spPr/>
      <dgm:t>
        <a:bodyPr/>
        <a:lstStyle/>
        <a:p>
          <a:endParaRPr lang="en-US"/>
        </a:p>
      </dgm:t>
    </dgm:pt>
    <dgm:pt modelId="{47FA68D9-2C91-420C-A173-EC101274E578}">
      <dgm:prSet phldrT="[Text]"/>
      <dgm:spPr/>
      <dgm:t>
        <a:bodyPr/>
        <a:lstStyle/>
        <a:p>
          <a:r>
            <a:rPr lang="fr-FR"/>
            <a:t>Submission of solum declaration for export to Health Canada </a:t>
          </a:r>
          <a:endParaRPr lang="en-US"/>
        </a:p>
      </dgm:t>
    </dgm:pt>
    <dgm:pt modelId="{A967FDEA-0B47-4623-BC6D-100D560340D7}" type="parTrans" cxnId="{9E35A8CD-8941-4936-AE9F-47FA0768422A}">
      <dgm:prSet/>
      <dgm:spPr/>
      <dgm:t>
        <a:bodyPr/>
        <a:lstStyle/>
        <a:p>
          <a:endParaRPr lang="en-US"/>
        </a:p>
      </dgm:t>
    </dgm:pt>
    <dgm:pt modelId="{7F6A4564-E665-4DAD-9DC1-7D4F96F4730A}" type="sibTrans" cxnId="{9E35A8CD-8941-4936-AE9F-47FA0768422A}">
      <dgm:prSet/>
      <dgm:spPr/>
      <dgm:t>
        <a:bodyPr/>
        <a:lstStyle/>
        <a:p>
          <a:endParaRPr lang="en-US"/>
        </a:p>
      </dgm:t>
    </dgm:pt>
    <dgm:pt modelId="{44E39D87-699F-48FA-8F70-4A2A625BFBBB}">
      <dgm:prSet phldrT="[Text]"/>
      <dgm:spPr/>
      <dgm:t>
        <a:bodyPr/>
        <a:lstStyle/>
        <a:p>
          <a:r>
            <a:rPr lang="fr-FR"/>
            <a:t>Provision of copy of supply agreement with importing country to the Health Canada commissionner and the patentees</a:t>
          </a:r>
          <a:endParaRPr lang="en-US"/>
        </a:p>
      </dgm:t>
    </dgm:pt>
    <dgm:pt modelId="{CCF49AB5-A484-4FD2-B187-FE53A43368CB}" type="parTrans" cxnId="{8A16CC29-7DDF-411A-AFAE-3DD1039F8883}">
      <dgm:prSet/>
      <dgm:spPr/>
      <dgm:t>
        <a:bodyPr/>
        <a:lstStyle/>
        <a:p>
          <a:endParaRPr lang="en-US"/>
        </a:p>
      </dgm:t>
    </dgm:pt>
    <dgm:pt modelId="{4FC91DAE-695D-462E-B784-86FA2F01795E}" type="sibTrans" cxnId="{8A16CC29-7DDF-411A-AFAE-3DD1039F8883}">
      <dgm:prSet/>
      <dgm:spPr/>
      <dgm:t>
        <a:bodyPr/>
        <a:lstStyle/>
        <a:p>
          <a:endParaRPr lang="en-US"/>
        </a:p>
      </dgm:t>
    </dgm:pt>
    <dgm:pt modelId="{EF996F04-1607-4C10-A461-46AE5D9157AA}">
      <dgm:prSet/>
      <dgm:spPr/>
      <dgm:t>
        <a:bodyPr/>
        <a:lstStyle/>
        <a:p>
          <a:r>
            <a:rPr lang="fr-FR"/>
            <a:t>Website notification and payment of royalties </a:t>
          </a:r>
          <a:endParaRPr lang="en-US"/>
        </a:p>
      </dgm:t>
    </dgm:pt>
    <dgm:pt modelId="{FACC0472-E8B3-4965-BF27-18FFC4104790}" type="parTrans" cxnId="{31546A4C-FAFF-480B-BD6E-405DD50DBD25}">
      <dgm:prSet/>
      <dgm:spPr/>
      <dgm:t>
        <a:bodyPr/>
        <a:lstStyle/>
        <a:p>
          <a:endParaRPr lang="en-US"/>
        </a:p>
      </dgm:t>
    </dgm:pt>
    <dgm:pt modelId="{D870E6E7-29B4-42B5-87C4-D962658B478A}" type="sibTrans" cxnId="{31546A4C-FAFF-480B-BD6E-405DD50DBD25}">
      <dgm:prSet/>
      <dgm:spPr/>
      <dgm:t>
        <a:bodyPr/>
        <a:lstStyle/>
        <a:p>
          <a:endParaRPr lang="en-US"/>
        </a:p>
      </dgm:t>
    </dgm:pt>
    <dgm:pt modelId="{A19598AC-0C14-497F-9BA9-9FEA9B1BB719}">
      <dgm:prSet/>
      <dgm:spPr/>
      <dgm:t>
        <a:bodyPr/>
        <a:lstStyle/>
        <a:p>
          <a:r>
            <a:rPr lang="fr-FR"/>
            <a:t>Provision of notice for export </a:t>
          </a:r>
          <a:endParaRPr lang="en-US"/>
        </a:p>
      </dgm:t>
    </dgm:pt>
    <dgm:pt modelId="{980A8F96-1F13-48FA-BE65-6B4C2440404E}" type="parTrans" cxnId="{5280DB60-5863-4B9D-B09F-2E271E753C2A}">
      <dgm:prSet/>
      <dgm:spPr/>
      <dgm:t>
        <a:bodyPr/>
        <a:lstStyle/>
        <a:p>
          <a:endParaRPr lang="en-US"/>
        </a:p>
      </dgm:t>
    </dgm:pt>
    <dgm:pt modelId="{863F6B5E-DCCE-4CB2-95E1-B7936BEADA13}" type="sibTrans" cxnId="{5280DB60-5863-4B9D-B09F-2E271E753C2A}">
      <dgm:prSet/>
      <dgm:spPr/>
      <dgm:t>
        <a:bodyPr/>
        <a:lstStyle/>
        <a:p>
          <a:endParaRPr lang="en-US"/>
        </a:p>
      </dgm:t>
    </dgm:pt>
    <dgm:pt modelId="{82B2F7C8-90CE-4014-861B-7FB2925489AB}" type="pres">
      <dgm:prSet presAssocID="{D012A8AC-4A3A-459F-8D0A-A56909C9413B}" presName="outerComposite" presStyleCnt="0">
        <dgm:presLayoutVars>
          <dgm:chMax val="5"/>
          <dgm:dir/>
          <dgm:resizeHandles val="exact"/>
        </dgm:presLayoutVars>
      </dgm:prSet>
      <dgm:spPr/>
    </dgm:pt>
    <dgm:pt modelId="{B3578602-63F7-41FF-AD3B-148D2EFB06E2}" type="pres">
      <dgm:prSet presAssocID="{D012A8AC-4A3A-459F-8D0A-A56909C9413B}" presName="dummyMaxCanvas" presStyleCnt="0">
        <dgm:presLayoutVars/>
      </dgm:prSet>
      <dgm:spPr/>
    </dgm:pt>
    <dgm:pt modelId="{73D97B51-DF34-46FD-AAD8-2BBED099C109}" type="pres">
      <dgm:prSet presAssocID="{D012A8AC-4A3A-459F-8D0A-A56909C9413B}" presName="FiveNodes_1" presStyleLbl="node1" presStyleIdx="0" presStyleCnt="5">
        <dgm:presLayoutVars>
          <dgm:bulletEnabled val="1"/>
        </dgm:presLayoutVars>
      </dgm:prSet>
      <dgm:spPr/>
    </dgm:pt>
    <dgm:pt modelId="{DA9D8264-D54F-4B08-9459-2957CF6ED21A}" type="pres">
      <dgm:prSet presAssocID="{D012A8AC-4A3A-459F-8D0A-A56909C9413B}" presName="FiveNodes_2" presStyleLbl="node1" presStyleIdx="1" presStyleCnt="5">
        <dgm:presLayoutVars>
          <dgm:bulletEnabled val="1"/>
        </dgm:presLayoutVars>
      </dgm:prSet>
      <dgm:spPr/>
    </dgm:pt>
    <dgm:pt modelId="{C5227293-2E25-45FC-9F06-3571B0C8B81B}" type="pres">
      <dgm:prSet presAssocID="{D012A8AC-4A3A-459F-8D0A-A56909C9413B}" presName="FiveNodes_3" presStyleLbl="node1" presStyleIdx="2" presStyleCnt="5">
        <dgm:presLayoutVars>
          <dgm:bulletEnabled val="1"/>
        </dgm:presLayoutVars>
      </dgm:prSet>
      <dgm:spPr/>
    </dgm:pt>
    <dgm:pt modelId="{E3DE92CF-EE1E-4EF0-AFE8-E16A1AB588B5}" type="pres">
      <dgm:prSet presAssocID="{D012A8AC-4A3A-459F-8D0A-A56909C9413B}" presName="FiveNodes_4" presStyleLbl="node1" presStyleIdx="3" presStyleCnt="5">
        <dgm:presLayoutVars>
          <dgm:bulletEnabled val="1"/>
        </dgm:presLayoutVars>
      </dgm:prSet>
      <dgm:spPr/>
    </dgm:pt>
    <dgm:pt modelId="{64E8DA7E-8E90-4E82-9301-D525EA2A3EA3}" type="pres">
      <dgm:prSet presAssocID="{D012A8AC-4A3A-459F-8D0A-A56909C9413B}" presName="FiveNodes_5" presStyleLbl="node1" presStyleIdx="4" presStyleCnt="5">
        <dgm:presLayoutVars>
          <dgm:bulletEnabled val="1"/>
        </dgm:presLayoutVars>
      </dgm:prSet>
      <dgm:spPr/>
    </dgm:pt>
    <dgm:pt modelId="{F4E4F5EC-70D0-4147-BD7B-3FF80211908E}" type="pres">
      <dgm:prSet presAssocID="{D012A8AC-4A3A-459F-8D0A-A56909C9413B}" presName="FiveConn_1-2" presStyleLbl="fgAccFollowNode1" presStyleIdx="0" presStyleCnt="4">
        <dgm:presLayoutVars>
          <dgm:bulletEnabled val="1"/>
        </dgm:presLayoutVars>
      </dgm:prSet>
      <dgm:spPr/>
    </dgm:pt>
    <dgm:pt modelId="{4501BAA0-F944-47A4-AAA2-D58D8C3E182F}" type="pres">
      <dgm:prSet presAssocID="{D012A8AC-4A3A-459F-8D0A-A56909C9413B}" presName="FiveConn_2-3" presStyleLbl="fgAccFollowNode1" presStyleIdx="1" presStyleCnt="4">
        <dgm:presLayoutVars>
          <dgm:bulletEnabled val="1"/>
        </dgm:presLayoutVars>
      </dgm:prSet>
      <dgm:spPr/>
    </dgm:pt>
    <dgm:pt modelId="{EB632719-6F34-48E4-8706-EC0C7064F762}" type="pres">
      <dgm:prSet presAssocID="{D012A8AC-4A3A-459F-8D0A-A56909C9413B}" presName="FiveConn_3-4" presStyleLbl="fgAccFollowNode1" presStyleIdx="2" presStyleCnt="4">
        <dgm:presLayoutVars>
          <dgm:bulletEnabled val="1"/>
        </dgm:presLayoutVars>
      </dgm:prSet>
      <dgm:spPr/>
    </dgm:pt>
    <dgm:pt modelId="{E742D85F-D94C-4DA0-BF0F-2C30AAEAC775}" type="pres">
      <dgm:prSet presAssocID="{D012A8AC-4A3A-459F-8D0A-A56909C9413B}" presName="FiveConn_4-5" presStyleLbl="fgAccFollowNode1" presStyleIdx="3" presStyleCnt="4">
        <dgm:presLayoutVars>
          <dgm:bulletEnabled val="1"/>
        </dgm:presLayoutVars>
      </dgm:prSet>
      <dgm:spPr/>
    </dgm:pt>
    <dgm:pt modelId="{D31DBA46-05F3-4646-8611-B2D202F6D56D}" type="pres">
      <dgm:prSet presAssocID="{D012A8AC-4A3A-459F-8D0A-A56909C9413B}" presName="FiveNodes_1_text" presStyleLbl="node1" presStyleIdx="4" presStyleCnt="5">
        <dgm:presLayoutVars>
          <dgm:bulletEnabled val="1"/>
        </dgm:presLayoutVars>
      </dgm:prSet>
      <dgm:spPr/>
    </dgm:pt>
    <dgm:pt modelId="{63656EB1-405C-4F77-8B42-107F12A73D27}" type="pres">
      <dgm:prSet presAssocID="{D012A8AC-4A3A-459F-8D0A-A56909C9413B}" presName="FiveNodes_2_text" presStyleLbl="node1" presStyleIdx="4" presStyleCnt="5">
        <dgm:presLayoutVars>
          <dgm:bulletEnabled val="1"/>
        </dgm:presLayoutVars>
      </dgm:prSet>
      <dgm:spPr/>
    </dgm:pt>
    <dgm:pt modelId="{130ACD36-2378-4EF7-B558-8A27DD6FED0B}" type="pres">
      <dgm:prSet presAssocID="{D012A8AC-4A3A-459F-8D0A-A56909C9413B}" presName="FiveNodes_3_text" presStyleLbl="node1" presStyleIdx="4" presStyleCnt="5">
        <dgm:presLayoutVars>
          <dgm:bulletEnabled val="1"/>
        </dgm:presLayoutVars>
      </dgm:prSet>
      <dgm:spPr/>
    </dgm:pt>
    <dgm:pt modelId="{95F17D80-1500-49F0-AED4-67BCFD49285C}" type="pres">
      <dgm:prSet presAssocID="{D012A8AC-4A3A-459F-8D0A-A56909C9413B}" presName="FiveNodes_4_text" presStyleLbl="node1" presStyleIdx="4" presStyleCnt="5">
        <dgm:presLayoutVars>
          <dgm:bulletEnabled val="1"/>
        </dgm:presLayoutVars>
      </dgm:prSet>
      <dgm:spPr/>
    </dgm:pt>
    <dgm:pt modelId="{7D456775-8111-4E72-8039-98CDCD2927F0}" type="pres">
      <dgm:prSet presAssocID="{D012A8AC-4A3A-459F-8D0A-A56909C9413B}" presName="FiveNodes_5_text" presStyleLbl="node1" presStyleIdx="4" presStyleCnt="5">
        <dgm:presLayoutVars>
          <dgm:bulletEnabled val="1"/>
        </dgm:presLayoutVars>
      </dgm:prSet>
      <dgm:spPr/>
    </dgm:pt>
  </dgm:ptLst>
  <dgm:cxnLst>
    <dgm:cxn modelId="{BBDA3809-5DBC-47BA-9FFD-FBDC574EF1B8}" type="presOf" srcId="{47FA68D9-2C91-420C-A173-EC101274E578}" destId="{DA9D8264-D54F-4B08-9459-2957CF6ED21A}" srcOrd="0" destOrd="0" presId="urn:microsoft.com/office/officeart/2005/8/layout/vProcess5"/>
    <dgm:cxn modelId="{C62F280F-4321-4111-B57A-0E6A4A30E340}" type="presOf" srcId="{07FD9782-00DF-470C-BC4C-8B8CA65FF2AB}" destId="{D31DBA46-05F3-4646-8611-B2D202F6D56D}" srcOrd="1" destOrd="0" presId="urn:microsoft.com/office/officeart/2005/8/layout/vProcess5"/>
    <dgm:cxn modelId="{20EE440F-3093-47E9-939C-D524F8D1159B}" type="presOf" srcId="{4FC91DAE-695D-462E-B784-86FA2F01795E}" destId="{EB632719-6F34-48E4-8706-EC0C7064F762}" srcOrd="0" destOrd="0" presId="urn:microsoft.com/office/officeart/2005/8/layout/vProcess5"/>
    <dgm:cxn modelId="{D3587A1C-2CEA-4C76-960E-A69574DC6737}" type="presOf" srcId="{EF996F04-1607-4C10-A461-46AE5D9157AA}" destId="{E3DE92CF-EE1E-4EF0-AFE8-E16A1AB588B5}" srcOrd="0" destOrd="0" presId="urn:microsoft.com/office/officeart/2005/8/layout/vProcess5"/>
    <dgm:cxn modelId="{8A16CC29-7DDF-411A-AFAE-3DD1039F8883}" srcId="{D012A8AC-4A3A-459F-8D0A-A56909C9413B}" destId="{44E39D87-699F-48FA-8F70-4A2A625BFBBB}" srcOrd="2" destOrd="0" parTransId="{CCF49AB5-A484-4FD2-B187-FE53A43368CB}" sibTransId="{4FC91DAE-695D-462E-B784-86FA2F01795E}"/>
    <dgm:cxn modelId="{2284345C-89A4-4940-862F-B1619A9BAE18}" type="presOf" srcId="{DA19B198-7CCE-4F43-9652-83F9EE4361F5}" destId="{F4E4F5EC-70D0-4147-BD7B-3FF80211908E}" srcOrd="0" destOrd="0" presId="urn:microsoft.com/office/officeart/2005/8/layout/vProcess5"/>
    <dgm:cxn modelId="{5280DB60-5863-4B9D-B09F-2E271E753C2A}" srcId="{D012A8AC-4A3A-459F-8D0A-A56909C9413B}" destId="{A19598AC-0C14-497F-9BA9-9FEA9B1BB719}" srcOrd="4" destOrd="0" parTransId="{980A8F96-1F13-48FA-BE65-6B4C2440404E}" sibTransId="{863F6B5E-DCCE-4CB2-95E1-B7936BEADA13}"/>
    <dgm:cxn modelId="{4938F745-84BA-4E7F-B7E8-0500E6C76762}" type="presOf" srcId="{44E39D87-699F-48FA-8F70-4A2A625BFBBB}" destId="{130ACD36-2378-4EF7-B558-8A27DD6FED0B}" srcOrd="1" destOrd="0" presId="urn:microsoft.com/office/officeart/2005/8/layout/vProcess5"/>
    <dgm:cxn modelId="{31546A4C-FAFF-480B-BD6E-405DD50DBD25}" srcId="{D012A8AC-4A3A-459F-8D0A-A56909C9413B}" destId="{EF996F04-1607-4C10-A461-46AE5D9157AA}" srcOrd="3" destOrd="0" parTransId="{FACC0472-E8B3-4965-BF27-18FFC4104790}" sibTransId="{D870E6E7-29B4-42B5-87C4-D962658B478A}"/>
    <dgm:cxn modelId="{BFD0E350-FC16-4690-87AA-33C666140A41}" type="presOf" srcId="{A19598AC-0C14-497F-9BA9-9FEA9B1BB719}" destId="{7D456775-8111-4E72-8039-98CDCD2927F0}" srcOrd="1" destOrd="0" presId="urn:microsoft.com/office/officeart/2005/8/layout/vProcess5"/>
    <dgm:cxn modelId="{601CE173-D851-41E7-A77B-2D2E1B27FA71}" srcId="{D012A8AC-4A3A-459F-8D0A-A56909C9413B}" destId="{07FD9782-00DF-470C-BC4C-8B8CA65FF2AB}" srcOrd="0" destOrd="0" parTransId="{6C85B556-B835-41FA-A804-21DCA0027F47}" sibTransId="{DA19B198-7CCE-4F43-9652-83F9EE4361F5}"/>
    <dgm:cxn modelId="{A6F2608A-AE18-4F99-9B92-DC1153DB97C8}" type="presOf" srcId="{EF996F04-1607-4C10-A461-46AE5D9157AA}" destId="{95F17D80-1500-49F0-AED4-67BCFD49285C}" srcOrd="1" destOrd="0" presId="urn:microsoft.com/office/officeart/2005/8/layout/vProcess5"/>
    <dgm:cxn modelId="{8353628C-18F5-4383-96FE-B2CBD7720187}" type="presOf" srcId="{44E39D87-699F-48FA-8F70-4A2A625BFBBB}" destId="{C5227293-2E25-45FC-9F06-3571B0C8B81B}" srcOrd="0" destOrd="0" presId="urn:microsoft.com/office/officeart/2005/8/layout/vProcess5"/>
    <dgm:cxn modelId="{5ED713BB-EE3E-4728-A1A8-56A90D6BEEF6}" type="presOf" srcId="{D012A8AC-4A3A-459F-8D0A-A56909C9413B}" destId="{82B2F7C8-90CE-4014-861B-7FB2925489AB}" srcOrd="0" destOrd="0" presId="urn:microsoft.com/office/officeart/2005/8/layout/vProcess5"/>
    <dgm:cxn modelId="{0AA7C9CC-04AA-45C8-9F00-5D6BBB490716}" type="presOf" srcId="{07FD9782-00DF-470C-BC4C-8B8CA65FF2AB}" destId="{73D97B51-DF34-46FD-AAD8-2BBED099C109}" srcOrd="0" destOrd="0" presId="urn:microsoft.com/office/officeart/2005/8/layout/vProcess5"/>
    <dgm:cxn modelId="{9E35A8CD-8941-4936-AE9F-47FA0768422A}" srcId="{D012A8AC-4A3A-459F-8D0A-A56909C9413B}" destId="{47FA68D9-2C91-420C-A173-EC101274E578}" srcOrd="1" destOrd="0" parTransId="{A967FDEA-0B47-4623-BC6D-100D560340D7}" sibTransId="{7F6A4564-E665-4DAD-9DC1-7D4F96F4730A}"/>
    <dgm:cxn modelId="{D2ADF6CE-9884-42B6-9822-9DA566C9C01C}" type="presOf" srcId="{47FA68D9-2C91-420C-A173-EC101274E578}" destId="{63656EB1-405C-4F77-8B42-107F12A73D27}" srcOrd="1" destOrd="0" presId="urn:microsoft.com/office/officeart/2005/8/layout/vProcess5"/>
    <dgm:cxn modelId="{648CE0D1-3050-4223-87FE-4250C71F2A2C}" type="presOf" srcId="{A19598AC-0C14-497F-9BA9-9FEA9B1BB719}" destId="{64E8DA7E-8E90-4E82-9301-D525EA2A3EA3}" srcOrd="0" destOrd="0" presId="urn:microsoft.com/office/officeart/2005/8/layout/vProcess5"/>
    <dgm:cxn modelId="{B25528DF-863D-4BEE-A536-44414D3C8F57}" type="presOf" srcId="{7F6A4564-E665-4DAD-9DC1-7D4F96F4730A}" destId="{4501BAA0-F944-47A4-AAA2-D58D8C3E182F}" srcOrd="0" destOrd="0" presId="urn:microsoft.com/office/officeart/2005/8/layout/vProcess5"/>
    <dgm:cxn modelId="{B4BFFDE8-4F4B-45C3-B6E9-F1BAF950DAEF}" type="presOf" srcId="{D870E6E7-29B4-42B5-87C4-D962658B478A}" destId="{E742D85F-D94C-4DA0-BF0F-2C30AAEAC775}" srcOrd="0" destOrd="0" presId="urn:microsoft.com/office/officeart/2005/8/layout/vProcess5"/>
    <dgm:cxn modelId="{AE016CA3-D3EF-4B8B-ACA5-2D3108F2821F}" type="presParOf" srcId="{82B2F7C8-90CE-4014-861B-7FB2925489AB}" destId="{B3578602-63F7-41FF-AD3B-148D2EFB06E2}" srcOrd="0" destOrd="0" presId="urn:microsoft.com/office/officeart/2005/8/layout/vProcess5"/>
    <dgm:cxn modelId="{20BFE7CB-EC4E-4944-8DB4-7E467219BBF8}" type="presParOf" srcId="{82B2F7C8-90CE-4014-861B-7FB2925489AB}" destId="{73D97B51-DF34-46FD-AAD8-2BBED099C109}" srcOrd="1" destOrd="0" presId="urn:microsoft.com/office/officeart/2005/8/layout/vProcess5"/>
    <dgm:cxn modelId="{1485BC19-8B3D-46FC-A5F3-22776CA84577}" type="presParOf" srcId="{82B2F7C8-90CE-4014-861B-7FB2925489AB}" destId="{DA9D8264-D54F-4B08-9459-2957CF6ED21A}" srcOrd="2" destOrd="0" presId="urn:microsoft.com/office/officeart/2005/8/layout/vProcess5"/>
    <dgm:cxn modelId="{56DD0253-9E7A-486D-A2B3-F9CA213C57F5}" type="presParOf" srcId="{82B2F7C8-90CE-4014-861B-7FB2925489AB}" destId="{C5227293-2E25-45FC-9F06-3571B0C8B81B}" srcOrd="3" destOrd="0" presId="urn:microsoft.com/office/officeart/2005/8/layout/vProcess5"/>
    <dgm:cxn modelId="{CA1E3D9C-5D66-455F-9069-32A03539DB2D}" type="presParOf" srcId="{82B2F7C8-90CE-4014-861B-7FB2925489AB}" destId="{E3DE92CF-EE1E-4EF0-AFE8-E16A1AB588B5}" srcOrd="4" destOrd="0" presId="urn:microsoft.com/office/officeart/2005/8/layout/vProcess5"/>
    <dgm:cxn modelId="{9FB19493-BE40-4618-A9F9-12049BD5B648}" type="presParOf" srcId="{82B2F7C8-90CE-4014-861B-7FB2925489AB}" destId="{64E8DA7E-8E90-4E82-9301-D525EA2A3EA3}" srcOrd="5" destOrd="0" presId="urn:microsoft.com/office/officeart/2005/8/layout/vProcess5"/>
    <dgm:cxn modelId="{A850CDC6-595C-44E0-AB76-02F7850EFF89}" type="presParOf" srcId="{82B2F7C8-90CE-4014-861B-7FB2925489AB}" destId="{F4E4F5EC-70D0-4147-BD7B-3FF80211908E}" srcOrd="6" destOrd="0" presId="urn:microsoft.com/office/officeart/2005/8/layout/vProcess5"/>
    <dgm:cxn modelId="{58D74CF6-37CB-4404-AF10-D6E6B2F3E488}" type="presParOf" srcId="{82B2F7C8-90CE-4014-861B-7FB2925489AB}" destId="{4501BAA0-F944-47A4-AAA2-D58D8C3E182F}" srcOrd="7" destOrd="0" presId="urn:microsoft.com/office/officeart/2005/8/layout/vProcess5"/>
    <dgm:cxn modelId="{4FABADB2-CA05-468C-ABE0-39FC00ABEFBB}" type="presParOf" srcId="{82B2F7C8-90CE-4014-861B-7FB2925489AB}" destId="{EB632719-6F34-48E4-8706-EC0C7064F762}" srcOrd="8" destOrd="0" presId="urn:microsoft.com/office/officeart/2005/8/layout/vProcess5"/>
    <dgm:cxn modelId="{46CAFBCF-B1C0-48BC-92A8-28866226103C}" type="presParOf" srcId="{82B2F7C8-90CE-4014-861B-7FB2925489AB}" destId="{E742D85F-D94C-4DA0-BF0F-2C30AAEAC775}" srcOrd="9" destOrd="0" presId="urn:microsoft.com/office/officeart/2005/8/layout/vProcess5"/>
    <dgm:cxn modelId="{BCF103BE-0860-4DD4-9221-CA706B316957}" type="presParOf" srcId="{82B2F7C8-90CE-4014-861B-7FB2925489AB}" destId="{D31DBA46-05F3-4646-8611-B2D202F6D56D}" srcOrd="10" destOrd="0" presId="urn:microsoft.com/office/officeart/2005/8/layout/vProcess5"/>
    <dgm:cxn modelId="{19EF3072-8013-4565-95C8-518F58368BB7}" type="presParOf" srcId="{82B2F7C8-90CE-4014-861B-7FB2925489AB}" destId="{63656EB1-405C-4F77-8B42-107F12A73D27}" srcOrd="11" destOrd="0" presId="urn:microsoft.com/office/officeart/2005/8/layout/vProcess5"/>
    <dgm:cxn modelId="{F028D0EC-2789-4498-AB58-787717F4954A}" type="presParOf" srcId="{82B2F7C8-90CE-4014-861B-7FB2925489AB}" destId="{130ACD36-2378-4EF7-B558-8A27DD6FED0B}" srcOrd="12" destOrd="0" presId="urn:microsoft.com/office/officeart/2005/8/layout/vProcess5"/>
    <dgm:cxn modelId="{D354C55A-B39F-407A-A132-F20D2F4CF291}" type="presParOf" srcId="{82B2F7C8-90CE-4014-861B-7FB2925489AB}" destId="{95F17D80-1500-49F0-AED4-67BCFD49285C}" srcOrd="13" destOrd="0" presId="urn:microsoft.com/office/officeart/2005/8/layout/vProcess5"/>
    <dgm:cxn modelId="{04F4CE36-F6BE-4F0F-9452-1F26D829CE88}" type="presParOf" srcId="{82B2F7C8-90CE-4014-861B-7FB2925489AB}" destId="{7D456775-8111-4E72-8039-98CDCD2927F0}" srcOrd="14" destOrd="0" presId="urn:microsoft.com/office/officeart/2005/8/layout/vProcess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D804B9-439B-47CB-B298-5F4B2C5AEC4E}">
      <dsp:nvSpPr>
        <dsp:cNvPr id="0" name=""/>
        <dsp:cNvSpPr/>
      </dsp:nvSpPr>
      <dsp:spPr>
        <a:xfrm>
          <a:off x="175803" y="779"/>
          <a:ext cx="1110629" cy="666377"/>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December 2004 - Apotex agreement to produce a fixed-dose combination </a:t>
          </a:r>
        </a:p>
      </dsp:txBody>
      <dsp:txXfrm>
        <a:off x="195321" y="20297"/>
        <a:ext cx="1071593" cy="627341"/>
      </dsp:txXfrm>
    </dsp:sp>
    <dsp:sp modelId="{24F055E0-7ED3-463E-B52D-1B97ACA7318E}">
      <dsp:nvSpPr>
        <dsp:cNvPr id="0" name=""/>
        <dsp:cNvSpPr/>
      </dsp:nvSpPr>
      <dsp:spPr>
        <a:xfrm>
          <a:off x="1384168" y="196250"/>
          <a:ext cx="235453" cy="275436"/>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384168" y="251337"/>
        <a:ext cx="164817" cy="165262"/>
      </dsp:txXfrm>
    </dsp:sp>
    <dsp:sp modelId="{A5BAF762-C552-4E08-9EA5-9EA50A27AFFD}">
      <dsp:nvSpPr>
        <dsp:cNvPr id="0" name=""/>
        <dsp:cNvSpPr/>
      </dsp:nvSpPr>
      <dsp:spPr>
        <a:xfrm>
          <a:off x="1730685" y="779"/>
          <a:ext cx="1110629" cy="666377"/>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September 2005 - Amendment of Schedule 1 of CAMR to include fixed-dose combination drugs</a:t>
          </a:r>
        </a:p>
      </dsp:txBody>
      <dsp:txXfrm>
        <a:off x="1750203" y="20297"/>
        <a:ext cx="1071593" cy="627341"/>
      </dsp:txXfrm>
    </dsp:sp>
    <dsp:sp modelId="{F654E532-42E4-4246-94FA-BA1CB15714FE}">
      <dsp:nvSpPr>
        <dsp:cNvPr id="0" name=""/>
        <dsp:cNvSpPr/>
      </dsp:nvSpPr>
      <dsp:spPr>
        <a:xfrm>
          <a:off x="2939050" y="196250"/>
          <a:ext cx="235453" cy="275436"/>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2939050" y="251337"/>
        <a:ext cx="164817" cy="165262"/>
      </dsp:txXfrm>
    </dsp:sp>
    <dsp:sp modelId="{C47BE6A9-0547-4B48-B633-7053A55691A6}">
      <dsp:nvSpPr>
        <dsp:cNvPr id="0" name=""/>
        <dsp:cNvSpPr/>
      </dsp:nvSpPr>
      <dsp:spPr>
        <a:xfrm>
          <a:off x="3285566" y="779"/>
          <a:ext cx="1110629" cy="666377"/>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August 2006 - Regulatory approval of product by Health Canada</a:t>
          </a:r>
        </a:p>
      </dsp:txBody>
      <dsp:txXfrm>
        <a:off x="3305084" y="20297"/>
        <a:ext cx="1071593" cy="627341"/>
      </dsp:txXfrm>
    </dsp:sp>
    <dsp:sp modelId="{CE35AED9-3E4D-444E-8E55-CDFCA4F235CE}">
      <dsp:nvSpPr>
        <dsp:cNvPr id="0" name=""/>
        <dsp:cNvSpPr/>
      </dsp:nvSpPr>
      <dsp:spPr>
        <a:xfrm rot="5400000">
          <a:off x="3723155" y="744901"/>
          <a:ext cx="235453" cy="275436"/>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5400000">
        <a:off x="3758251" y="764892"/>
        <a:ext cx="165262" cy="164817"/>
      </dsp:txXfrm>
    </dsp:sp>
    <dsp:sp modelId="{F300E78D-2E62-4035-9388-5F27ED5BC6CB}">
      <dsp:nvSpPr>
        <dsp:cNvPr id="0" name=""/>
        <dsp:cNvSpPr/>
      </dsp:nvSpPr>
      <dsp:spPr>
        <a:xfrm>
          <a:off x="3285566" y="1111409"/>
          <a:ext cx="1110629" cy="666377"/>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May 2007 - Rwanda notification to the WTO Council for TRIPS of intent to import medicine under Art. 31bis</a:t>
          </a:r>
        </a:p>
      </dsp:txBody>
      <dsp:txXfrm>
        <a:off x="3305084" y="1130927"/>
        <a:ext cx="1071593" cy="627341"/>
      </dsp:txXfrm>
    </dsp:sp>
    <dsp:sp modelId="{95413D42-C626-43C4-9D69-30CEC0160B6B}">
      <dsp:nvSpPr>
        <dsp:cNvPr id="0" name=""/>
        <dsp:cNvSpPr/>
      </dsp:nvSpPr>
      <dsp:spPr>
        <a:xfrm rot="10800000">
          <a:off x="2952377" y="1306880"/>
          <a:ext cx="235453" cy="275436"/>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10800000">
        <a:off x="3023013" y="1361967"/>
        <a:ext cx="164817" cy="165262"/>
      </dsp:txXfrm>
    </dsp:sp>
    <dsp:sp modelId="{AADF9639-D8D1-4CA8-9EDA-002EB9C2E8AF}">
      <dsp:nvSpPr>
        <dsp:cNvPr id="0" name=""/>
        <dsp:cNvSpPr/>
      </dsp:nvSpPr>
      <dsp:spPr>
        <a:xfrm>
          <a:off x="1730685" y="1111409"/>
          <a:ext cx="1110629" cy="666377"/>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September 2007 - Apotex files and obtains a 2-year CL</a:t>
          </a:r>
        </a:p>
      </dsp:txBody>
      <dsp:txXfrm>
        <a:off x="1750203" y="1130927"/>
        <a:ext cx="1071593" cy="627341"/>
      </dsp:txXfrm>
    </dsp:sp>
    <dsp:sp modelId="{5BA68BFC-55DD-4F56-A2B9-B3F1CB08DA1B}">
      <dsp:nvSpPr>
        <dsp:cNvPr id="0" name=""/>
        <dsp:cNvSpPr/>
      </dsp:nvSpPr>
      <dsp:spPr>
        <a:xfrm rot="10800000">
          <a:off x="1397496" y="1306880"/>
          <a:ext cx="235453" cy="275436"/>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10800000">
        <a:off x="1468132" y="1361967"/>
        <a:ext cx="164817" cy="165262"/>
      </dsp:txXfrm>
    </dsp:sp>
    <dsp:sp modelId="{9F3D783C-CAE6-4A16-AD8B-6DF5301B76CB}">
      <dsp:nvSpPr>
        <dsp:cNvPr id="0" name=""/>
        <dsp:cNvSpPr/>
      </dsp:nvSpPr>
      <dsp:spPr>
        <a:xfrm>
          <a:off x="175803" y="1111409"/>
          <a:ext cx="1110629" cy="666377"/>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October 2007 - Canada notification to WTO Council for TRIPS of intent to export medicine</a:t>
          </a:r>
        </a:p>
      </dsp:txBody>
      <dsp:txXfrm>
        <a:off x="195321" y="1130927"/>
        <a:ext cx="1071593" cy="627341"/>
      </dsp:txXfrm>
    </dsp:sp>
    <dsp:sp modelId="{DA30AD01-BF1A-426D-A254-C7F21BF769B9}">
      <dsp:nvSpPr>
        <dsp:cNvPr id="0" name=""/>
        <dsp:cNvSpPr/>
      </dsp:nvSpPr>
      <dsp:spPr>
        <a:xfrm rot="5400000">
          <a:off x="613391" y="1855531"/>
          <a:ext cx="235453" cy="275436"/>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5400000">
        <a:off x="648487" y="1875522"/>
        <a:ext cx="165262" cy="164817"/>
      </dsp:txXfrm>
    </dsp:sp>
    <dsp:sp modelId="{73343A88-502C-4AEC-A4AD-BA4D42AADF95}">
      <dsp:nvSpPr>
        <dsp:cNvPr id="0" name=""/>
        <dsp:cNvSpPr/>
      </dsp:nvSpPr>
      <dsp:spPr>
        <a:xfrm>
          <a:off x="175803" y="2222039"/>
          <a:ext cx="1110629" cy="666377"/>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May 2008 - Apotex received final tender approval from Rwanda to export the CL drug</a:t>
          </a:r>
        </a:p>
      </dsp:txBody>
      <dsp:txXfrm>
        <a:off x="195321" y="2241557"/>
        <a:ext cx="1071593" cy="6273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746F2-D5EF-484C-8882-69A8C4AFEF44}">
      <dsp:nvSpPr>
        <dsp:cNvPr id="0" name=""/>
        <dsp:cNvSpPr/>
      </dsp:nvSpPr>
      <dsp:spPr>
        <a:xfrm>
          <a:off x="0" y="0"/>
          <a:ext cx="3958050" cy="30428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fr-FR" sz="800" kern="1200"/>
            <a:t>Identification of eligible importing country and product</a:t>
          </a:r>
          <a:endParaRPr lang="en-US" sz="800" kern="1200"/>
        </a:p>
      </dsp:txBody>
      <dsp:txXfrm>
        <a:off x="8912" y="8912"/>
        <a:ext cx="3594099" cy="286463"/>
      </dsp:txXfrm>
    </dsp:sp>
    <dsp:sp modelId="{E4D1CC52-980B-447D-B1FD-A86B5EE507A6}">
      <dsp:nvSpPr>
        <dsp:cNvPr id="0" name=""/>
        <dsp:cNvSpPr/>
      </dsp:nvSpPr>
      <dsp:spPr>
        <a:xfrm>
          <a:off x="295568" y="346549"/>
          <a:ext cx="3958050" cy="30428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t>Patent search</a:t>
          </a:r>
        </a:p>
      </dsp:txBody>
      <dsp:txXfrm>
        <a:off x="304480" y="355461"/>
        <a:ext cx="3446870" cy="286463"/>
      </dsp:txXfrm>
    </dsp:sp>
    <dsp:sp modelId="{40CF0DC9-ED76-4515-B22D-D88BF1730D3F}">
      <dsp:nvSpPr>
        <dsp:cNvPr id="0" name=""/>
        <dsp:cNvSpPr/>
      </dsp:nvSpPr>
      <dsp:spPr>
        <a:xfrm>
          <a:off x="591137" y="693099"/>
          <a:ext cx="3958050" cy="30428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t>(Where applicable): File drug submission then file the distinguishing features package with Health Canada + differences in export product marking if applicable</a:t>
          </a:r>
        </a:p>
      </dsp:txBody>
      <dsp:txXfrm>
        <a:off x="600049" y="702011"/>
        <a:ext cx="3446870" cy="286463"/>
      </dsp:txXfrm>
    </dsp:sp>
    <dsp:sp modelId="{F30BD772-6FF4-4F4D-BD04-C7514C11A98E}">
      <dsp:nvSpPr>
        <dsp:cNvPr id="0" name=""/>
        <dsp:cNvSpPr/>
      </dsp:nvSpPr>
      <dsp:spPr>
        <a:xfrm>
          <a:off x="886706" y="1039649"/>
          <a:ext cx="3958050" cy="30428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fr-FR" sz="800" kern="1200"/>
            <a:t>Negotiations for voluntary licence with patentee</a:t>
          </a:r>
          <a:endParaRPr lang="en-US" sz="800" kern="1200"/>
        </a:p>
      </dsp:txBody>
      <dsp:txXfrm>
        <a:off x="895618" y="1048561"/>
        <a:ext cx="3446870" cy="286463"/>
      </dsp:txXfrm>
    </dsp:sp>
    <dsp:sp modelId="{78DC3F77-B502-4E19-9236-8CF9472FCACE}">
      <dsp:nvSpPr>
        <dsp:cNvPr id="0" name=""/>
        <dsp:cNvSpPr/>
      </dsp:nvSpPr>
      <dsp:spPr>
        <a:xfrm>
          <a:off x="1182274" y="1386199"/>
          <a:ext cx="3958050" cy="30428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fr-FR" sz="800" kern="1200"/>
            <a:t>Patentee's refusal to grand a voluntary agreement</a:t>
          </a:r>
          <a:endParaRPr lang="en-US" sz="800" kern="1200"/>
        </a:p>
      </dsp:txBody>
      <dsp:txXfrm>
        <a:off x="1191186" y="1395111"/>
        <a:ext cx="3446870" cy="286463"/>
      </dsp:txXfrm>
    </dsp:sp>
    <dsp:sp modelId="{950155CA-CE7E-4C23-9A45-A831E8484BEA}">
      <dsp:nvSpPr>
        <dsp:cNvPr id="0" name=""/>
        <dsp:cNvSpPr/>
      </dsp:nvSpPr>
      <dsp:spPr>
        <a:xfrm>
          <a:off x="3760263" y="222299"/>
          <a:ext cx="197786" cy="197786"/>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804765" y="222299"/>
        <a:ext cx="108782" cy="148834"/>
      </dsp:txXfrm>
    </dsp:sp>
    <dsp:sp modelId="{F46DAE8D-54FB-4CC5-A1F3-7379DE9FA425}">
      <dsp:nvSpPr>
        <dsp:cNvPr id="0" name=""/>
        <dsp:cNvSpPr/>
      </dsp:nvSpPr>
      <dsp:spPr>
        <a:xfrm>
          <a:off x="4055831" y="568848"/>
          <a:ext cx="197786" cy="197786"/>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100333" y="568848"/>
        <a:ext cx="108782" cy="148834"/>
      </dsp:txXfrm>
    </dsp:sp>
    <dsp:sp modelId="{E00F31F5-C902-4B5B-8C4F-201B077C6701}">
      <dsp:nvSpPr>
        <dsp:cNvPr id="0" name=""/>
        <dsp:cNvSpPr/>
      </dsp:nvSpPr>
      <dsp:spPr>
        <a:xfrm>
          <a:off x="4351400" y="910327"/>
          <a:ext cx="197786" cy="197786"/>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395902" y="910327"/>
        <a:ext cx="108782" cy="148834"/>
      </dsp:txXfrm>
    </dsp:sp>
    <dsp:sp modelId="{5B5EB0E3-0A6E-47DE-B928-63FAAAB7916F}">
      <dsp:nvSpPr>
        <dsp:cNvPr id="0" name=""/>
        <dsp:cNvSpPr/>
      </dsp:nvSpPr>
      <dsp:spPr>
        <a:xfrm>
          <a:off x="4646969" y="1260258"/>
          <a:ext cx="197786" cy="197786"/>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691471" y="1260258"/>
        <a:ext cx="108782" cy="1488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97B51-DF34-46FD-AAD8-2BBED099C109}">
      <dsp:nvSpPr>
        <dsp:cNvPr id="0" name=""/>
        <dsp:cNvSpPr/>
      </dsp:nvSpPr>
      <dsp:spPr>
        <a:xfrm>
          <a:off x="0" y="0"/>
          <a:ext cx="4218171" cy="27800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r-FR" sz="700" kern="1200"/>
            <a:t>Submission of WTO notification by both exporter and importer</a:t>
          </a:r>
          <a:endParaRPr lang="en-US" sz="700" kern="1200"/>
        </a:p>
      </dsp:txBody>
      <dsp:txXfrm>
        <a:off x="8143" y="8143"/>
        <a:ext cx="3885651" cy="261722"/>
      </dsp:txXfrm>
    </dsp:sp>
    <dsp:sp modelId="{DA9D8264-D54F-4B08-9459-2957CF6ED21A}">
      <dsp:nvSpPr>
        <dsp:cNvPr id="0" name=""/>
        <dsp:cNvSpPr/>
      </dsp:nvSpPr>
      <dsp:spPr>
        <a:xfrm>
          <a:off x="314993" y="316620"/>
          <a:ext cx="4218171" cy="27800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r-FR" sz="700" kern="1200"/>
            <a:t>Submission of solum declaration for export to Health Canada </a:t>
          </a:r>
          <a:endParaRPr lang="en-US" sz="700" kern="1200"/>
        </a:p>
      </dsp:txBody>
      <dsp:txXfrm>
        <a:off x="323136" y="324763"/>
        <a:ext cx="3706186" cy="261722"/>
      </dsp:txXfrm>
    </dsp:sp>
    <dsp:sp modelId="{C5227293-2E25-45FC-9F06-3571B0C8B81B}">
      <dsp:nvSpPr>
        <dsp:cNvPr id="0" name=""/>
        <dsp:cNvSpPr/>
      </dsp:nvSpPr>
      <dsp:spPr>
        <a:xfrm>
          <a:off x="629986" y="633240"/>
          <a:ext cx="4218171" cy="27800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r-FR" sz="700" kern="1200"/>
            <a:t>Provision of copy of supply agreement with importing country to the Health Canada commissionner and the patentees</a:t>
          </a:r>
          <a:endParaRPr lang="en-US" sz="700" kern="1200"/>
        </a:p>
      </dsp:txBody>
      <dsp:txXfrm>
        <a:off x="638129" y="641383"/>
        <a:ext cx="3706186" cy="261722"/>
      </dsp:txXfrm>
    </dsp:sp>
    <dsp:sp modelId="{E3DE92CF-EE1E-4EF0-AFE8-E16A1AB588B5}">
      <dsp:nvSpPr>
        <dsp:cNvPr id="0" name=""/>
        <dsp:cNvSpPr/>
      </dsp:nvSpPr>
      <dsp:spPr>
        <a:xfrm>
          <a:off x="944980" y="949861"/>
          <a:ext cx="4218171" cy="27800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r-FR" sz="700" kern="1200"/>
            <a:t>Website notification and payment of royalties </a:t>
          </a:r>
          <a:endParaRPr lang="en-US" sz="700" kern="1200"/>
        </a:p>
      </dsp:txBody>
      <dsp:txXfrm>
        <a:off x="953123" y="958004"/>
        <a:ext cx="3706186" cy="261722"/>
      </dsp:txXfrm>
    </dsp:sp>
    <dsp:sp modelId="{64E8DA7E-8E90-4E82-9301-D525EA2A3EA3}">
      <dsp:nvSpPr>
        <dsp:cNvPr id="0" name=""/>
        <dsp:cNvSpPr/>
      </dsp:nvSpPr>
      <dsp:spPr>
        <a:xfrm>
          <a:off x="1259973" y="1266481"/>
          <a:ext cx="4218171" cy="27800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r-FR" sz="700" kern="1200"/>
            <a:t>Provision of notice for export </a:t>
          </a:r>
          <a:endParaRPr lang="en-US" sz="700" kern="1200"/>
        </a:p>
      </dsp:txBody>
      <dsp:txXfrm>
        <a:off x="1268116" y="1274624"/>
        <a:ext cx="3706186" cy="261722"/>
      </dsp:txXfrm>
    </dsp:sp>
    <dsp:sp modelId="{F4E4F5EC-70D0-4147-BD7B-3FF80211908E}">
      <dsp:nvSpPr>
        <dsp:cNvPr id="0" name=""/>
        <dsp:cNvSpPr/>
      </dsp:nvSpPr>
      <dsp:spPr>
        <a:xfrm>
          <a:off x="4037466" y="203100"/>
          <a:ext cx="180705" cy="180705"/>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078125" y="203100"/>
        <a:ext cx="99387" cy="135981"/>
      </dsp:txXfrm>
    </dsp:sp>
    <dsp:sp modelId="{4501BAA0-F944-47A4-AAA2-D58D8C3E182F}">
      <dsp:nvSpPr>
        <dsp:cNvPr id="0" name=""/>
        <dsp:cNvSpPr/>
      </dsp:nvSpPr>
      <dsp:spPr>
        <a:xfrm>
          <a:off x="4352459" y="519720"/>
          <a:ext cx="180705" cy="180705"/>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393118" y="519720"/>
        <a:ext cx="99387" cy="135981"/>
      </dsp:txXfrm>
    </dsp:sp>
    <dsp:sp modelId="{EB632719-6F34-48E4-8706-EC0C7064F762}">
      <dsp:nvSpPr>
        <dsp:cNvPr id="0" name=""/>
        <dsp:cNvSpPr/>
      </dsp:nvSpPr>
      <dsp:spPr>
        <a:xfrm>
          <a:off x="4667452" y="831707"/>
          <a:ext cx="180705" cy="180705"/>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708111" y="831707"/>
        <a:ext cx="99387" cy="135981"/>
      </dsp:txXfrm>
    </dsp:sp>
    <dsp:sp modelId="{E742D85F-D94C-4DA0-BF0F-2C30AAEAC775}">
      <dsp:nvSpPr>
        <dsp:cNvPr id="0" name=""/>
        <dsp:cNvSpPr/>
      </dsp:nvSpPr>
      <dsp:spPr>
        <a:xfrm>
          <a:off x="4982446" y="1151417"/>
          <a:ext cx="180705" cy="180705"/>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5023105" y="1151417"/>
        <a:ext cx="99387" cy="1359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20D94BF79903409A44EFD8C6ED4DE5" ma:contentTypeVersion="6" ma:contentTypeDescription="Create a new document." ma:contentTypeScope="" ma:versionID="3145f1c66fe5a026648ab0bda4b86448">
  <xsd:schema xmlns:xsd="http://www.w3.org/2001/XMLSchema" xmlns:xs="http://www.w3.org/2001/XMLSchema" xmlns:p="http://schemas.microsoft.com/office/2006/metadata/properties" xmlns:ns2="fb6c068c-bc2d-4620-b517-6a4d82a7e161" xmlns:ns3="604b4288-15a6-4b36-801c-a9875e40b072" targetNamespace="http://schemas.microsoft.com/office/2006/metadata/properties" ma:root="true" ma:fieldsID="b4d28c72112e854700452e55a93b7ff4" ns2:_="" ns3:_="">
    <xsd:import namespace="fb6c068c-bc2d-4620-b517-6a4d82a7e161"/>
    <xsd:import namespace="604b4288-15a6-4b36-801c-a9875e40b0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c068c-bc2d-4620-b517-6a4d82a7e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4b4288-15a6-4b36-801c-a9875e40b07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04b4288-15a6-4b36-801c-a9875e40b072">
      <UserInfo>
        <DisplayName>GRAUL Astrid (GROW)</DisplayName>
        <AccountId>68</AccountId>
        <AccountType/>
      </UserInfo>
    </SharedWithUsers>
  </documentManagement>
</p:properties>
</file>

<file path=customXml/itemProps1.xml><?xml version="1.0" encoding="utf-8"?>
<ds:datastoreItem xmlns:ds="http://schemas.openxmlformats.org/officeDocument/2006/customXml" ds:itemID="{DF7E9490-E9C2-45C3-8BAA-C50D50A70597}">
  <ds:schemaRefs>
    <ds:schemaRef ds:uri="http://schemas.microsoft.com/sharepoint/v3/contenttype/forms"/>
  </ds:schemaRefs>
</ds:datastoreItem>
</file>

<file path=customXml/itemProps2.xml><?xml version="1.0" encoding="utf-8"?>
<ds:datastoreItem xmlns:ds="http://schemas.openxmlformats.org/officeDocument/2006/customXml" ds:itemID="{2F4DA725-8D28-43E4-8A80-B82B18E927D9}">
  <ds:schemaRefs>
    <ds:schemaRef ds:uri="http://schemas.openxmlformats.org/officeDocument/2006/bibliography"/>
  </ds:schemaRefs>
</ds:datastoreItem>
</file>

<file path=customXml/itemProps3.xml><?xml version="1.0" encoding="utf-8"?>
<ds:datastoreItem xmlns:ds="http://schemas.openxmlformats.org/officeDocument/2006/customXml" ds:itemID="{3C572A0B-604B-47FE-BF9C-CB7E2B646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c068c-bc2d-4620-b517-6a4d82a7e161"/>
    <ds:schemaRef ds:uri="604b4288-15a6-4b36-801c-a9875e40b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4B662-A68B-48C6-8C4F-24A92EA08517}">
  <ds:schemaRefs>
    <ds:schemaRef ds:uri="http://schemas.microsoft.com/office/2006/metadata/properties"/>
    <ds:schemaRef ds:uri="http://schemas.microsoft.com/office/2006/documentManagement/types"/>
    <ds:schemaRef ds:uri="fb6c068c-bc2d-4620-b517-6a4d82a7e161"/>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604b4288-15a6-4b36-801c-a9875e40b07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141</Pages>
  <Words>50842</Words>
  <Characters>281158</Characters>
  <Application>Microsoft Office Word</Application>
  <DocSecurity>0</DocSecurity>
  <Lines>7809</Lines>
  <Paragraphs>3353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SATUE GRACIA Victoria Patricia</dc:creator>
  <cp:keywords/>
  <dc:description/>
  <cp:lastModifiedBy>SATUE GRACIA Victoria Patricia</cp:lastModifiedBy>
  <cp:revision>4</cp:revision>
  <cp:lastPrinted>2023-04-20T14:57:00Z</cp:lastPrinted>
  <dcterms:created xsi:type="dcterms:W3CDTF">2023-04-28T16:28:00Z</dcterms:created>
  <dcterms:modified xsi:type="dcterms:W3CDTF">2023-05-02T07:36:00Z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Created using">
    <vt:lpwstr>DocuWrite 4.8.2, Build 20230330</vt:lpwstr>
  </property>
  <property fmtid="{D5CDD505-2E9C-101B-9397-08002B2CF9AE}" pid="8" name="MSIP_Label_6bd9ddd1-4d20-43f6-abfa-fc3c07406f94_Enabled">
    <vt:lpwstr>true</vt:lpwstr>
  </property>
  <property fmtid="{D5CDD505-2E9C-101B-9397-08002B2CF9AE}" pid="9" name="MSIP_Label_6bd9ddd1-4d20-43f6-abfa-fc3c07406f94_SetDate">
    <vt:lpwstr>2022-06-24T12:58:51Z</vt:lpwstr>
  </property>
  <property fmtid="{D5CDD505-2E9C-101B-9397-08002B2CF9AE}" pid="10" name="MSIP_Label_6bd9ddd1-4d20-43f6-abfa-fc3c07406f94_Method">
    <vt:lpwstr>Standard</vt:lpwstr>
  </property>
  <property fmtid="{D5CDD505-2E9C-101B-9397-08002B2CF9AE}" pid="11" name="MSIP_Label_6bd9ddd1-4d20-43f6-abfa-fc3c07406f94_Name">
    <vt:lpwstr>Commission Use</vt:lpwstr>
  </property>
  <property fmtid="{D5CDD505-2E9C-101B-9397-08002B2CF9AE}" pid="12" name="MSIP_Label_6bd9ddd1-4d20-43f6-abfa-fc3c07406f94_SiteId">
    <vt:lpwstr>b24c8b06-522c-46fe-9080-70926f8dddb1</vt:lpwstr>
  </property>
  <property fmtid="{D5CDD505-2E9C-101B-9397-08002B2CF9AE}" pid="13" name="MSIP_Label_6bd9ddd1-4d20-43f6-abfa-fc3c07406f94_ActionId">
    <vt:lpwstr>90fa3ff0-e8c3-43af-a090-9a9dab10437d</vt:lpwstr>
  </property>
  <property fmtid="{D5CDD505-2E9C-101B-9397-08002B2CF9AE}" pid="14" name="MSIP_Label_6bd9ddd1-4d20-43f6-abfa-fc3c07406f94_ContentBits">
    <vt:lpwstr>0</vt:lpwstr>
  </property>
  <property fmtid="{D5CDD505-2E9C-101B-9397-08002B2CF9AE}" pid="15" name="ContentTypeId">
    <vt:lpwstr>0x010100D920D94BF79903409A44EFD8C6ED4DE5</vt:lpwstr>
  </property>
  <property fmtid="{D5CDD505-2E9C-101B-9397-08002B2CF9AE}" pid="16" name="Last edited using">
    <vt:lpwstr>DocuWrite 4.8.2, Build 20230330</vt:lpwstr>
  </property>
  <property fmtid="{D5CDD505-2E9C-101B-9397-08002B2CF9AE}" pid="17" name="MSIP_Label_b1df41d6-74a9-4a97-809c-213cd32520cc_Enabled">
    <vt:lpwstr>true</vt:lpwstr>
  </property>
  <property fmtid="{D5CDD505-2E9C-101B-9397-08002B2CF9AE}" pid="18" name="MSIP_Label_b1df41d6-74a9-4a97-809c-213cd32520cc_SetDate">
    <vt:lpwstr>2023-04-28T16:28:42Z</vt:lpwstr>
  </property>
  <property fmtid="{D5CDD505-2E9C-101B-9397-08002B2CF9AE}" pid="19" name="MSIP_Label_b1df41d6-74a9-4a97-809c-213cd32520cc_Method">
    <vt:lpwstr>Privileged</vt:lpwstr>
  </property>
  <property fmtid="{D5CDD505-2E9C-101B-9397-08002B2CF9AE}" pid="20" name="MSIP_Label_b1df41d6-74a9-4a97-809c-213cd32520cc_Name">
    <vt:lpwstr>GSCEU - NON PUBLIC Label</vt:lpwstr>
  </property>
  <property fmtid="{D5CDD505-2E9C-101B-9397-08002B2CF9AE}" pid="21" name="MSIP_Label_b1df41d6-74a9-4a97-809c-213cd32520cc_SiteId">
    <vt:lpwstr>03ad1c97-0a4d-4e82-8f93-27291a6a0767</vt:lpwstr>
  </property>
  <property fmtid="{D5CDD505-2E9C-101B-9397-08002B2CF9AE}" pid="22" name="MSIP_Label_b1df41d6-74a9-4a97-809c-213cd32520cc_ActionId">
    <vt:lpwstr>67641033-55c5-4dea-9051-55e55453ce70</vt:lpwstr>
  </property>
  <property fmtid="{D5CDD505-2E9C-101B-9397-08002B2CF9AE}" pid="23" name="MSIP_Label_b1df41d6-74a9-4a97-809c-213cd32520cc_ContentBits">
    <vt:lpwstr>0</vt:lpwstr>
  </property>
</Properties>
</file>