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3E75" w14:textId="41A044E6" w:rsidR="00B47EBB" w:rsidRPr="00EA6DFA" w:rsidRDefault="00EA6DFA" w:rsidP="00EA6DFA">
      <w:pPr>
        <w:pStyle w:val="TechnicalBlock"/>
        <w:ind w:left="-1134" w:right="-1134"/>
      </w:pPr>
      <w:bookmarkStart w:id="0" w:name="LW_BM_COVERPAGE"/>
      <w:bookmarkStart w:id="1" w:name="DW_BM_COVERPAGE"/>
      <w:r>
        <w:pict w14:anchorId="5620C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8901/23 ADD 5.&#10;Subject Codes: PI 58 PHARM 69 COMPET 387 MI 355 IND 209 IA 91 CODEC 751.&#10;Heading: COVER NOTE.&#10;Originator: Secretary-General of the European Commission, signed by Ms Martine DEPREZ, Director.&#10;Recipient: Ms Thérèse BLANCHET, Secretary-General of the Council of the European Union.&#10;Subject: COMMISSION STAFF WORKING DOCUMENT EXECUTIVE SUMMARY OF THE IMPACT ASSESSMENT REPORT Accompanying the document Proposal for a Regulation of the European Parliament and of the Council on compulsory licensing for crisis management and amending Regulation (EC) 816/2006.&#10;Commission Document Number: SWD(2023) 122 final.&#10;Preceeding Document Number: Not Set.&#10;Location: Brussels.&#10;Date: 2 May 2023.&#10;Interinstitutional Files: 2023/0129(COD).&#10;Institutional Framework: Council of the European Union.&#10;Language: EN.&#10;Distribution Code: PUBLIC.&#10;GUID: 5224777646189777628_0" style="width:568.5pt;height:465pt">
            <v:imagedata r:id="rId11" o:title=""/>
          </v:shape>
        </w:pict>
      </w:r>
      <w:bookmarkEnd w:id="1"/>
    </w:p>
    <w:p w14:paraId="3945B300" w14:textId="08CDB901" w:rsidR="00B47EBB" w:rsidRDefault="00B47EBB" w:rsidP="00EA6DFA">
      <w:pPr>
        <w:pStyle w:val="EntText"/>
        <w:spacing w:before="480"/>
      </w:pPr>
      <w:r w:rsidRPr="00B47EBB">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EA6DFA" w:rsidRPr="00EA6DFA">
        <w:instrText>SWD(2023) 122 final</w:instrText>
      </w:r>
      <w:r>
        <w:instrText xml:space="preserve">" </w:instrText>
      </w:r>
      <w:r>
        <w:fldChar w:fldCharType="separate"/>
      </w:r>
      <w:r w:rsidR="00EA6DFA" w:rsidRPr="00EA6DFA">
        <w:t>SWD(2023) 122 final</w:t>
      </w:r>
      <w:r>
        <w:fldChar w:fldCharType="end"/>
      </w:r>
      <w:r w:rsidRPr="00B47EBB">
        <w:t>.</w:t>
      </w:r>
    </w:p>
    <w:p w14:paraId="54C6F52A" w14:textId="77777777" w:rsidR="00B47EBB" w:rsidRDefault="00B47EBB" w:rsidP="00B47EBB">
      <w:pPr>
        <w:pStyle w:val="Lignefinal"/>
      </w:pPr>
    </w:p>
    <w:p w14:paraId="54E05C7C" w14:textId="11DE9A78" w:rsidR="00B47EBB" w:rsidRDefault="00B47EBB" w:rsidP="00EA6DFA">
      <w:pPr>
        <w:pStyle w:val="pj"/>
        <w:spacing w:before="120"/>
      </w:pPr>
      <w:r w:rsidRPr="00B47EBB">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EA6DFA" w:rsidRPr="00EA6DFA">
        <w:instrText>SWD(2023) 122 final</w:instrText>
      </w:r>
      <w:r>
        <w:instrText xml:space="preserve">" </w:instrText>
      </w:r>
      <w:r>
        <w:fldChar w:fldCharType="separate"/>
      </w:r>
      <w:r w:rsidR="00EA6DFA" w:rsidRPr="00EA6DFA">
        <w:t>SWD(2023) 122 final</w:t>
      </w:r>
      <w:r>
        <w:fldChar w:fldCharType="end"/>
      </w:r>
    </w:p>
    <w:p w14:paraId="6B584054" w14:textId="77777777" w:rsidR="00B47EBB" w:rsidRDefault="00B47EBB" w:rsidP="00B47EBB">
      <w:pPr>
        <w:rPr>
          <w:noProof/>
        </w:rPr>
        <w:sectPr w:rsidR="00B47EBB" w:rsidSect="00EA6DFA">
          <w:headerReference w:type="even" r:id="rId12"/>
          <w:headerReference w:type="default" r:id="rId13"/>
          <w:footerReference w:type="even" r:id="rId14"/>
          <w:footerReference w:type="default" r:id="rId15"/>
          <w:headerReference w:type="first" r:id="rId16"/>
          <w:footerReference w:type="first" r:id="rId17"/>
          <w:pgSz w:w="11906" w:h="16838"/>
          <w:pgMar w:top="624" w:right="1134" w:bottom="1134" w:left="1134" w:header="567" w:footer="567" w:gutter="0"/>
          <w:pgNumType w:start="0"/>
          <w:cols w:space="720"/>
          <w:titlePg/>
          <w:docGrid w:linePitch="360"/>
        </w:sectPr>
      </w:pPr>
    </w:p>
    <w:p w14:paraId="0033EAD4" w14:textId="603E7A49" w:rsidR="00FE5FD3" w:rsidRPr="00DF5467" w:rsidRDefault="00EA6DFA" w:rsidP="001D5AEC">
      <w:pPr>
        <w:pStyle w:val="Pagedecouverture"/>
        <w:rPr>
          <w:noProof/>
        </w:rPr>
      </w:pPr>
      <w:r>
        <w:rPr>
          <w:noProof/>
        </w:rPr>
        <w:lastRenderedPageBreak/>
        <w:pict w14:anchorId="12D6F4A4">
          <v:shape id="_x0000_i1026" type="#_x0000_t75" alt="AE7F2BDD-B9FE-43ED-978D-72B71874D5B7" style="width:455.25pt;height:411.75pt">
            <v:imagedata r:id="rId18" o:title=""/>
          </v:shape>
        </w:pict>
      </w:r>
    </w:p>
    <w:bookmarkEnd w:id="0"/>
    <w:p w14:paraId="2C2E3C7E" w14:textId="77777777" w:rsidR="00B421AA" w:rsidRPr="00DF5467" w:rsidRDefault="00B421AA" w:rsidP="00B421AA">
      <w:pPr>
        <w:rPr>
          <w:noProof/>
        </w:rPr>
        <w:sectPr w:rsidR="00B421AA" w:rsidRPr="00DF5467" w:rsidSect="001D5AEC">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0"/>
          <w:cols w:space="720"/>
          <w:docGrid w:linePitch="360"/>
        </w:sectPr>
      </w:pPr>
    </w:p>
    <w:tbl>
      <w:tblPr>
        <w:tblStyle w:val="TableGrid"/>
        <w:tblW w:w="9322" w:type="dxa"/>
        <w:tblLook w:val="01E0" w:firstRow="1" w:lastRow="1" w:firstColumn="1" w:lastColumn="1" w:noHBand="0" w:noVBand="0"/>
      </w:tblPr>
      <w:tblGrid>
        <w:gridCol w:w="9322"/>
      </w:tblGrid>
      <w:tr w:rsidR="00ED39C4" w:rsidRPr="00DF5467" w14:paraId="68484E37" w14:textId="77777777" w:rsidTr="00035755">
        <w:tc>
          <w:tcPr>
            <w:tcW w:w="9322" w:type="dxa"/>
            <w:tcBorders>
              <w:bottom w:val="single" w:sz="4" w:space="0" w:color="auto"/>
            </w:tcBorders>
            <w:shd w:val="clear" w:color="auto" w:fill="CCCCCC"/>
          </w:tcPr>
          <w:p w14:paraId="255FD3AD" w14:textId="49CA43C7" w:rsidR="00ED39C4" w:rsidRPr="00DF5467" w:rsidRDefault="00ED39C4" w:rsidP="00035755">
            <w:pPr>
              <w:spacing w:before="60" w:after="60"/>
              <w:jc w:val="center"/>
              <w:rPr>
                <w:b/>
                <w:noProof/>
                <w:sz w:val="24"/>
                <w:szCs w:val="24"/>
              </w:rPr>
            </w:pPr>
            <w:r w:rsidRPr="00DF5467">
              <w:rPr>
                <w:b/>
                <w:noProof/>
                <w:sz w:val="24"/>
                <w:szCs w:val="24"/>
              </w:rPr>
              <w:lastRenderedPageBreak/>
              <w:t xml:space="preserve">Executive </w:t>
            </w:r>
            <w:r w:rsidR="00200524" w:rsidRPr="00DF5467">
              <w:rPr>
                <w:b/>
                <w:noProof/>
                <w:sz w:val="24"/>
                <w:szCs w:val="24"/>
              </w:rPr>
              <w:t>s</w:t>
            </w:r>
            <w:r w:rsidRPr="00DF5467">
              <w:rPr>
                <w:b/>
                <w:noProof/>
                <w:sz w:val="24"/>
                <w:szCs w:val="24"/>
              </w:rPr>
              <w:t>ummary</w:t>
            </w:r>
          </w:p>
        </w:tc>
      </w:tr>
      <w:tr w:rsidR="00ED39C4" w:rsidRPr="00DF5467" w14:paraId="0A77E1FD" w14:textId="77777777" w:rsidTr="00035755">
        <w:tc>
          <w:tcPr>
            <w:tcW w:w="9322" w:type="dxa"/>
            <w:tcBorders>
              <w:top w:val="single" w:sz="4" w:space="0" w:color="auto"/>
              <w:left w:val="single" w:sz="4" w:space="0" w:color="auto"/>
              <w:bottom w:val="single" w:sz="4" w:space="0" w:color="auto"/>
              <w:right w:val="single" w:sz="4" w:space="0" w:color="auto"/>
            </w:tcBorders>
            <w:shd w:val="clear" w:color="auto" w:fill="4F81BD" w:themeFill="accent1"/>
          </w:tcPr>
          <w:p w14:paraId="38ED80ED" w14:textId="4CA73E61" w:rsidR="00ED39C4" w:rsidRPr="00DF5467" w:rsidRDefault="00C71758" w:rsidP="00C71758">
            <w:pPr>
              <w:spacing w:before="120" w:after="120"/>
              <w:jc w:val="both"/>
              <w:rPr>
                <w:b/>
                <w:noProof/>
                <w:sz w:val="24"/>
                <w:szCs w:val="24"/>
              </w:rPr>
            </w:pPr>
            <w:r w:rsidRPr="00DF5467">
              <w:rPr>
                <w:noProof/>
                <w:color w:val="FFFFFF" w:themeColor="background1"/>
                <w:sz w:val="24"/>
                <w:szCs w:val="24"/>
              </w:rPr>
              <w:t xml:space="preserve">Impact assessment on </w:t>
            </w:r>
            <w:r w:rsidR="007F0193" w:rsidRPr="00DF5467">
              <w:rPr>
                <w:noProof/>
                <w:color w:val="FFFFFF" w:themeColor="background1"/>
                <w:sz w:val="24"/>
                <w:szCs w:val="24"/>
              </w:rPr>
              <w:t>compulsory licensing for crisis management</w:t>
            </w:r>
            <w:r w:rsidRPr="00DF5467">
              <w:rPr>
                <w:noProof/>
                <w:color w:val="FFFFFF" w:themeColor="background1"/>
                <w:sz w:val="24"/>
                <w:szCs w:val="24"/>
              </w:rPr>
              <w:t>.</w:t>
            </w:r>
          </w:p>
        </w:tc>
      </w:tr>
      <w:tr w:rsidR="00ED39C4" w:rsidRPr="00DF5467" w14:paraId="15B65469" w14:textId="77777777" w:rsidTr="00035755">
        <w:tc>
          <w:tcPr>
            <w:tcW w:w="9322" w:type="dxa"/>
            <w:tcBorders>
              <w:bottom w:val="single" w:sz="4" w:space="0" w:color="auto"/>
            </w:tcBorders>
            <w:shd w:val="clear" w:color="auto" w:fill="CCCCCC"/>
          </w:tcPr>
          <w:p w14:paraId="34254AE0" w14:textId="77777777" w:rsidR="00ED39C4" w:rsidRPr="00DF5467" w:rsidRDefault="00ED39C4" w:rsidP="00035755">
            <w:pPr>
              <w:spacing w:before="60" w:after="60"/>
              <w:jc w:val="center"/>
              <w:rPr>
                <w:b/>
                <w:noProof/>
                <w:sz w:val="24"/>
                <w:szCs w:val="24"/>
              </w:rPr>
            </w:pPr>
            <w:r w:rsidRPr="00DF5467">
              <w:rPr>
                <w:b/>
                <w:noProof/>
                <w:sz w:val="24"/>
                <w:szCs w:val="24"/>
              </w:rPr>
              <w:t>A. Need for action</w:t>
            </w:r>
          </w:p>
        </w:tc>
      </w:tr>
      <w:tr w:rsidR="00ED39C4" w:rsidRPr="00DF5467" w14:paraId="02697D91" w14:textId="77777777" w:rsidTr="00035755">
        <w:tc>
          <w:tcPr>
            <w:tcW w:w="9322" w:type="dxa"/>
            <w:tcBorders>
              <w:bottom w:val="single" w:sz="4" w:space="0" w:color="auto"/>
            </w:tcBorders>
            <w:shd w:val="clear" w:color="auto" w:fill="E0E0E0"/>
          </w:tcPr>
          <w:p w14:paraId="0ED0FC3E" w14:textId="77777777" w:rsidR="00ED39C4" w:rsidRPr="00DF5467" w:rsidRDefault="00ED39C4" w:rsidP="00035755">
            <w:pPr>
              <w:spacing w:before="60" w:after="60"/>
              <w:jc w:val="both"/>
              <w:rPr>
                <w:noProof/>
                <w:sz w:val="24"/>
                <w:szCs w:val="24"/>
              </w:rPr>
            </w:pPr>
            <w:r w:rsidRPr="00DF5467">
              <w:rPr>
                <w:b/>
                <w:noProof/>
                <w:sz w:val="24"/>
                <w:szCs w:val="24"/>
              </w:rPr>
              <w:t xml:space="preserve">Why? What is the problem being addressed? </w:t>
            </w:r>
          </w:p>
        </w:tc>
      </w:tr>
      <w:tr w:rsidR="00ED39C4" w:rsidRPr="00DF5467" w14:paraId="7F5116DA" w14:textId="77777777" w:rsidTr="00035755">
        <w:tc>
          <w:tcPr>
            <w:tcW w:w="9322" w:type="dxa"/>
            <w:tcBorders>
              <w:bottom w:val="single" w:sz="4" w:space="0" w:color="auto"/>
            </w:tcBorders>
            <w:shd w:val="clear" w:color="auto" w:fill="auto"/>
          </w:tcPr>
          <w:p w14:paraId="5B0D6FD1" w14:textId="01756202" w:rsidR="00DC40E1" w:rsidRPr="0075461D" w:rsidRDefault="00B93489" w:rsidP="003E7D11">
            <w:pPr>
              <w:spacing w:before="120"/>
              <w:jc w:val="both"/>
              <w:rPr>
                <w:noProof/>
                <w:sz w:val="24"/>
                <w:szCs w:val="24"/>
              </w:rPr>
            </w:pPr>
            <w:r w:rsidRPr="0075461D">
              <w:rPr>
                <w:bCs/>
                <w:noProof/>
                <w:sz w:val="24"/>
                <w:szCs w:val="24"/>
              </w:rPr>
              <w:t xml:space="preserve">In the context of the COVID-19 crisis </w:t>
            </w:r>
            <w:r w:rsidR="007A67A9" w:rsidRPr="0075461D">
              <w:rPr>
                <w:bCs/>
                <w:noProof/>
                <w:sz w:val="24"/>
                <w:szCs w:val="24"/>
              </w:rPr>
              <w:t>the role of</w:t>
            </w:r>
            <w:r w:rsidR="007A67A9" w:rsidRPr="0075461D">
              <w:rPr>
                <w:noProof/>
                <w:sz w:val="24"/>
                <w:szCs w:val="24"/>
              </w:rPr>
              <w:t xml:space="preserve"> </w:t>
            </w:r>
            <w:r w:rsidRPr="0075461D">
              <w:rPr>
                <w:bCs/>
                <w:noProof/>
                <w:sz w:val="24"/>
                <w:szCs w:val="24"/>
              </w:rPr>
              <w:t>intellectual property (IP) rights</w:t>
            </w:r>
            <w:r w:rsidR="007A67A9" w:rsidRPr="0075461D">
              <w:rPr>
                <w:bCs/>
                <w:noProof/>
                <w:sz w:val="24"/>
                <w:szCs w:val="24"/>
              </w:rPr>
              <w:t xml:space="preserve"> in providing access to </w:t>
            </w:r>
            <w:r w:rsidR="00DC40E1" w:rsidRPr="0075461D">
              <w:rPr>
                <w:bCs/>
                <w:noProof/>
                <w:sz w:val="24"/>
                <w:szCs w:val="24"/>
              </w:rPr>
              <w:t>vital products</w:t>
            </w:r>
            <w:r w:rsidR="007A67A9" w:rsidRPr="0075461D">
              <w:rPr>
                <w:bCs/>
                <w:noProof/>
                <w:sz w:val="24"/>
                <w:szCs w:val="24"/>
              </w:rPr>
              <w:t xml:space="preserve"> was </w:t>
            </w:r>
            <w:r w:rsidR="00883D34" w:rsidRPr="0075461D">
              <w:rPr>
                <w:bCs/>
                <w:noProof/>
                <w:sz w:val="24"/>
                <w:szCs w:val="24"/>
              </w:rPr>
              <w:t>debated</w:t>
            </w:r>
            <w:r w:rsidR="007A67A9" w:rsidRPr="0075461D">
              <w:rPr>
                <w:bCs/>
                <w:noProof/>
                <w:sz w:val="24"/>
                <w:szCs w:val="24"/>
              </w:rPr>
              <w:t xml:space="preserve">. </w:t>
            </w:r>
            <w:r w:rsidR="00883D34" w:rsidRPr="0075461D">
              <w:rPr>
                <w:bCs/>
                <w:noProof/>
                <w:sz w:val="24"/>
                <w:szCs w:val="24"/>
              </w:rPr>
              <w:t>Although v</w:t>
            </w:r>
            <w:r w:rsidR="007A67A9" w:rsidRPr="0075461D">
              <w:rPr>
                <w:bCs/>
                <w:noProof/>
                <w:sz w:val="24"/>
                <w:szCs w:val="24"/>
              </w:rPr>
              <w:t>oices were raised to</w:t>
            </w:r>
            <w:r w:rsidR="00883D34" w:rsidRPr="0075461D">
              <w:rPr>
                <w:bCs/>
                <w:noProof/>
                <w:sz w:val="24"/>
                <w:szCs w:val="24"/>
              </w:rPr>
              <w:t xml:space="preserve"> </w:t>
            </w:r>
            <w:r w:rsidRPr="0075461D">
              <w:rPr>
                <w:noProof/>
                <w:sz w:val="24"/>
                <w:szCs w:val="24"/>
              </w:rPr>
              <w:t>waiv</w:t>
            </w:r>
            <w:r w:rsidR="00883D34" w:rsidRPr="0075461D">
              <w:rPr>
                <w:noProof/>
                <w:sz w:val="24"/>
                <w:szCs w:val="24"/>
              </w:rPr>
              <w:t>e</w:t>
            </w:r>
            <w:r w:rsidRPr="0075461D">
              <w:rPr>
                <w:noProof/>
                <w:sz w:val="24"/>
                <w:szCs w:val="24"/>
              </w:rPr>
              <w:t xml:space="preserve"> IP rights</w:t>
            </w:r>
            <w:r w:rsidR="00883D34" w:rsidRPr="0075461D">
              <w:rPr>
                <w:noProof/>
                <w:sz w:val="24"/>
                <w:szCs w:val="24"/>
              </w:rPr>
              <w:t>, t</w:t>
            </w:r>
            <w:r w:rsidRPr="0075461D">
              <w:rPr>
                <w:noProof/>
                <w:sz w:val="24"/>
                <w:szCs w:val="24"/>
              </w:rPr>
              <w:t>he EU considered that</w:t>
            </w:r>
            <w:r w:rsidR="00C44EF0" w:rsidRPr="0075461D">
              <w:rPr>
                <w:noProof/>
                <w:sz w:val="24"/>
                <w:szCs w:val="24"/>
              </w:rPr>
              <w:t xml:space="preserve"> another solution was already available,</w:t>
            </w:r>
            <w:r w:rsidRPr="0075461D">
              <w:rPr>
                <w:noProof/>
                <w:sz w:val="24"/>
                <w:szCs w:val="24"/>
              </w:rPr>
              <w:t xml:space="preserve"> should voluntary agreements fail</w:t>
            </w:r>
            <w:r w:rsidR="006B340B" w:rsidRPr="0075461D">
              <w:rPr>
                <w:noProof/>
                <w:sz w:val="24"/>
                <w:szCs w:val="24"/>
              </w:rPr>
              <w:t>.</w:t>
            </w:r>
            <w:r w:rsidRPr="0075461D">
              <w:rPr>
                <w:noProof/>
                <w:sz w:val="24"/>
                <w:szCs w:val="24"/>
              </w:rPr>
              <w:t xml:space="preserve"> </w:t>
            </w:r>
          </w:p>
          <w:p w14:paraId="00129941" w14:textId="628AA31D" w:rsidR="00DC40E1" w:rsidRPr="0075461D" w:rsidRDefault="006B340B" w:rsidP="003E7D11">
            <w:pPr>
              <w:spacing w:before="120"/>
              <w:jc w:val="both"/>
              <w:rPr>
                <w:bCs/>
                <w:noProof/>
                <w:sz w:val="24"/>
                <w:szCs w:val="24"/>
              </w:rPr>
            </w:pPr>
            <w:r w:rsidRPr="0075461D">
              <w:rPr>
                <w:noProof/>
                <w:sz w:val="24"/>
                <w:szCs w:val="24"/>
              </w:rPr>
              <w:t>T</w:t>
            </w:r>
            <w:r w:rsidR="00B93489" w:rsidRPr="0075461D">
              <w:rPr>
                <w:noProof/>
                <w:sz w:val="24"/>
                <w:szCs w:val="24"/>
              </w:rPr>
              <w:t xml:space="preserve">he TRIPS Agreement provides </w:t>
            </w:r>
            <w:r w:rsidR="00DE549D" w:rsidRPr="0075461D">
              <w:rPr>
                <w:noProof/>
                <w:sz w:val="24"/>
                <w:szCs w:val="24"/>
              </w:rPr>
              <w:t>the possibility to issue</w:t>
            </w:r>
            <w:r w:rsidR="00DC40E1" w:rsidRPr="0075461D">
              <w:rPr>
                <w:noProof/>
                <w:sz w:val="24"/>
                <w:szCs w:val="24"/>
              </w:rPr>
              <w:t>, in certain circumstances,</w:t>
            </w:r>
            <w:r w:rsidR="00DE549D" w:rsidRPr="0075461D">
              <w:rPr>
                <w:noProof/>
                <w:sz w:val="24"/>
                <w:szCs w:val="24"/>
              </w:rPr>
              <w:t xml:space="preserve"> </w:t>
            </w:r>
            <w:r w:rsidR="00B93489" w:rsidRPr="0075461D">
              <w:rPr>
                <w:noProof/>
                <w:sz w:val="24"/>
                <w:szCs w:val="24"/>
              </w:rPr>
              <w:t>compulsory licensing.</w:t>
            </w:r>
            <w:r w:rsidR="00B93489" w:rsidRPr="0075461D">
              <w:rPr>
                <w:bCs/>
                <w:noProof/>
                <w:sz w:val="24"/>
                <w:szCs w:val="24"/>
              </w:rPr>
              <w:t xml:space="preserve"> </w:t>
            </w:r>
            <w:r w:rsidR="007F0193" w:rsidRPr="0075461D">
              <w:rPr>
                <w:bCs/>
                <w:noProof/>
                <w:sz w:val="24"/>
                <w:szCs w:val="24"/>
              </w:rPr>
              <w:t xml:space="preserve">A compulsory licence </w:t>
            </w:r>
            <w:r w:rsidR="0059764E" w:rsidRPr="0075461D">
              <w:rPr>
                <w:bCs/>
                <w:noProof/>
                <w:sz w:val="24"/>
                <w:szCs w:val="24"/>
              </w:rPr>
              <w:t>of patents</w:t>
            </w:r>
            <w:r w:rsidR="00646584" w:rsidRPr="0075461D">
              <w:rPr>
                <w:bCs/>
                <w:noProof/>
                <w:sz w:val="24"/>
                <w:szCs w:val="24"/>
              </w:rPr>
              <w:t xml:space="preserve"> </w:t>
            </w:r>
            <w:r w:rsidR="007F0193" w:rsidRPr="0075461D">
              <w:rPr>
                <w:bCs/>
                <w:noProof/>
                <w:sz w:val="24"/>
                <w:szCs w:val="24"/>
              </w:rPr>
              <w:t xml:space="preserve">is an authorisation granted by a government to a party other than the patent holder to use a patented invention without the consent of the patent holder. </w:t>
            </w:r>
          </w:p>
          <w:p w14:paraId="4C84FD72" w14:textId="67DD30CC" w:rsidR="00DC40E1" w:rsidRPr="0075461D" w:rsidRDefault="0059764E" w:rsidP="003E7D11">
            <w:pPr>
              <w:spacing w:before="120"/>
              <w:jc w:val="both"/>
              <w:rPr>
                <w:bCs/>
                <w:noProof/>
                <w:sz w:val="24"/>
                <w:szCs w:val="24"/>
              </w:rPr>
            </w:pPr>
            <w:r w:rsidRPr="0075461D">
              <w:rPr>
                <w:bCs/>
                <w:noProof/>
                <w:sz w:val="24"/>
                <w:szCs w:val="24"/>
              </w:rPr>
              <w:t xml:space="preserve">The Commission IP </w:t>
            </w:r>
            <w:r w:rsidR="00DC40E1" w:rsidRPr="0075461D">
              <w:rPr>
                <w:bCs/>
                <w:noProof/>
                <w:sz w:val="24"/>
                <w:szCs w:val="24"/>
              </w:rPr>
              <w:t>a</w:t>
            </w:r>
            <w:r w:rsidRPr="0075461D">
              <w:rPr>
                <w:bCs/>
                <w:noProof/>
                <w:sz w:val="24"/>
                <w:szCs w:val="24"/>
              </w:rPr>
              <w:t xml:space="preserve">ction </w:t>
            </w:r>
            <w:r w:rsidR="00DC40E1" w:rsidRPr="0075461D">
              <w:rPr>
                <w:bCs/>
                <w:noProof/>
                <w:sz w:val="24"/>
                <w:szCs w:val="24"/>
              </w:rPr>
              <w:t>p</w:t>
            </w:r>
            <w:r w:rsidRPr="0075461D">
              <w:rPr>
                <w:bCs/>
                <w:noProof/>
                <w:sz w:val="24"/>
                <w:szCs w:val="24"/>
              </w:rPr>
              <w:t>lan</w:t>
            </w:r>
            <w:r w:rsidRPr="0075461D">
              <w:rPr>
                <w:rStyle w:val="FootnoteReference"/>
                <w:bCs/>
                <w:noProof/>
                <w:sz w:val="24"/>
                <w:szCs w:val="24"/>
              </w:rPr>
              <w:footnoteReference w:id="2"/>
            </w:r>
            <w:r w:rsidRPr="0075461D">
              <w:rPr>
                <w:bCs/>
                <w:noProof/>
                <w:sz w:val="24"/>
                <w:szCs w:val="24"/>
              </w:rPr>
              <w:t xml:space="preserve"> of 2020 underlined ‘</w:t>
            </w:r>
            <w:r w:rsidRPr="0075461D">
              <w:rPr>
                <w:bCs/>
                <w:i/>
                <w:iCs/>
                <w:noProof/>
                <w:sz w:val="24"/>
                <w:szCs w:val="24"/>
              </w:rPr>
              <w:t>the need to ensure that effective systems for issuing compulsory licences are in place</w:t>
            </w:r>
            <w:r w:rsidRPr="0075461D">
              <w:rPr>
                <w:bCs/>
                <w:noProof/>
                <w:sz w:val="24"/>
                <w:szCs w:val="24"/>
              </w:rPr>
              <w:t>’. In its resolution of November 2021</w:t>
            </w:r>
            <w:r w:rsidRPr="0075461D">
              <w:rPr>
                <w:rStyle w:val="FootnoteReference"/>
                <w:bCs/>
                <w:noProof/>
                <w:sz w:val="24"/>
                <w:szCs w:val="24"/>
              </w:rPr>
              <w:footnoteReference w:id="3"/>
            </w:r>
            <w:r w:rsidRPr="0075461D">
              <w:rPr>
                <w:bCs/>
                <w:noProof/>
                <w:sz w:val="24"/>
                <w:szCs w:val="24"/>
              </w:rPr>
              <w:t>, the European Parliament called on the Commission ‘</w:t>
            </w:r>
            <w:r w:rsidRPr="0075461D">
              <w:rPr>
                <w:bCs/>
                <w:i/>
                <w:iCs/>
                <w:noProof/>
                <w:sz w:val="24"/>
                <w:szCs w:val="24"/>
              </w:rPr>
              <w:t>to analyse and explore possible options for ensuring effectiveness and better coordination of compulsory licensing in the EU</w:t>
            </w:r>
            <w:r w:rsidR="00DE549D" w:rsidRPr="0075461D">
              <w:rPr>
                <w:bCs/>
                <w:noProof/>
                <w:sz w:val="24"/>
                <w:szCs w:val="24"/>
              </w:rPr>
              <w:t>’</w:t>
            </w:r>
            <w:r w:rsidRPr="0075461D">
              <w:rPr>
                <w:bCs/>
                <w:noProof/>
                <w:sz w:val="24"/>
                <w:szCs w:val="24"/>
              </w:rPr>
              <w:t xml:space="preserve">. </w:t>
            </w:r>
          </w:p>
          <w:p w14:paraId="51C45E6F" w14:textId="46322E14" w:rsidR="00561D47" w:rsidRPr="0075461D" w:rsidRDefault="00DC40E1" w:rsidP="0075461D">
            <w:pPr>
              <w:spacing w:before="120" w:after="120"/>
              <w:jc w:val="both"/>
              <w:rPr>
                <w:bCs/>
                <w:noProof/>
                <w:sz w:val="24"/>
                <w:szCs w:val="24"/>
              </w:rPr>
            </w:pPr>
            <w:r w:rsidRPr="0075461D">
              <w:rPr>
                <w:bCs/>
                <w:noProof/>
                <w:sz w:val="24"/>
                <w:szCs w:val="24"/>
              </w:rPr>
              <w:t>And t</w:t>
            </w:r>
            <w:r w:rsidR="0059764E" w:rsidRPr="0075461D">
              <w:rPr>
                <w:bCs/>
                <w:noProof/>
                <w:sz w:val="24"/>
                <w:szCs w:val="24"/>
              </w:rPr>
              <w:t>he Council</w:t>
            </w:r>
            <w:r w:rsidR="0059764E" w:rsidRPr="0075461D">
              <w:rPr>
                <w:rStyle w:val="FootnoteReference"/>
                <w:bCs/>
                <w:noProof/>
                <w:sz w:val="24"/>
                <w:szCs w:val="24"/>
              </w:rPr>
              <w:footnoteReference w:id="4"/>
            </w:r>
            <w:r w:rsidR="0059764E" w:rsidRPr="0075461D">
              <w:rPr>
                <w:bCs/>
                <w:noProof/>
                <w:sz w:val="24"/>
                <w:szCs w:val="24"/>
              </w:rPr>
              <w:t xml:space="preserve"> confirmed that the EU stood ready to discuss the flexibilities of </w:t>
            </w:r>
            <w:r w:rsidRPr="0075461D">
              <w:rPr>
                <w:bCs/>
                <w:noProof/>
                <w:sz w:val="24"/>
                <w:szCs w:val="24"/>
              </w:rPr>
              <w:t>compulsory licensing</w:t>
            </w:r>
            <w:r w:rsidR="0059764E" w:rsidRPr="0075461D">
              <w:rPr>
                <w:bCs/>
                <w:noProof/>
                <w:sz w:val="24"/>
                <w:szCs w:val="24"/>
              </w:rPr>
              <w:t xml:space="preserve"> for the domestic market and export purposes. </w:t>
            </w:r>
            <w:r w:rsidR="00356A01" w:rsidRPr="0075461D">
              <w:rPr>
                <w:noProof/>
                <w:sz w:val="24"/>
                <w:szCs w:val="24"/>
              </w:rPr>
              <w:t>In parallel</w:t>
            </w:r>
            <w:r w:rsidR="0059764E" w:rsidRPr="0075461D">
              <w:rPr>
                <w:noProof/>
                <w:sz w:val="24"/>
                <w:szCs w:val="24"/>
              </w:rPr>
              <w:t xml:space="preserve">, the Commission </w:t>
            </w:r>
            <w:r w:rsidR="00356A01" w:rsidRPr="0075461D">
              <w:rPr>
                <w:noProof/>
                <w:sz w:val="24"/>
                <w:szCs w:val="24"/>
              </w:rPr>
              <w:t>tabled</w:t>
            </w:r>
            <w:r w:rsidR="0059764E" w:rsidRPr="0075461D">
              <w:rPr>
                <w:noProof/>
                <w:sz w:val="24"/>
                <w:szCs w:val="24"/>
              </w:rPr>
              <w:t xml:space="preserve"> proposals to ensure the EU’s resilience and to guarantee well-functioning supply chains in the </w:t>
            </w:r>
            <w:r w:rsidRPr="0075461D">
              <w:rPr>
                <w:noProof/>
                <w:sz w:val="24"/>
                <w:szCs w:val="24"/>
              </w:rPr>
              <w:t>s</w:t>
            </w:r>
            <w:r w:rsidR="0059764E" w:rsidRPr="0075461D">
              <w:rPr>
                <w:noProof/>
                <w:sz w:val="24"/>
                <w:szCs w:val="24"/>
              </w:rPr>
              <w:t xml:space="preserve">ingle </w:t>
            </w:r>
            <w:r w:rsidRPr="0075461D">
              <w:rPr>
                <w:noProof/>
                <w:sz w:val="24"/>
                <w:szCs w:val="24"/>
              </w:rPr>
              <w:t>m</w:t>
            </w:r>
            <w:r w:rsidR="0059764E" w:rsidRPr="0075461D">
              <w:rPr>
                <w:noProof/>
                <w:sz w:val="24"/>
                <w:szCs w:val="24"/>
              </w:rPr>
              <w:t>arket and abroad</w:t>
            </w:r>
            <w:r w:rsidR="00561D47" w:rsidRPr="0075461D">
              <w:rPr>
                <w:rStyle w:val="FootnoteReference"/>
                <w:noProof/>
                <w:sz w:val="24"/>
                <w:szCs w:val="24"/>
              </w:rPr>
              <w:footnoteReference w:id="5"/>
            </w:r>
            <w:r w:rsidR="00561D47" w:rsidRPr="0075461D">
              <w:rPr>
                <w:noProof/>
                <w:sz w:val="24"/>
                <w:szCs w:val="24"/>
              </w:rPr>
              <w:t xml:space="preserve">. Against the backdrop of the increasing completion of the </w:t>
            </w:r>
            <w:r w:rsidRPr="0075461D">
              <w:rPr>
                <w:noProof/>
                <w:sz w:val="24"/>
                <w:szCs w:val="24"/>
              </w:rPr>
              <w:t>s</w:t>
            </w:r>
            <w:r w:rsidR="00561D47" w:rsidRPr="0075461D">
              <w:rPr>
                <w:noProof/>
                <w:sz w:val="24"/>
                <w:szCs w:val="24"/>
              </w:rPr>
              <w:t xml:space="preserve">ingle </w:t>
            </w:r>
            <w:r w:rsidRPr="0075461D">
              <w:rPr>
                <w:noProof/>
                <w:sz w:val="24"/>
                <w:szCs w:val="24"/>
              </w:rPr>
              <w:t>m</w:t>
            </w:r>
            <w:r w:rsidR="00561D47" w:rsidRPr="0075461D">
              <w:rPr>
                <w:noProof/>
                <w:sz w:val="24"/>
                <w:szCs w:val="24"/>
              </w:rPr>
              <w:t xml:space="preserve">arket for patents through the upcoming launch of the </w:t>
            </w:r>
            <w:r w:rsidRPr="0075461D">
              <w:rPr>
                <w:noProof/>
                <w:sz w:val="24"/>
                <w:szCs w:val="24"/>
              </w:rPr>
              <w:t>u</w:t>
            </w:r>
            <w:r w:rsidR="00561D47" w:rsidRPr="0075461D">
              <w:rPr>
                <w:noProof/>
                <w:sz w:val="24"/>
                <w:szCs w:val="24"/>
              </w:rPr>
              <w:t xml:space="preserve">nitary </w:t>
            </w:r>
            <w:r w:rsidRPr="0075461D">
              <w:rPr>
                <w:noProof/>
                <w:sz w:val="24"/>
                <w:szCs w:val="24"/>
              </w:rPr>
              <w:t>p</w:t>
            </w:r>
            <w:r w:rsidR="00561D47" w:rsidRPr="0075461D">
              <w:rPr>
                <w:noProof/>
                <w:sz w:val="24"/>
                <w:szCs w:val="24"/>
              </w:rPr>
              <w:t xml:space="preserve">atent, the initiative </w:t>
            </w:r>
            <w:r w:rsidRPr="0075461D">
              <w:rPr>
                <w:noProof/>
                <w:sz w:val="24"/>
                <w:szCs w:val="24"/>
              </w:rPr>
              <w:t xml:space="preserve">described in this document situates itself </w:t>
            </w:r>
            <w:r w:rsidR="00561D47" w:rsidRPr="0075461D">
              <w:rPr>
                <w:noProof/>
                <w:sz w:val="24"/>
                <w:szCs w:val="24"/>
              </w:rPr>
              <w:t xml:space="preserve">at the </w:t>
            </w:r>
            <w:r w:rsidRPr="0075461D">
              <w:rPr>
                <w:noProof/>
                <w:sz w:val="24"/>
                <w:szCs w:val="24"/>
              </w:rPr>
              <w:t xml:space="preserve">intersection </w:t>
            </w:r>
            <w:r w:rsidR="00561D47" w:rsidRPr="0075461D">
              <w:rPr>
                <w:noProof/>
                <w:sz w:val="24"/>
                <w:szCs w:val="24"/>
              </w:rPr>
              <w:t xml:space="preserve">between the different EU crisis instruments and the international obligations and discussions on IP rights and </w:t>
            </w:r>
            <w:r w:rsidRPr="0075461D">
              <w:rPr>
                <w:noProof/>
                <w:sz w:val="24"/>
                <w:szCs w:val="24"/>
              </w:rPr>
              <w:t>compulsory licensing</w:t>
            </w:r>
            <w:r w:rsidR="00561D47" w:rsidRPr="0075461D">
              <w:rPr>
                <w:noProof/>
                <w:sz w:val="24"/>
                <w:szCs w:val="24"/>
              </w:rPr>
              <w:t>.</w:t>
            </w:r>
          </w:p>
          <w:p w14:paraId="19267829" w14:textId="49C9BD3F" w:rsidR="00DC40E1" w:rsidRPr="0075461D" w:rsidRDefault="00561D47" w:rsidP="0075461D">
            <w:pPr>
              <w:pStyle w:val="Heading3"/>
              <w:spacing w:before="0" w:after="120"/>
              <w:jc w:val="both"/>
              <w:outlineLvl w:val="2"/>
              <w:rPr>
                <w:rFonts w:ascii="Times New Roman" w:hAnsi="Times New Roman" w:cs="Times New Roman"/>
                <w:noProof/>
                <w:color w:val="auto"/>
              </w:rPr>
            </w:pPr>
            <w:r w:rsidRPr="0075461D">
              <w:rPr>
                <w:rFonts w:ascii="Times New Roman" w:hAnsi="Times New Roman" w:cs="Times New Roman"/>
                <w:noProof/>
                <w:color w:val="auto"/>
              </w:rPr>
              <w:t xml:space="preserve">Current EU </w:t>
            </w:r>
            <w:r w:rsidR="00DC40E1" w:rsidRPr="0075461D">
              <w:rPr>
                <w:rFonts w:ascii="Times New Roman" w:hAnsi="Times New Roman" w:cs="Times New Roman"/>
                <w:noProof/>
                <w:color w:val="auto"/>
              </w:rPr>
              <w:t>compulsory licensing</w:t>
            </w:r>
            <w:r w:rsidRPr="0075461D">
              <w:rPr>
                <w:rFonts w:ascii="Times New Roman" w:hAnsi="Times New Roman" w:cs="Times New Roman"/>
                <w:noProof/>
                <w:color w:val="auto"/>
              </w:rPr>
              <w:t xml:space="preserve"> rules are characterised by inadequate territorial </w:t>
            </w:r>
            <w:r w:rsidR="00DC40E1" w:rsidRPr="0075461D">
              <w:rPr>
                <w:rFonts w:ascii="Times New Roman" w:hAnsi="Times New Roman" w:cs="Times New Roman"/>
                <w:noProof/>
                <w:color w:val="auto"/>
              </w:rPr>
              <w:t>coverage</w:t>
            </w:r>
            <w:r w:rsidRPr="0075461D">
              <w:rPr>
                <w:rFonts w:ascii="Times New Roman" w:hAnsi="Times New Roman" w:cs="Times New Roman"/>
                <w:noProof/>
                <w:color w:val="auto"/>
              </w:rPr>
              <w:t xml:space="preserve"> </w:t>
            </w:r>
            <w:r w:rsidR="00DC40E1" w:rsidRPr="0075461D">
              <w:rPr>
                <w:rFonts w:ascii="Times New Roman" w:hAnsi="Times New Roman" w:cs="Times New Roman"/>
                <w:noProof/>
                <w:color w:val="auto"/>
              </w:rPr>
              <w:t xml:space="preserve">and </w:t>
            </w:r>
            <w:r w:rsidRPr="0075461D">
              <w:rPr>
                <w:rFonts w:ascii="Times New Roman" w:hAnsi="Times New Roman" w:cs="Times New Roman"/>
                <w:noProof/>
                <w:color w:val="auto"/>
              </w:rPr>
              <w:t>uncoordinated national procedures and decision-making</w:t>
            </w:r>
            <w:r w:rsidR="00DC40E1" w:rsidRPr="0075461D">
              <w:rPr>
                <w:rFonts w:ascii="Times New Roman" w:hAnsi="Times New Roman" w:cs="Times New Roman"/>
                <w:noProof/>
                <w:color w:val="auto"/>
              </w:rPr>
              <w:t>. This</w:t>
            </w:r>
            <w:r w:rsidRPr="0075461D">
              <w:rPr>
                <w:rFonts w:ascii="Times New Roman" w:hAnsi="Times New Roman" w:cs="Times New Roman"/>
                <w:noProof/>
                <w:color w:val="auto"/>
              </w:rPr>
              <w:t xml:space="preserve"> is especially problematic in view of </w:t>
            </w:r>
            <w:r w:rsidR="00DC40E1" w:rsidRPr="0075461D">
              <w:rPr>
                <w:rFonts w:ascii="Times New Roman" w:hAnsi="Times New Roman" w:cs="Times New Roman"/>
                <w:noProof/>
                <w:color w:val="auto"/>
              </w:rPr>
              <w:t xml:space="preserve">the </w:t>
            </w:r>
            <w:r w:rsidRPr="0075461D">
              <w:rPr>
                <w:rFonts w:ascii="Times New Roman" w:hAnsi="Times New Roman" w:cs="Times New Roman"/>
                <w:noProof/>
                <w:color w:val="auto"/>
              </w:rPr>
              <w:t>cross-border value chains increasingly predominant in the EU</w:t>
            </w:r>
            <w:r w:rsidR="000F2830" w:rsidRPr="0075461D">
              <w:rPr>
                <w:rFonts w:ascii="Times New Roman" w:hAnsi="Times New Roman" w:cs="Times New Roman"/>
                <w:noProof/>
                <w:color w:val="auto"/>
              </w:rPr>
              <w:t xml:space="preserve"> </w:t>
            </w:r>
            <w:r w:rsidR="00DC40E1" w:rsidRPr="0075461D">
              <w:rPr>
                <w:rFonts w:ascii="Times New Roman" w:hAnsi="Times New Roman" w:cs="Times New Roman"/>
                <w:noProof/>
                <w:color w:val="auto"/>
              </w:rPr>
              <w:t>s</w:t>
            </w:r>
            <w:r w:rsidR="000F2830" w:rsidRPr="0075461D">
              <w:rPr>
                <w:rFonts w:ascii="Times New Roman" w:hAnsi="Times New Roman" w:cs="Times New Roman"/>
                <w:noProof/>
                <w:color w:val="auto"/>
              </w:rPr>
              <w:t xml:space="preserve">ingle </w:t>
            </w:r>
            <w:r w:rsidR="00DC40E1" w:rsidRPr="0075461D">
              <w:rPr>
                <w:rFonts w:ascii="Times New Roman" w:hAnsi="Times New Roman" w:cs="Times New Roman"/>
                <w:noProof/>
                <w:color w:val="auto"/>
              </w:rPr>
              <w:t>m</w:t>
            </w:r>
            <w:r w:rsidR="000F2830" w:rsidRPr="0075461D">
              <w:rPr>
                <w:rFonts w:ascii="Times New Roman" w:hAnsi="Times New Roman" w:cs="Times New Roman"/>
                <w:noProof/>
                <w:color w:val="auto"/>
              </w:rPr>
              <w:t>arket</w:t>
            </w:r>
            <w:r w:rsidRPr="0075461D">
              <w:rPr>
                <w:rFonts w:ascii="Times New Roman" w:hAnsi="Times New Roman" w:cs="Times New Roman"/>
                <w:noProof/>
                <w:color w:val="auto"/>
              </w:rPr>
              <w:t xml:space="preserve">. </w:t>
            </w:r>
          </w:p>
          <w:p w14:paraId="51EEAC92" w14:textId="07AD30CE" w:rsidR="00561D47" w:rsidRPr="0075461D" w:rsidRDefault="00561D47" w:rsidP="0075461D">
            <w:pPr>
              <w:pStyle w:val="Heading3"/>
              <w:spacing w:before="0" w:after="120"/>
              <w:jc w:val="both"/>
              <w:outlineLvl w:val="2"/>
              <w:rPr>
                <w:rFonts w:ascii="Times New Roman" w:hAnsi="Times New Roman" w:cs="Times New Roman"/>
                <w:noProof/>
                <w:color w:val="auto"/>
              </w:rPr>
            </w:pPr>
            <w:r w:rsidRPr="0075461D">
              <w:rPr>
                <w:rFonts w:ascii="Times New Roman" w:hAnsi="Times New Roman" w:cs="Times New Roman"/>
                <w:noProof/>
                <w:color w:val="auto"/>
              </w:rPr>
              <w:t>This results from:</w:t>
            </w:r>
          </w:p>
          <w:p w14:paraId="7A485F88" w14:textId="2FD5B06E" w:rsidR="00561D47" w:rsidRPr="00DF5467" w:rsidRDefault="00BA0873" w:rsidP="0075461D">
            <w:pPr>
              <w:pStyle w:val="Heading3"/>
              <w:spacing w:before="0" w:after="120"/>
              <w:jc w:val="both"/>
              <w:outlineLvl w:val="2"/>
              <w:rPr>
                <w:rFonts w:ascii="Times New Roman" w:hAnsi="Times New Roman" w:cs="Times New Roman"/>
                <w:noProof/>
                <w:color w:val="auto"/>
              </w:rPr>
            </w:pPr>
            <w:r w:rsidRPr="0075461D">
              <w:rPr>
                <w:rFonts w:ascii="Times New Roman" w:hAnsi="Times New Roman" w:cs="Times New Roman"/>
                <w:noProof/>
                <w:color w:val="auto"/>
              </w:rPr>
              <w:t>(1)</w:t>
            </w:r>
            <w:r w:rsidR="00561D47" w:rsidRPr="0075461D">
              <w:rPr>
                <w:rFonts w:ascii="Times New Roman" w:hAnsi="Times New Roman" w:cs="Times New Roman"/>
                <w:noProof/>
                <w:color w:val="auto"/>
              </w:rPr>
              <w:t xml:space="preserve"> </w:t>
            </w:r>
            <w:bookmarkStart w:id="3" w:name="_Ref120002338"/>
            <w:r w:rsidRPr="00DF5467">
              <w:rPr>
                <w:rFonts w:ascii="Times New Roman" w:hAnsi="Times New Roman" w:cs="Times New Roman"/>
                <w:noProof/>
                <w:color w:val="auto"/>
              </w:rPr>
              <w:t>D</w:t>
            </w:r>
            <w:r w:rsidR="00561D47" w:rsidRPr="00DF5467">
              <w:rPr>
                <w:rFonts w:ascii="Times New Roman" w:hAnsi="Times New Roman" w:cs="Times New Roman"/>
                <w:noProof/>
                <w:color w:val="auto"/>
              </w:rPr>
              <w:t>ivergent national schemes on compulsory licensing</w:t>
            </w:r>
            <w:bookmarkEnd w:id="3"/>
            <w:r w:rsidR="00561D47" w:rsidRPr="00DF5467">
              <w:rPr>
                <w:rFonts w:ascii="Times New Roman" w:hAnsi="Times New Roman" w:cs="Times New Roman"/>
                <w:noProof/>
                <w:color w:val="auto"/>
              </w:rPr>
              <w:t xml:space="preserve">: </w:t>
            </w:r>
            <w:r w:rsidR="00DC40E1" w:rsidRPr="00DF5467">
              <w:rPr>
                <w:rFonts w:ascii="Times New Roman" w:hAnsi="Times New Roman" w:cs="Times New Roman"/>
                <w:noProof/>
                <w:color w:val="auto"/>
              </w:rPr>
              <w:t>compulsory licensing</w:t>
            </w:r>
            <w:r w:rsidR="00561D47" w:rsidRPr="00DF5467">
              <w:rPr>
                <w:rFonts w:ascii="Times New Roman" w:hAnsi="Times New Roman" w:cs="Times New Roman"/>
                <w:noProof/>
                <w:color w:val="auto"/>
              </w:rPr>
              <w:t xml:space="preserve"> is allowed under different procedures and conditions </w:t>
            </w:r>
            <w:r w:rsidR="009D0E39" w:rsidRPr="00DF5467">
              <w:rPr>
                <w:rFonts w:ascii="Times New Roman" w:hAnsi="Times New Roman" w:cs="Times New Roman"/>
                <w:noProof/>
                <w:color w:val="auto"/>
              </w:rPr>
              <w:t>in different EU m</w:t>
            </w:r>
            <w:r w:rsidR="00561D47" w:rsidRPr="00DF5467">
              <w:rPr>
                <w:rFonts w:ascii="Times New Roman" w:hAnsi="Times New Roman" w:cs="Times New Roman"/>
                <w:noProof/>
                <w:color w:val="auto"/>
              </w:rPr>
              <w:t xml:space="preserve">ember </w:t>
            </w:r>
            <w:r w:rsidR="009D0E39" w:rsidRPr="00DF5467">
              <w:rPr>
                <w:rFonts w:ascii="Times New Roman" w:hAnsi="Times New Roman" w:cs="Times New Roman"/>
                <w:noProof/>
                <w:color w:val="auto"/>
              </w:rPr>
              <w:t>countries</w:t>
            </w:r>
            <w:r w:rsidR="00561D47" w:rsidRPr="00DF5467">
              <w:rPr>
                <w:rFonts w:ascii="Times New Roman" w:hAnsi="Times New Roman" w:cs="Times New Roman"/>
                <w:noProof/>
                <w:color w:val="auto"/>
              </w:rPr>
              <w:t>;</w:t>
            </w:r>
          </w:p>
          <w:p w14:paraId="7E50A6BA" w14:textId="412002D7" w:rsidR="00561D47" w:rsidRPr="0075461D" w:rsidRDefault="00BA0873" w:rsidP="0075461D">
            <w:pPr>
              <w:pStyle w:val="Heading3"/>
              <w:spacing w:before="0" w:after="120"/>
              <w:jc w:val="both"/>
              <w:outlineLvl w:val="2"/>
              <w:rPr>
                <w:rFonts w:ascii="Times New Roman" w:hAnsi="Times New Roman" w:cs="Times New Roman"/>
                <w:noProof/>
                <w:color w:val="auto"/>
              </w:rPr>
            </w:pPr>
            <w:r w:rsidRPr="00DF5467">
              <w:rPr>
                <w:rFonts w:ascii="Times New Roman" w:hAnsi="Times New Roman" w:cs="Times New Roman"/>
                <w:noProof/>
                <w:color w:val="auto"/>
              </w:rPr>
              <w:t>(2)</w:t>
            </w:r>
            <w:r w:rsidR="00561D47" w:rsidRPr="00DF5467">
              <w:rPr>
                <w:rFonts w:ascii="Times New Roman" w:hAnsi="Times New Roman" w:cs="Times New Roman"/>
                <w:noProof/>
                <w:color w:val="auto"/>
              </w:rPr>
              <w:t xml:space="preserve"> Inadequate territorial reach of </w:t>
            </w:r>
            <w:r w:rsidR="00DC40E1" w:rsidRPr="00DF5467">
              <w:rPr>
                <w:rFonts w:ascii="Times New Roman" w:hAnsi="Times New Roman" w:cs="Times New Roman"/>
                <w:noProof/>
                <w:color w:val="auto"/>
              </w:rPr>
              <w:t>compulsory licensing</w:t>
            </w:r>
            <w:r w:rsidR="00561D47" w:rsidRPr="00DF5467">
              <w:rPr>
                <w:rFonts w:ascii="Times New Roman" w:hAnsi="Times New Roman" w:cs="Times New Roman"/>
                <w:noProof/>
                <w:color w:val="auto"/>
              </w:rPr>
              <w:t xml:space="preserve">: </w:t>
            </w:r>
            <w:r w:rsidR="00561D47" w:rsidRPr="0075461D">
              <w:rPr>
                <w:rFonts w:ascii="Times New Roman" w:hAnsi="Times New Roman" w:cs="Times New Roman"/>
                <w:noProof/>
                <w:color w:val="auto"/>
              </w:rPr>
              <w:t xml:space="preserve">despite the flexibility that exists at international level, </w:t>
            </w:r>
            <w:r w:rsidR="00DC40E1" w:rsidRPr="0075461D">
              <w:rPr>
                <w:rFonts w:ascii="Times New Roman" w:hAnsi="Times New Roman" w:cs="Times New Roman"/>
                <w:noProof/>
                <w:color w:val="auto"/>
              </w:rPr>
              <w:t>compulsory licensing</w:t>
            </w:r>
            <w:r w:rsidR="00561D47" w:rsidRPr="0075461D">
              <w:rPr>
                <w:rFonts w:ascii="Times New Roman" w:hAnsi="Times New Roman" w:cs="Times New Roman"/>
                <w:noProof/>
                <w:color w:val="auto"/>
              </w:rPr>
              <w:t xml:space="preserve"> in the EU is designed to exclusively supply national territories</w:t>
            </w:r>
            <w:r w:rsidR="000F2830" w:rsidRPr="0075461D">
              <w:rPr>
                <w:rFonts w:ascii="Times New Roman" w:hAnsi="Times New Roman" w:cs="Times New Roman"/>
                <w:noProof/>
                <w:color w:val="auto"/>
              </w:rPr>
              <w:t>,</w:t>
            </w:r>
            <w:r w:rsidR="00561D47" w:rsidRPr="0075461D">
              <w:rPr>
                <w:rFonts w:ascii="Times New Roman" w:hAnsi="Times New Roman" w:cs="Times New Roman"/>
                <w:noProof/>
                <w:color w:val="auto"/>
              </w:rPr>
              <w:t xml:space="preserve"> meaning that there is currently no </w:t>
            </w:r>
            <w:r w:rsidR="009D0E39" w:rsidRPr="0075461D">
              <w:rPr>
                <w:rFonts w:ascii="Times New Roman" w:hAnsi="Times New Roman" w:cs="Times New Roman"/>
                <w:noProof/>
                <w:color w:val="auto"/>
              </w:rPr>
              <w:t>s</w:t>
            </w:r>
            <w:r w:rsidR="00561D47" w:rsidRPr="0075461D">
              <w:rPr>
                <w:rFonts w:ascii="Times New Roman" w:hAnsi="Times New Roman" w:cs="Times New Roman"/>
                <w:noProof/>
                <w:color w:val="auto"/>
              </w:rPr>
              <w:t xml:space="preserve">ingle </w:t>
            </w:r>
            <w:r w:rsidR="009D0E39" w:rsidRPr="0075461D">
              <w:rPr>
                <w:rFonts w:ascii="Times New Roman" w:hAnsi="Times New Roman" w:cs="Times New Roman"/>
                <w:noProof/>
                <w:color w:val="auto"/>
              </w:rPr>
              <w:t>m</w:t>
            </w:r>
            <w:r w:rsidR="00561D47" w:rsidRPr="0075461D">
              <w:rPr>
                <w:rFonts w:ascii="Times New Roman" w:hAnsi="Times New Roman" w:cs="Times New Roman"/>
                <w:noProof/>
                <w:color w:val="auto"/>
              </w:rPr>
              <w:t>arket and no free movement of goods for</w:t>
            </w:r>
            <w:r w:rsidR="004610F7" w:rsidRPr="0075461D">
              <w:rPr>
                <w:rFonts w:ascii="Times New Roman" w:hAnsi="Times New Roman" w:cs="Times New Roman"/>
                <w:noProof/>
                <w:color w:val="auto"/>
              </w:rPr>
              <w:t xml:space="preserve"> </w:t>
            </w:r>
            <w:r w:rsidR="00DC40E1" w:rsidRPr="0075461D">
              <w:rPr>
                <w:rFonts w:ascii="Times New Roman" w:hAnsi="Times New Roman" w:cs="Times New Roman"/>
                <w:noProof/>
                <w:color w:val="auto"/>
              </w:rPr>
              <w:t>compulsory licen</w:t>
            </w:r>
            <w:r w:rsidR="009D0E39" w:rsidRPr="0075461D">
              <w:rPr>
                <w:rFonts w:ascii="Times New Roman" w:hAnsi="Times New Roman" w:cs="Times New Roman"/>
                <w:noProof/>
                <w:color w:val="auto"/>
              </w:rPr>
              <w:t>ce</w:t>
            </w:r>
            <w:r w:rsidR="00561D47" w:rsidRPr="0075461D">
              <w:rPr>
                <w:rFonts w:ascii="Times New Roman" w:hAnsi="Times New Roman" w:cs="Times New Roman"/>
                <w:noProof/>
                <w:color w:val="auto"/>
              </w:rPr>
              <w:t xml:space="preserve"> products;</w:t>
            </w:r>
          </w:p>
          <w:p w14:paraId="328A50F8" w14:textId="4F711131" w:rsidR="00E758DA" w:rsidRPr="00DF5467" w:rsidRDefault="00BA0873" w:rsidP="0075461D">
            <w:pPr>
              <w:pStyle w:val="Heading3"/>
              <w:spacing w:before="0" w:after="120"/>
              <w:jc w:val="both"/>
              <w:outlineLvl w:val="2"/>
              <w:rPr>
                <w:rFonts w:ascii="Times New Roman" w:hAnsi="Times New Roman" w:cs="Times New Roman"/>
                <w:noProof/>
                <w:color w:val="auto"/>
              </w:rPr>
            </w:pPr>
            <w:r w:rsidRPr="0075461D">
              <w:rPr>
                <w:rFonts w:ascii="Times New Roman" w:hAnsi="Times New Roman" w:cs="Times New Roman"/>
                <w:noProof/>
                <w:color w:val="auto"/>
              </w:rPr>
              <w:t>(3)</w:t>
            </w:r>
            <w:r w:rsidR="00561D47" w:rsidRPr="0075461D">
              <w:rPr>
                <w:rFonts w:ascii="Times New Roman" w:hAnsi="Times New Roman" w:cs="Times New Roman"/>
                <w:noProof/>
                <w:color w:val="auto"/>
              </w:rPr>
              <w:t xml:space="preserve"> </w:t>
            </w:r>
            <w:r w:rsidR="00561D47" w:rsidRPr="00DF5467">
              <w:rPr>
                <w:rFonts w:ascii="Times New Roman" w:hAnsi="Times New Roman" w:cs="Times New Roman"/>
                <w:noProof/>
                <w:color w:val="auto"/>
              </w:rPr>
              <w:t>No dedicated for</w:t>
            </w:r>
            <w:r w:rsidR="009D0E39" w:rsidRPr="00DF5467">
              <w:rPr>
                <w:rFonts w:ascii="Times New Roman" w:hAnsi="Times New Roman" w:cs="Times New Roman"/>
                <w:noProof/>
                <w:color w:val="auto"/>
              </w:rPr>
              <w:t>ums</w:t>
            </w:r>
            <w:r w:rsidR="00561D47" w:rsidRPr="00DF5467">
              <w:rPr>
                <w:rFonts w:ascii="Times New Roman" w:hAnsi="Times New Roman" w:cs="Times New Roman"/>
                <w:noProof/>
                <w:color w:val="auto"/>
              </w:rPr>
              <w:t xml:space="preserve"> to deal with </w:t>
            </w:r>
            <w:r w:rsidR="00DC40E1" w:rsidRPr="00DF5467">
              <w:rPr>
                <w:rFonts w:ascii="Times New Roman" w:hAnsi="Times New Roman" w:cs="Times New Roman"/>
                <w:noProof/>
                <w:color w:val="auto"/>
              </w:rPr>
              <w:t>compulsory licensing</w:t>
            </w:r>
            <w:r w:rsidR="00561D47" w:rsidRPr="00DF5467">
              <w:rPr>
                <w:rFonts w:ascii="Times New Roman" w:hAnsi="Times New Roman" w:cs="Times New Roman"/>
                <w:noProof/>
                <w:color w:val="auto"/>
              </w:rPr>
              <w:t xml:space="preserve"> </w:t>
            </w:r>
            <w:r w:rsidR="009D0E39" w:rsidRPr="00DF5467">
              <w:rPr>
                <w:rFonts w:ascii="Times New Roman" w:hAnsi="Times New Roman" w:cs="Times New Roman"/>
                <w:noProof/>
                <w:color w:val="auto"/>
              </w:rPr>
              <w:t xml:space="preserve">that could bolster </w:t>
            </w:r>
            <w:r w:rsidR="00561D47" w:rsidRPr="00DF5467">
              <w:rPr>
                <w:rFonts w:ascii="Times New Roman" w:hAnsi="Times New Roman" w:cs="Times New Roman"/>
                <w:noProof/>
                <w:color w:val="auto"/>
              </w:rPr>
              <w:t>EU resilience</w:t>
            </w:r>
            <w:r w:rsidR="009D0E39" w:rsidRPr="00DF5467">
              <w:rPr>
                <w:rFonts w:ascii="Times New Roman" w:hAnsi="Times New Roman" w:cs="Times New Roman"/>
                <w:noProof/>
                <w:color w:val="auto"/>
              </w:rPr>
              <w:t xml:space="preserve"> in times of crisis</w:t>
            </w:r>
            <w:r w:rsidR="00561D47" w:rsidRPr="00DF5467">
              <w:rPr>
                <w:rFonts w:ascii="Times New Roman" w:hAnsi="Times New Roman" w:cs="Times New Roman"/>
                <w:noProof/>
                <w:color w:val="auto"/>
              </w:rPr>
              <w:t xml:space="preserve">: </w:t>
            </w:r>
            <w:r w:rsidR="00561D47" w:rsidRPr="00196F0B">
              <w:rPr>
                <w:rFonts w:ascii="Times New Roman" w:hAnsi="Times New Roman" w:cs="Times New Roman"/>
                <w:noProof/>
                <w:color w:val="auto"/>
              </w:rPr>
              <w:t xml:space="preserve">the current </w:t>
            </w:r>
            <w:r w:rsidR="00DC40E1" w:rsidRPr="00196F0B">
              <w:rPr>
                <w:rFonts w:ascii="Times New Roman" w:hAnsi="Times New Roman" w:cs="Times New Roman"/>
                <w:noProof/>
                <w:color w:val="auto"/>
              </w:rPr>
              <w:t>compulsory licensing</w:t>
            </w:r>
            <w:r w:rsidR="00561D47" w:rsidRPr="00196F0B">
              <w:rPr>
                <w:rFonts w:ascii="Times New Roman" w:hAnsi="Times New Roman" w:cs="Times New Roman"/>
                <w:noProof/>
                <w:color w:val="auto"/>
              </w:rPr>
              <w:t xml:space="preserve"> system that could complement and support the EU’s ability to tackle crises appears disconnected from EU crisis instruments. </w:t>
            </w:r>
            <w:r w:rsidR="009D0E39" w:rsidRPr="00196F0B">
              <w:rPr>
                <w:rFonts w:ascii="Times New Roman" w:hAnsi="Times New Roman" w:cs="Times New Roman"/>
                <w:noProof/>
                <w:color w:val="auto"/>
              </w:rPr>
              <w:br/>
            </w:r>
            <w:r w:rsidR="00561D47" w:rsidRPr="00196F0B">
              <w:rPr>
                <w:rFonts w:ascii="Times New Roman" w:hAnsi="Times New Roman" w:cs="Times New Roman"/>
                <w:noProof/>
                <w:color w:val="auto"/>
              </w:rPr>
              <w:t xml:space="preserve">In addition, there is no coordination at EU level should several </w:t>
            </w:r>
            <w:r w:rsidR="009D0E39" w:rsidRPr="00196F0B">
              <w:rPr>
                <w:rFonts w:ascii="Times New Roman" w:hAnsi="Times New Roman" w:cs="Times New Roman"/>
                <w:noProof/>
                <w:color w:val="auto"/>
              </w:rPr>
              <w:t>EU countries</w:t>
            </w:r>
            <w:r w:rsidR="00561D47" w:rsidRPr="00196F0B">
              <w:rPr>
                <w:rFonts w:ascii="Times New Roman" w:hAnsi="Times New Roman" w:cs="Times New Roman"/>
                <w:noProof/>
                <w:color w:val="auto"/>
              </w:rPr>
              <w:t xml:space="preserve"> wish to coordinate their </w:t>
            </w:r>
            <w:r w:rsidR="009D0E39" w:rsidRPr="00196F0B">
              <w:rPr>
                <w:rFonts w:ascii="Times New Roman" w:hAnsi="Times New Roman" w:cs="Times New Roman"/>
                <w:noProof/>
                <w:color w:val="auto"/>
              </w:rPr>
              <w:t xml:space="preserve">measures for </w:t>
            </w:r>
            <w:r w:rsidR="00561D47" w:rsidRPr="00196F0B">
              <w:rPr>
                <w:rFonts w:ascii="Times New Roman" w:hAnsi="Times New Roman" w:cs="Times New Roman"/>
                <w:noProof/>
                <w:color w:val="auto"/>
              </w:rPr>
              <w:t xml:space="preserve">national </w:t>
            </w:r>
            <w:r w:rsidR="00DC40E1" w:rsidRPr="00196F0B">
              <w:rPr>
                <w:rFonts w:ascii="Times New Roman" w:hAnsi="Times New Roman" w:cs="Times New Roman"/>
                <w:noProof/>
                <w:color w:val="auto"/>
              </w:rPr>
              <w:t>compulsory licensing</w:t>
            </w:r>
            <w:r w:rsidR="00561D47" w:rsidRPr="00196F0B">
              <w:rPr>
                <w:rFonts w:ascii="Times New Roman" w:hAnsi="Times New Roman" w:cs="Times New Roman"/>
                <w:noProof/>
                <w:color w:val="auto"/>
              </w:rPr>
              <w:t>.</w:t>
            </w:r>
            <w:r w:rsidR="00E76875" w:rsidRPr="00196F0B">
              <w:rPr>
                <w:rFonts w:ascii="Times New Roman" w:hAnsi="Times New Roman" w:cs="Times New Roman"/>
                <w:noProof/>
                <w:color w:val="auto"/>
              </w:rPr>
              <w:t xml:space="preserve"> Consequently, it would be difficult for a</w:t>
            </w:r>
            <w:r w:rsidR="0013606D" w:rsidRPr="00196F0B">
              <w:rPr>
                <w:rFonts w:ascii="Times New Roman" w:hAnsi="Times New Roman" w:cs="Times New Roman"/>
                <w:noProof/>
                <w:color w:val="auto"/>
              </w:rPr>
              <w:t xml:space="preserve">n EU country </w:t>
            </w:r>
            <w:r w:rsidR="00E76875" w:rsidRPr="00196F0B">
              <w:rPr>
                <w:rFonts w:ascii="Times New Roman" w:hAnsi="Times New Roman" w:cs="Times New Roman"/>
                <w:noProof/>
                <w:color w:val="auto"/>
              </w:rPr>
              <w:t xml:space="preserve">with manufacturing capacities to produce goods to help another </w:t>
            </w:r>
            <w:r w:rsidR="0013606D" w:rsidRPr="00196F0B">
              <w:rPr>
                <w:rFonts w:ascii="Times New Roman" w:hAnsi="Times New Roman" w:cs="Times New Roman"/>
                <w:noProof/>
                <w:color w:val="auto"/>
              </w:rPr>
              <w:t xml:space="preserve">EU country </w:t>
            </w:r>
            <w:r w:rsidR="00883D34" w:rsidRPr="00196F0B">
              <w:rPr>
                <w:rFonts w:ascii="Times New Roman" w:hAnsi="Times New Roman" w:cs="Times New Roman"/>
                <w:noProof/>
                <w:color w:val="auto"/>
              </w:rPr>
              <w:t xml:space="preserve">or to issue a </w:t>
            </w:r>
            <w:r w:rsidR="00DC40E1" w:rsidRPr="00196F0B">
              <w:rPr>
                <w:rFonts w:ascii="Times New Roman" w:hAnsi="Times New Roman" w:cs="Times New Roman"/>
                <w:noProof/>
                <w:color w:val="auto"/>
              </w:rPr>
              <w:t>compulsory licensing</w:t>
            </w:r>
            <w:r w:rsidR="00883D34" w:rsidRPr="00196F0B">
              <w:rPr>
                <w:rFonts w:ascii="Times New Roman" w:hAnsi="Times New Roman" w:cs="Times New Roman"/>
                <w:noProof/>
                <w:color w:val="auto"/>
              </w:rPr>
              <w:t xml:space="preserve"> covering a</w:t>
            </w:r>
            <w:r w:rsidR="00E76875" w:rsidRPr="00196F0B">
              <w:rPr>
                <w:rFonts w:ascii="Times New Roman" w:hAnsi="Times New Roman" w:cs="Times New Roman"/>
                <w:noProof/>
                <w:color w:val="auto"/>
              </w:rPr>
              <w:t xml:space="preserve"> manufacturing process spanning several EU countries. </w:t>
            </w:r>
          </w:p>
        </w:tc>
      </w:tr>
      <w:tr w:rsidR="00ED39C4" w:rsidRPr="00DF5467" w14:paraId="7F3FC855" w14:textId="77777777" w:rsidTr="00035755">
        <w:tc>
          <w:tcPr>
            <w:tcW w:w="9322" w:type="dxa"/>
            <w:tcBorders>
              <w:bottom w:val="single" w:sz="4" w:space="0" w:color="auto"/>
            </w:tcBorders>
            <w:shd w:val="clear" w:color="auto" w:fill="E6E6E6"/>
          </w:tcPr>
          <w:p w14:paraId="64E6A473" w14:textId="77777777" w:rsidR="00ED39C4" w:rsidRPr="00DF5467" w:rsidRDefault="00ED39C4" w:rsidP="00035755">
            <w:pPr>
              <w:spacing w:before="60" w:after="60"/>
              <w:jc w:val="both"/>
              <w:rPr>
                <w:noProof/>
                <w:sz w:val="24"/>
                <w:szCs w:val="24"/>
              </w:rPr>
            </w:pPr>
            <w:r w:rsidRPr="00DF5467">
              <w:rPr>
                <w:b/>
                <w:noProof/>
                <w:sz w:val="24"/>
                <w:szCs w:val="24"/>
              </w:rPr>
              <w:t xml:space="preserve">What is this initiative expected to achieve? </w:t>
            </w:r>
          </w:p>
        </w:tc>
      </w:tr>
      <w:tr w:rsidR="00ED39C4" w:rsidRPr="00DF5467" w14:paraId="10E54822" w14:textId="77777777" w:rsidTr="00035755">
        <w:tc>
          <w:tcPr>
            <w:tcW w:w="9322" w:type="dxa"/>
            <w:tcBorders>
              <w:bottom w:val="single" w:sz="4" w:space="0" w:color="auto"/>
            </w:tcBorders>
            <w:shd w:val="clear" w:color="auto" w:fill="auto"/>
          </w:tcPr>
          <w:p w14:paraId="52B3DB21" w14:textId="2D4FAAA4" w:rsidR="0013606D" w:rsidRPr="00196F0B" w:rsidRDefault="00FB3844" w:rsidP="00196F0B">
            <w:pPr>
              <w:spacing w:before="120" w:after="120"/>
              <w:jc w:val="both"/>
              <w:rPr>
                <w:noProof/>
                <w:sz w:val="24"/>
                <w:szCs w:val="24"/>
              </w:rPr>
            </w:pPr>
            <w:r w:rsidRPr="00196F0B">
              <w:rPr>
                <w:noProof/>
                <w:sz w:val="24"/>
                <w:szCs w:val="24"/>
              </w:rPr>
              <w:t xml:space="preserve">The general objective is to enable the EU to respond to crisis situations in a timely manner using the full potential of the </w:t>
            </w:r>
            <w:r w:rsidR="0013606D" w:rsidRPr="00196F0B">
              <w:rPr>
                <w:noProof/>
                <w:sz w:val="24"/>
                <w:szCs w:val="24"/>
              </w:rPr>
              <w:t>s</w:t>
            </w:r>
            <w:r w:rsidRPr="00196F0B">
              <w:rPr>
                <w:noProof/>
                <w:sz w:val="24"/>
                <w:szCs w:val="24"/>
              </w:rPr>
              <w:t xml:space="preserve">ingle </w:t>
            </w:r>
            <w:r w:rsidR="0013606D" w:rsidRPr="00196F0B">
              <w:rPr>
                <w:noProof/>
                <w:sz w:val="24"/>
                <w:szCs w:val="24"/>
              </w:rPr>
              <w:t>m</w:t>
            </w:r>
            <w:r w:rsidRPr="00196F0B">
              <w:rPr>
                <w:noProof/>
                <w:sz w:val="24"/>
                <w:szCs w:val="24"/>
              </w:rPr>
              <w:t xml:space="preserve">arket and </w:t>
            </w:r>
            <w:r w:rsidR="0013606D" w:rsidRPr="00196F0B">
              <w:rPr>
                <w:noProof/>
                <w:sz w:val="24"/>
                <w:szCs w:val="24"/>
              </w:rPr>
              <w:t xml:space="preserve">to </w:t>
            </w:r>
            <w:r w:rsidRPr="00196F0B">
              <w:rPr>
                <w:noProof/>
                <w:sz w:val="24"/>
                <w:szCs w:val="24"/>
              </w:rPr>
              <w:t xml:space="preserve">ensure that in </w:t>
            </w:r>
            <w:r w:rsidR="00773077">
              <w:rPr>
                <w:noProof/>
                <w:sz w:val="24"/>
                <w:szCs w:val="24"/>
              </w:rPr>
              <w:t>a crisis</w:t>
            </w:r>
            <w:r w:rsidRPr="00196F0B">
              <w:rPr>
                <w:noProof/>
                <w:sz w:val="24"/>
                <w:szCs w:val="24"/>
              </w:rPr>
              <w:t xml:space="preserve">, critical products and components can be made available across EU countries and supplied without delay to EU citizens and firms or </w:t>
            </w:r>
            <w:r w:rsidR="0013606D" w:rsidRPr="00196F0B">
              <w:rPr>
                <w:noProof/>
                <w:sz w:val="24"/>
                <w:szCs w:val="24"/>
              </w:rPr>
              <w:t xml:space="preserve">even to non-EU </w:t>
            </w:r>
            <w:r w:rsidRPr="00196F0B">
              <w:rPr>
                <w:noProof/>
                <w:sz w:val="24"/>
                <w:szCs w:val="24"/>
              </w:rPr>
              <w:t>countries.</w:t>
            </w:r>
            <w:r w:rsidR="00757CA3" w:rsidRPr="00196F0B">
              <w:rPr>
                <w:noProof/>
                <w:sz w:val="24"/>
                <w:szCs w:val="24"/>
              </w:rPr>
              <w:t xml:space="preserve"> </w:t>
            </w:r>
          </w:p>
          <w:p w14:paraId="6D1DEC27" w14:textId="24540CD5" w:rsidR="00271691" w:rsidRPr="00DF5467" w:rsidRDefault="00271691" w:rsidP="00196F0B">
            <w:pPr>
              <w:spacing w:after="120"/>
              <w:jc w:val="both"/>
              <w:rPr>
                <w:noProof/>
                <w:sz w:val="24"/>
                <w:szCs w:val="24"/>
              </w:rPr>
            </w:pPr>
            <w:r w:rsidRPr="00DF5467">
              <w:rPr>
                <w:noProof/>
                <w:sz w:val="24"/>
                <w:szCs w:val="24"/>
              </w:rPr>
              <w:t xml:space="preserve">In connection with the general objectives and with the problems identified earlier, </w:t>
            </w:r>
            <w:r w:rsidR="0013606D" w:rsidRPr="00DF5467">
              <w:rPr>
                <w:noProof/>
                <w:sz w:val="24"/>
                <w:szCs w:val="24"/>
              </w:rPr>
              <w:t>3</w:t>
            </w:r>
            <w:r w:rsidRPr="00DF5467">
              <w:rPr>
                <w:noProof/>
                <w:sz w:val="24"/>
                <w:szCs w:val="24"/>
              </w:rPr>
              <w:t xml:space="preserve"> specific objectives have been defined:</w:t>
            </w:r>
          </w:p>
          <w:p w14:paraId="2FF989E2" w14:textId="41F866F0" w:rsidR="00271691" w:rsidRPr="00DF5467" w:rsidRDefault="00271691" w:rsidP="00196F0B">
            <w:pPr>
              <w:spacing w:after="120"/>
              <w:jc w:val="both"/>
              <w:rPr>
                <w:noProof/>
                <w:sz w:val="24"/>
                <w:szCs w:val="24"/>
              </w:rPr>
            </w:pPr>
            <w:r w:rsidRPr="00DF5467">
              <w:rPr>
                <w:noProof/>
                <w:sz w:val="24"/>
                <w:szCs w:val="24"/>
              </w:rPr>
              <w:t xml:space="preserve">(1) </w:t>
            </w:r>
            <w:r w:rsidR="0013606D" w:rsidRPr="00DF5467">
              <w:rPr>
                <w:noProof/>
                <w:sz w:val="24"/>
                <w:szCs w:val="24"/>
              </w:rPr>
              <w:t xml:space="preserve">Improve the </w:t>
            </w:r>
            <w:r w:rsidR="00FB3844" w:rsidRPr="00DF5467">
              <w:rPr>
                <w:noProof/>
                <w:sz w:val="24"/>
                <w:szCs w:val="24"/>
              </w:rPr>
              <w:t xml:space="preserve">key features of </w:t>
            </w:r>
            <w:r w:rsidR="00DC40E1" w:rsidRPr="00DF5467">
              <w:rPr>
                <w:noProof/>
                <w:sz w:val="24"/>
                <w:szCs w:val="24"/>
              </w:rPr>
              <w:t>compulsory licensing</w:t>
            </w:r>
            <w:r w:rsidR="00FB3844" w:rsidRPr="00DF5467">
              <w:rPr>
                <w:noProof/>
                <w:sz w:val="24"/>
                <w:szCs w:val="24"/>
              </w:rPr>
              <w:t>, such as the trigger, scope and conditions f</w:t>
            </w:r>
            <w:r w:rsidR="0013606D" w:rsidRPr="00DF5467">
              <w:rPr>
                <w:noProof/>
                <w:sz w:val="24"/>
                <w:szCs w:val="24"/>
              </w:rPr>
              <w:t>or</w:t>
            </w:r>
            <w:r w:rsidR="00FB3844" w:rsidRPr="00DF5467">
              <w:rPr>
                <w:noProof/>
                <w:sz w:val="24"/>
                <w:szCs w:val="24"/>
              </w:rPr>
              <w:t xml:space="preserve"> </w:t>
            </w:r>
            <w:r w:rsidR="00DC40E1" w:rsidRPr="00DF5467">
              <w:rPr>
                <w:noProof/>
                <w:sz w:val="24"/>
                <w:szCs w:val="24"/>
              </w:rPr>
              <w:t>compulsory licensing</w:t>
            </w:r>
            <w:r w:rsidR="00FB3844" w:rsidRPr="00DF5467">
              <w:rPr>
                <w:noProof/>
                <w:sz w:val="24"/>
                <w:szCs w:val="24"/>
              </w:rPr>
              <w:t>, a</w:t>
            </w:r>
            <w:r w:rsidR="0013606D" w:rsidRPr="00DF5467">
              <w:rPr>
                <w:noProof/>
                <w:sz w:val="24"/>
                <w:szCs w:val="24"/>
              </w:rPr>
              <w:t xml:space="preserve">nd make </w:t>
            </w:r>
            <w:r w:rsidR="00DC40E1" w:rsidRPr="00DF5467">
              <w:rPr>
                <w:noProof/>
                <w:sz w:val="24"/>
                <w:szCs w:val="24"/>
              </w:rPr>
              <w:t>compulsory licensing</w:t>
            </w:r>
            <w:r w:rsidR="00FB3844" w:rsidRPr="00DF5467">
              <w:rPr>
                <w:noProof/>
                <w:sz w:val="24"/>
                <w:szCs w:val="24"/>
              </w:rPr>
              <w:t xml:space="preserve"> </w:t>
            </w:r>
            <w:r w:rsidR="0013606D" w:rsidRPr="00DF5467">
              <w:rPr>
                <w:noProof/>
                <w:sz w:val="24"/>
                <w:szCs w:val="24"/>
              </w:rPr>
              <w:t xml:space="preserve">a more consistent tool for </w:t>
            </w:r>
            <w:r w:rsidR="00757CA3" w:rsidRPr="00DF5467">
              <w:rPr>
                <w:noProof/>
                <w:sz w:val="24"/>
                <w:szCs w:val="24"/>
              </w:rPr>
              <w:t>tackl</w:t>
            </w:r>
            <w:r w:rsidR="0013606D" w:rsidRPr="00DF5467">
              <w:rPr>
                <w:noProof/>
                <w:sz w:val="24"/>
                <w:szCs w:val="24"/>
              </w:rPr>
              <w:t>ing</w:t>
            </w:r>
            <w:r w:rsidR="00FB3844" w:rsidRPr="00DF5467">
              <w:rPr>
                <w:noProof/>
                <w:sz w:val="24"/>
                <w:szCs w:val="24"/>
              </w:rPr>
              <w:t xml:space="preserve"> a crisis</w:t>
            </w:r>
            <w:r w:rsidR="0013606D" w:rsidRPr="00DF5467">
              <w:rPr>
                <w:noProof/>
                <w:sz w:val="24"/>
                <w:szCs w:val="24"/>
              </w:rPr>
              <w:t xml:space="preserve"> in the EU</w:t>
            </w:r>
            <w:r w:rsidR="00FB3844" w:rsidRPr="00DF5467">
              <w:rPr>
                <w:noProof/>
                <w:sz w:val="24"/>
                <w:szCs w:val="24"/>
              </w:rPr>
              <w:t>.</w:t>
            </w:r>
          </w:p>
          <w:p w14:paraId="3C7F31CD" w14:textId="01E7BD69" w:rsidR="00271691" w:rsidRPr="00DF5467" w:rsidRDefault="00271691" w:rsidP="00196F0B">
            <w:pPr>
              <w:spacing w:after="120"/>
              <w:jc w:val="both"/>
              <w:rPr>
                <w:noProof/>
                <w:sz w:val="24"/>
                <w:szCs w:val="24"/>
              </w:rPr>
            </w:pPr>
            <w:r w:rsidRPr="00DF5467">
              <w:rPr>
                <w:noProof/>
                <w:sz w:val="24"/>
                <w:szCs w:val="24"/>
              </w:rPr>
              <w:t xml:space="preserve">(2) </w:t>
            </w:r>
            <w:r w:rsidR="00FB3844" w:rsidRPr="00DF5467">
              <w:rPr>
                <w:noProof/>
                <w:sz w:val="24"/>
                <w:szCs w:val="24"/>
              </w:rPr>
              <w:t xml:space="preserve">Ensure that the territorial reach of a </w:t>
            </w:r>
            <w:r w:rsidR="00DC40E1" w:rsidRPr="00DF5467">
              <w:rPr>
                <w:noProof/>
                <w:sz w:val="24"/>
                <w:szCs w:val="24"/>
              </w:rPr>
              <w:t>compulsory licen</w:t>
            </w:r>
            <w:r w:rsidR="00DD3765" w:rsidRPr="00DF5467">
              <w:rPr>
                <w:noProof/>
                <w:sz w:val="24"/>
                <w:szCs w:val="24"/>
              </w:rPr>
              <w:t>ce</w:t>
            </w:r>
            <w:r w:rsidR="00FB3844" w:rsidRPr="00DF5467">
              <w:rPr>
                <w:noProof/>
                <w:sz w:val="24"/>
                <w:szCs w:val="24"/>
              </w:rPr>
              <w:t xml:space="preserve">, including for export purposes, </w:t>
            </w:r>
            <w:r w:rsidR="00DD3765" w:rsidRPr="00DF5467">
              <w:rPr>
                <w:noProof/>
                <w:sz w:val="24"/>
                <w:szCs w:val="24"/>
              </w:rPr>
              <w:t xml:space="preserve">can accommodate </w:t>
            </w:r>
            <w:r w:rsidR="00FB3844" w:rsidRPr="00DF5467">
              <w:rPr>
                <w:noProof/>
                <w:sz w:val="24"/>
                <w:szCs w:val="24"/>
              </w:rPr>
              <w:t xml:space="preserve">the reality of cross-border value chains operating in the </w:t>
            </w:r>
            <w:r w:rsidR="00DD3765" w:rsidRPr="00DF5467">
              <w:rPr>
                <w:noProof/>
                <w:sz w:val="24"/>
                <w:szCs w:val="24"/>
              </w:rPr>
              <w:t>s</w:t>
            </w:r>
            <w:r w:rsidR="00FB3844" w:rsidRPr="00DF5467">
              <w:rPr>
                <w:noProof/>
                <w:sz w:val="24"/>
                <w:szCs w:val="24"/>
              </w:rPr>
              <w:t xml:space="preserve">ingle </w:t>
            </w:r>
            <w:r w:rsidR="00DD3765" w:rsidRPr="00DF5467">
              <w:rPr>
                <w:noProof/>
                <w:sz w:val="24"/>
                <w:szCs w:val="24"/>
              </w:rPr>
              <w:t>m</w:t>
            </w:r>
            <w:r w:rsidR="00FB3844" w:rsidRPr="00DF5467">
              <w:rPr>
                <w:noProof/>
                <w:sz w:val="24"/>
                <w:szCs w:val="24"/>
              </w:rPr>
              <w:t>arket</w:t>
            </w:r>
            <w:r w:rsidRPr="00DF5467">
              <w:rPr>
                <w:noProof/>
                <w:sz w:val="24"/>
                <w:szCs w:val="24"/>
              </w:rPr>
              <w:t>.</w:t>
            </w:r>
          </w:p>
          <w:p w14:paraId="0C616ED3" w14:textId="3E66E7C6" w:rsidR="00ED39C4" w:rsidRPr="00DF5467" w:rsidRDefault="00271691" w:rsidP="00196F0B">
            <w:pPr>
              <w:spacing w:after="120"/>
              <w:jc w:val="both"/>
              <w:rPr>
                <w:noProof/>
                <w:sz w:val="24"/>
                <w:szCs w:val="24"/>
              </w:rPr>
            </w:pPr>
            <w:r w:rsidRPr="00DF5467">
              <w:rPr>
                <w:noProof/>
                <w:sz w:val="24"/>
                <w:szCs w:val="24"/>
              </w:rPr>
              <w:t xml:space="preserve">(3) </w:t>
            </w:r>
            <w:r w:rsidR="004C6059" w:rsidRPr="00DF5467">
              <w:rPr>
                <w:noProof/>
                <w:sz w:val="24"/>
                <w:szCs w:val="24"/>
              </w:rPr>
              <w:t xml:space="preserve">Support EU resilience by improving coordination, streamlining decision making and allowing compulsory licences to better complement EU action in crises, including for export purposes to </w:t>
            </w:r>
            <w:r w:rsidR="00DD3765" w:rsidRPr="00DF5467">
              <w:rPr>
                <w:noProof/>
                <w:sz w:val="24"/>
                <w:szCs w:val="24"/>
              </w:rPr>
              <w:t>non-EU</w:t>
            </w:r>
            <w:r w:rsidR="004C6059" w:rsidRPr="00DF5467">
              <w:rPr>
                <w:noProof/>
                <w:sz w:val="24"/>
                <w:szCs w:val="24"/>
              </w:rPr>
              <w:t xml:space="preserve"> countries. This objective would also aim t</w:t>
            </w:r>
            <w:r w:rsidR="00DD3765" w:rsidRPr="00DF5467">
              <w:rPr>
                <w:noProof/>
                <w:sz w:val="24"/>
                <w:szCs w:val="24"/>
              </w:rPr>
              <w:t>o</w:t>
            </w:r>
            <w:r w:rsidR="004C6059" w:rsidRPr="00DF5467">
              <w:rPr>
                <w:noProof/>
                <w:sz w:val="24"/>
                <w:szCs w:val="24"/>
              </w:rPr>
              <w:t xml:space="preserve"> ensur</w:t>
            </w:r>
            <w:r w:rsidR="00DD3765" w:rsidRPr="00DF5467">
              <w:rPr>
                <w:noProof/>
                <w:sz w:val="24"/>
                <w:szCs w:val="24"/>
              </w:rPr>
              <w:t>e</w:t>
            </w:r>
            <w:r w:rsidR="004C6059" w:rsidRPr="00DF5467">
              <w:rPr>
                <w:noProof/>
                <w:sz w:val="24"/>
                <w:szCs w:val="24"/>
              </w:rPr>
              <w:t xml:space="preserve"> </w:t>
            </w:r>
            <w:r w:rsidR="00DD3765" w:rsidRPr="00DF5467">
              <w:rPr>
                <w:noProof/>
                <w:sz w:val="24"/>
                <w:szCs w:val="24"/>
              </w:rPr>
              <w:t xml:space="preserve">suitable consistency </w:t>
            </w:r>
            <w:r w:rsidR="004C6059" w:rsidRPr="00DF5467">
              <w:rPr>
                <w:noProof/>
                <w:sz w:val="24"/>
                <w:szCs w:val="24"/>
              </w:rPr>
              <w:t xml:space="preserve">between (national) compulsory licensing schemes and EU crisis instruments.  </w:t>
            </w:r>
          </w:p>
        </w:tc>
      </w:tr>
      <w:tr w:rsidR="00ED39C4" w:rsidRPr="00DF5467" w14:paraId="55B98BC8" w14:textId="77777777" w:rsidTr="00035755">
        <w:tc>
          <w:tcPr>
            <w:tcW w:w="9322" w:type="dxa"/>
            <w:tcBorders>
              <w:bottom w:val="single" w:sz="4" w:space="0" w:color="auto"/>
            </w:tcBorders>
            <w:shd w:val="clear" w:color="auto" w:fill="E6E6E6"/>
          </w:tcPr>
          <w:p w14:paraId="470CEBA9" w14:textId="77777777" w:rsidR="00ED39C4" w:rsidRPr="00DF5467" w:rsidRDefault="00ED39C4" w:rsidP="00035755">
            <w:pPr>
              <w:spacing w:before="60" w:after="60"/>
              <w:jc w:val="both"/>
              <w:rPr>
                <w:noProof/>
                <w:sz w:val="24"/>
                <w:szCs w:val="24"/>
              </w:rPr>
            </w:pPr>
            <w:r w:rsidRPr="00DF5467">
              <w:rPr>
                <w:b/>
                <w:noProof/>
                <w:sz w:val="24"/>
                <w:szCs w:val="24"/>
              </w:rPr>
              <w:t>What is the value added of action at the EU level?</w:t>
            </w:r>
            <w:r w:rsidRPr="00DF5467">
              <w:rPr>
                <w:noProof/>
                <w:sz w:val="24"/>
                <w:szCs w:val="24"/>
              </w:rPr>
              <w:t xml:space="preserve"> </w:t>
            </w:r>
          </w:p>
        </w:tc>
      </w:tr>
      <w:tr w:rsidR="00ED39C4" w:rsidRPr="00DF5467" w14:paraId="4A05F78E" w14:textId="77777777" w:rsidTr="00035755">
        <w:tc>
          <w:tcPr>
            <w:tcW w:w="9322" w:type="dxa"/>
            <w:tcBorders>
              <w:bottom w:val="single" w:sz="4" w:space="0" w:color="auto"/>
            </w:tcBorders>
            <w:shd w:val="clear" w:color="auto" w:fill="auto"/>
          </w:tcPr>
          <w:p w14:paraId="6F23F6AD" w14:textId="367A2880" w:rsidR="00DD3765" w:rsidRPr="00196F0B" w:rsidRDefault="00A655D1" w:rsidP="00DD3765">
            <w:pPr>
              <w:spacing w:before="120"/>
              <w:jc w:val="both"/>
              <w:rPr>
                <w:noProof/>
                <w:color w:val="000000" w:themeColor="text1"/>
                <w:sz w:val="24"/>
                <w:szCs w:val="24"/>
              </w:rPr>
            </w:pPr>
            <w:r w:rsidRPr="00196F0B">
              <w:rPr>
                <w:noProof/>
                <w:color w:val="000000" w:themeColor="text1"/>
                <w:sz w:val="24"/>
                <w:szCs w:val="24"/>
              </w:rPr>
              <w:t xml:space="preserve">Action at EU level is justified to ensure the smooth functioning of the </w:t>
            </w:r>
            <w:r w:rsidR="00DD3765" w:rsidRPr="00196F0B">
              <w:rPr>
                <w:noProof/>
                <w:color w:val="000000" w:themeColor="text1"/>
                <w:sz w:val="24"/>
                <w:szCs w:val="24"/>
              </w:rPr>
              <w:t>s</w:t>
            </w:r>
            <w:r w:rsidRPr="00196F0B">
              <w:rPr>
                <w:noProof/>
                <w:color w:val="000000" w:themeColor="text1"/>
                <w:sz w:val="24"/>
                <w:szCs w:val="24"/>
              </w:rPr>
              <w:t xml:space="preserve">ingle </w:t>
            </w:r>
            <w:r w:rsidR="00DD3765" w:rsidRPr="00196F0B">
              <w:rPr>
                <w:noProof/>
                <w:color w:val="000000" w:themeColor="text1"/>
                <w:sz w:val="24"/>
                <w:szCs w:val="24"/>
              </w:rPr>
              <w:t>m</w:t>
            </w:r>
            <w:r w:rsidRPr="00196F0B">
              <w:rPr>
                <w:noProof/>
                <w:color w:val="000000" w:themeColor="text1"/>
                <w:sz w:val="24"/>
                <w:szCs w:val="24"/>
              </w:rPr>
              <w:t>arket in cris</w:t>
            </w:r>
            <w:r w:rsidR="00DD3765" w:rsidRPr="00196F0B">
              <w:rPr>
                <w:noProof/>
                <w:color w:val="000000" w:themeColor="text1"/>
                <w:sz w:val="24"/>
                <w:szCs w:val="24"/>
              </w:rPr>
              <w:t>i</w:t>
            </w:r>
            <w:r w:rsidRPr="00196F0B">
              <w:rPr>
                <w:noProof/>
                <w:color w:val="000000" w:themeColor="text1"/>
                <w:sz w:val="24"/>
                <w:szCs w:val="24"/>
              </w:rPr>
              <w:t>s</w:t>
            </w:r>
            <w:r w:rsidR="00DD3765" w:rsidRPr="00196F0B">
              <w:rPr>
                <w:noProof/>
                <w:color w:val="000000" w:themeColor="text1"/>
                <w:sz w:val="24"/>
                <w:szCs w:val="24"/>
              </w:rPr>
              <w:t xml:space="preserve"> situations</w:t>
            </w:r>
            <w:r w:rsidRPr="00196F0B">
              <w:rPr>
                <w:noProof/>
                <w:color w:val="000000" w:themeColor="text1"/>
                <w:sz w:val="24"/>
                <w:szCs w:val="24"/>
              </w:rPr>
              <w:t xml:space="preserve">. </w:t>
            </w:r>
          </w:p>
          <w:p w14:paraId="582978A3" w14:textId="1990AD8D" w:rsidR="00ED39C4" w:rsidRPr="00196F0B" w:rsidRDefault="00A655D1" w:rsidP="00196F0B">
            <w:pPr>
              <w:spacing w:before="120" w:after="120"/>
              <w:jc w:val="both"/>
              <w:rPr>
                <w:noProof/>
                <w:color w:val="000000" w:themeColor="text1"/>
                <w:sz w:val="24"/>
                <w:szCs w:val="24"/>
              </w:rPr>
            </w:pPr>
            <w:r w:rsidRPr="00196F0B">
              <w:rPr>
                <w:noProof/>
                <w:color w:val="000000" w:themeColor="text1"/>
                <w:sz w:val="24"/>
                <w:szCs w:val="24"/>
              </w:rPr>
              <w:t xml:space="preserve">Currently, </w:t>
            </w:r>
            <w:r w:rsidR="00DD3765" w:rsidRPr="00196F0B">
              <w:rPr>
                <w:noProof/>
                <w:color w:val="000000" w:themeColor="text1"/>
                <w:sz w:val="24"/>
                <w:szCs w:val="24"/>
              </w:rPr>
              <w:t xml:space="preserve">EU countries </w:t>
            </w:r>
            <w:r w:rsidRPr="00196F0B">
              <w:rPr>
                <w:noProof/>
                <w:color w:val="000000" w:themeColor="text1"/>
                <w:sz w:val="24"/>
                <w:szCs w:val="24"/>
              </w:rPr>
              <w:t xml:space="preserve">can only act nationally </w:t>
            </w:r>
            <w:r w:rsidR="00757CA3" w:rsidRPr="00196F0B">
              <w:rPr>
                <w:noProof/>
                <w:color w:val="000000" w:themeColor="text1"/>
                <w:sz w:val="24"/>
                <w:szCs w:val="24"/>
              </w:rPr>
              <w:t>(i.e.</w:t>
            </w:r>
            <w:r w:rsidRPr="00196F0B">
              <w:rPr>
                <w:noProof/>
                <w:color w:val="000000" w:themeColor="text1"/>
                <w:sz w:val="24"/>
                <w:szCs w:val="24"/>
              </w:rPr>
              <w:t xml:space="preserve"> </w:t>
            </w:r>
            <w:r w:rsidR="00DC40E1" w:rsidRPr="00196F0B">
              <w:rPr>
                <w:noProof/>
                <w:color w:val="000000" w:themeColor="text1"/>
                <w:sz w:val="24"/>
                <w:szCs w:val="24"/>
              </w:rPr>
              <w:t>compulsory licensing</w:t>
            </w:r>
            <w:r w:rsidRPr="00196F0B">
              <w:rPr>
                <w:noProof/>
                <w:color w:val="000000" w:themeColor="text1"/>
                <w:sz w:val="24"/>
                <w:szCs w:val="24"/>
              </w:rPr>
              <w:t xml:space="preserve"> for their own territory</w:t>
            </w:r>
            <w:r w:rsidR="00757CA3" w:rsidRPr="00196F0B">
              <w:rPr>
                <w:noProof/>
                <w:color w:val="000000" w:themeColor="text1"/>
                <w:sz w:val="24"/>
                <w:szCs w:val="24"/>
              </w:rPr>
              <w:t>)</w:t>
            </w:r>
            <w:r w:rsidRPr="00196F0B">
              <w:rPr>
                <w:noProof/>
                <w:color w:val="000000" w:themeColor="text1"/>
                <w:sz w:val="24"/>
                <w:szCs w:val="24"/>
              </w:rPr>
              <w:t xml:space="preserve">. This </w:t>
            </w:r>
            <w:r w:rsidR="00646584" w:rsidRPr="00196F0B">
              <w:rPr>
                <w:noProof/>
                <w:color w:val="000000" w:themeColor="text1"/>
                <w:sz w:val="24"/>
                <w:szCs w:val="24"/>
              </w:rPr>
              <w:t>might</w:t>
            </w:r>
            <w:r w:rsidRPr="00196F0B">
              <w:rPr>
                <w:noProof/>
                <w:color w:val="000000" w:themeColor="text1"/>
                <w:sz w:val="24"/>
                <w:szCs w:val="24"/>
              </w:rPr>
              <w:t xml:space="preserve"> suffice for national crises. However, </w:t>
            </w:r>
            <w:r w:rsidR="00DD3765" w:rsidRPr="00196F0B">
              <w:rPr>
                <w:noProof/>
                <w:color w:val="000000" w:themeColor="text1"/>
                <w:sz w:val="24"/>
                <w:szCs w:val="24"/>
              </w:rPr>
              <w:t xml:space="preserve">it </w:t>
            </w:r>
            <w:r w:rsidRPr="00196F0B">
              <w:rPr>
                <w:noProof/>
                <w:color w:val="000000" w:themeColor="text1"/>
                <w:sz w:val="24"/>
                <w:szCs w:val="24"/>
              </w:rPr>
              <w:t xml:space="preserve">will not be </w:t>
            </w:r>
            <w:r w:rsidR="00646584" w:rsidRPr="00196F0B">
              <w:rPr>
                <w:noProof/>
                <w:color w:val="000000" w:themeColor="text1"/>
                <w:sz w:val="24"/>
                <w:szCs w:val="24"/>
              </w:rPr>
              <w:t>optimal</w:t>
            </w:r>
            <w:r w:rsidRPr="00196F0B">
              <w:rPr>
                <w:noProof/>
                <w:color w:val="000000" w:themeColor="text1"/>
                <w:sz w:val="24"/>
                <w:szCs w:val="24"/>
              </w:rPr>
              <w:t xml:space="preserve"> when a crisis has a cross-border dimension – </w:t>
            </w:r>
            <w:r w:rsidR="00DD3765" w:rsidRPr="00196F0B">
              <w:rPr>
                <w:noProof/>
                <w:color w:val="000000" w:themeColor="text1"/>
                <w:sz w:val="24"/>
                <w:szCs w:val="24"/>
              </w:rPr>
              <w:t xml:space="preserve">and this </w:t>
            </w:r>
            <w:r w:rsidRPr="00196F0B">
              <w:rPr>
                <w:noProof/>
                <w:color w:val="000000" w:themeColor="text1"/>
                <w:sz w:val="24"/>
                <w:szCs w:val="24"/>
              </w:rPr>
              <w:t xml:space="preserve">is highly probable due to prevalence </w:t>
            </w:r>
            <w:r w:rsidR="00DD3765" w:rsidRPr="00196F0B">
              <w:rPr>
                <w:noProof/>
                <w:color w:val="000000" w:themeColor="text1"/>
                <w:sz w:val="24"/>
                <w:szCs w:val="24"/>
              </w:rPr>
              <w:t>of supply chains that span multiple countries in the s</w:t>
            </w:r>
            <w:r w:rsidR="00646584" w:rsidRPr="00196F0B">
              <w:rPr>
                <w:noProof/>
                <w:color w:val="000000" w:themeColor="text1"/>
                <w:sz w:val="24"/>
                <w:szCs w:val="24"/>
              </w:rPr>
              <w:t xml:space="preserve">ingle </w:t>
            </w:r>
            <w:r w:rsidR="00DD3765" w:rsidRPr="00196F0B">
              <w:rPr>
                <w:noProof/>
                <w:color w:val="000000" w:themeColor="text1"/>
                <w:sz w:val="24"/>
                <w:szCs w:val="24"/>
              </w:rPr>
              <w:t>m</w:t>
            </w:r>
            <w:r w:rsidR="00646584" w:rsidRPr="00196F0B">
              <w:rPr>
                <w:noProof/>
                <w:color w:val="000000" w:themeColor="text1"/>
                <w:sz w:val="24"/>
                <w:szCs w:val="24"/>
              </w:rPr>
              <w:t>arket</w:t>
            </w:r>
            <w:r w:rsidRPr="00196F0B">
              <w:rPr>
                <w:noProof/>
                <w:color w:val="000000" w:themeColor="text1"/>
                <w:sz w:val="24"/>
                <w:szCs w:val="24"/>
              </w:rPr>
              <w:t>.</w:t>
            </w:r>
          </w:p>
        </w:tc>
      </w:tr>
      <w:tr w:rsidR="00ED39C4" w:rsidRPr="00DF5467" w14:paraId="5781471D" w14:textId="77777777" w:rsidTr="00035755">
        <w:tc>
          <w:tcPr>
            <w:tcW w:w="9322" w:type="dxa"/>
            <w:tcBorders>
              <w:bottom w:val="single" w:sz="4" w:space="0" w:color="auto"/>
            </w:tcBorders>
            <w:shd w:val="clear" w:color="auto" w:fill="CCCCCC"/>
          </w:tcPr>
          <w:p w14:paraId="61F6E377" w14:textId="77777777" w:rsidR="00ED39C4" w:rsidRPr="00DF5467" w:rsidRDefault="00ED39C4" w:rsidP="00035755">
            <w:pPr>
              <w:spacing w:before="60" w:after="60"/>
              <w:jc w:val="center"/>
              <w:rPr>
                <w:b/>
                <w:noProof/>
                <w:sz w:val="24"/>
                <w:szCs w:val="24"/>
              </w:rPr>
            </w:pPr>
            <w:r w:rsidRPr="00DF5467">
              <w:rPr>
                <w:b/>
                <w:noProof/>
                <w:sz w:val="24"/>
                <w:szCs w:val="24"/>
              </w:rPr>
              <w:t>B. Solutions</w:t>
            </w:r>
          </w:p>
        </w:tc>
      </w:tr>
      <w:tr w:rsidR="00ED39C4" w:rsidRPr="00DF5467" w14:paraId="1C1124CB" w14:textId="77777777" w:rsidTr="00035755">
        <w:tc>
          <w:tcPr>
            <w:tcW w:w="9322" w:type="dxa"/>
            <w:tcBorders>
              <w:bottom w:val="single" w:sz="4" w:space="0" w:color="auto"/>
            </w:tcBorders>
            <w:shd w:val="clear" w:color="auto" w:fill="E6E6E6"/>
          </w:tcPr>
          <w:p w14:paraId="1591F92E" w14:textId="77777777" w:rsidR="00ED39C4" w:rsidRPr="00DF5467" w:rsidRDefault="00ED39C4" w:rsidP="00035755">
            <w:pPr>
              <w:spacing w:before="60"/>
              <w:jc w:val="both"/>
              <w:rPr>
                <w:noProof/>
                <w:sz w:val="24"/>
                <w:szCs w:val="24"/>
              </w:rPr>
            </w:pPr>
            <w:r w:rsidRPr="00DF5467">
              <w:rPr>
                <w:b/>
                <w:noProof/>
                <w:sz w:val="24"/>
                <w:szCs w:val="24"/>
              </w:rPr>
              <w:t>What legislative and non-legislative policy options have been considered? Is there a preferred choice or not? Why?</w:t>
            </w:r>
            <w:r w:rsidRPr="00DF5467">
              <w:rPr>
                <w:noProof/>
                <w:sz w:val="24"/>
                <w:szCs w:val="24"/>
              </w:rPr>
              <w:t xml:space="preserve"> </w:t>
            </w:r>
          </w:p>
        </w:tc>
      </w:tr>
      <w:tr w:rsidR="00ED39C4" w:rsidRPr="00DF5467" w14:paraId="15774AD8" w14:textId="77777777" w:rsidTr="00035755">
        <w:tc>
          <w:tcPr>
            <w:tcW w:w="9322" w:type="dxa"/>
            <w:tcBorders>
              <w:bottom w:val="single" w:sz="4" w:space="0" w:color="auto"/>
            </w:tcBorders>
            <w:shd w:val="clear" w:color="auto" w:fill="auto"/>
          </w:tcPr>
          <w:p w14:paraId="528AD7AA" w14:textId="14D45E57" w:rsidR="000A720D" w:rsidRPr="00DF5467" w:rsidRDefault="000A720D" w:rsidP="00196F0B">
            <w:pPr>
              <w:pStyle w:val="ListParagraph"/>
              <w:numPr>
                <w:ilvl w:val="0"/>
                <w:numId w:val="3"/>
              </w:numPr>
              <w:spacing w:before="120" w:after="120"/>
              <w:ind w:left="284" w:hanging="284"/>
              <w:contextualSpacing w:val="0"/>
              <w:jc w:val="both"/>
              <w:rPr>
                <w:b/>
                <w:noProof/>
                <w:sz w:val="24"/>
                <w:szCs w:val="24"/>
              </w:rPr>
            </w:pPr>
            <w:r w:rsidRPr="00DF5467">
              <w:rPr>
                <w:noProof/>
                <w:sz w:val="24"/>
                <w:szCs w:val="24"/>
              </w:rPr>
              <w:t xml:space="preserve">Option 0: </w:t>
            </w:r>
            <w:r w:rsidRPr="00DF5467">
              <w:rPr>
                <w:b/>
                <w:noProof/>
                <w:sz w:val="24"/>
                <w:szCs w:val="24"/>
              </w:rPr>
              <w:t>No policy change.</w:t>
            </w:r>
          </w:p>
          <w:p w14:paraId="0E90993A" w14:textId="61DDD091" w:rsidR="000A720D" w:rsidRPr="00DF5467" w:rsidRDefault="000A720D" w:rsidP="00196F0B">
            <w:pPr>
              <w:pStyle w:val="ListParagraph"/>
              <w:numPr>
                <w:ilvl w:val="0"/>
                <w:numId w:val="3"/>
              </w:numPr>
              <w:spacing w:after="120"/>
              <w:ind w:left="284" w:hanging="284"/>
              <w:contextualSpacing w:val="0"/>
              <w:jc w:val="both"/>
              <w:rPr>
                <w:noProof/>
                <w:sz w:val="24"/>
                <w:szCs w:val="24"/>
              </w:rPr>
            </w:pPr>
            <w:r w:rsidRPr="00DF5467">
              <w:rPr>
                <w:noProof/>
                <w:sz w:val="24"/>
                <w:szCs w:val="24"/>
              </w:rPr>
              <w:t xml:space="preserve">Option 1: </w:t>
            </w:r>
            <w:r w:rsidR="00A655D1" w:rsidRPr="00DF5467">
              <w:rPr>
                <w:rStyle w:val="normaltextrun"/>
                <w:b/>
                <w:bCs/>
                <w:noProof/>
                <w:sz w:val="24"/>
                <w:szCs w:val="24"/>
              </w:rPr>
              <w:t xml:space="preserve">Recommendation on </w:t>
            </w:r>
            <w:r w:rsidR="00DC40E1" w:rsidRPr="00DF5467">
              <w:rPr>
                <w:rStyle w:val="normaltextrun"/>
                <w:b/>
                <w:bCs/>
                <w:noProof/>
                <w:sz w:val="24"/>
                <w:szCs w:val="24"/>
              </w:rPr>
              <w:t>compulsory licensing</w:t>
            </w:r>
            <w:r w:rsidR="00A655D1" w:rsidRPr="00DF5467">
              <w:rPr>
                <w:rStyle w:val="normaltextrun"/>
                <w:b/>
                <w:bCs/>
                <w:noProof/>
                <w:sz w:val="24"/>
                <w:szCs w:val="24"/>
              </w:rPr>
              <w:t xml:space="preserve"> for crisis management</w:t>
            </w:r>
            <w:r w:rsidR="00DD3765" w:rsidRPr="00DF5467">
              <w:rPr>
                <w:rStyle w:val="normaltextrun"/>
                <w:bCs/>
                <w:noProof/>
                <w:sz w:val="24"/>
                <w:szCs w:val="24"/>
              </w:rPr>
              <w:t>.</w:t>
            </w:r>
            <w:r w:rsidR="00A655D1" w:rsidRPr="00DF5467">
              <w:rPr>
                <w:noProof/>
                <w:sz w:val="24"/>
                <w:szCs w:val="24"/>
              </w:rPr>
              <w:t xml:space="preserve"> </w:t>
            </w:r>
            <w:r w:rsidR="00DD3765" w:rsidRPr="00DF5467">
              <w:rPr>
                <w:noProof/>
                <w:sz w:val="24"/>
                <w:szCs w:val="24"/>
              </w:rPr>
              <w:t>This</w:t>
            </w:r>
            <w:r w:rsidR="00A655D1" w:rsidRPr="00DF5467">
              <w:rPr>
                <w:rStyle w:val="normaltextrun"/>
                <w:noProof/>
                <w:sz w:val="24"/>
                <w:szCs w:val="24"/>
              </w:rPr>
              <w:t xml:space="preserve"> would identify </w:t>
            </w:r>
            <w:r w:rsidR="00DD3765" w:rsidRPr="00DF5467">
              <w:rPr>
                <w:rStyle w:val="normaltextrun"/>
                <w:noProof/>
                <w:sz w:val="24"/>
                <w:szCs w:val="24"/>
              </w:rPr>
              <w:t>(</w:t>
            </w:r>
            <w:r w:rsidR="00DD3765" w:rsidRPr="00196F0B">
              <w:rPr>
                <w:rStyle w:val="normaltextrun"/>
                <w:noProof/>
                <w:sz w:val="24"/>
                <w:szCs w:val="24"/>
              </w:rPr>
              <w:t xml:space="preserve">i) </w:t>
            </w:r>
            <w:r w:rsidR="00A655D1" w:rsidRPr="00DF5467">
              <w:rPr>
                <w:rStyle w:val="normaltextrun"/>
                <w:noProof/>
                <w:sz w:val="24"/>
                <w:szCs w:val="24"/>
              </w:rPr>
              <w:t xml:space="preserve">good national practices </w:t>
            </w:r>
            <w:r w:rsidR="00DD3765" w:rsidRPr="00DF5467">
              <w:rPr>
                <w:rStyle w:val="normaltextrun"/>
                <w:noProof/>
                <w:sz w:val="24"/>
                <w:szCs w:val="24"/>
              </w:rPr>
              <w:t>f</w:t>
            </w:r>
            <w:r w:rsidR="00DD3765" w:rsidRPr="00196F0B">
              <w:rPr>
                <w:rStyle w:val="normaltextrun"/>
                <w:noProof/>
                <w:sz w:val="24"/>
                <w:szCs w:val="24"/>
              </w:rPr>
              <w:t xml:space="preserve">or </w:t>
            </w:r>
            <w:r w:rsidR="00DC40E1" w:rsidRPr="00DF5467">
              <w:rPr>
                <w:rStyle w:val="normaltextrun"/>
                <w:noProof/>
                <w:sz w:val="24"/>
                <w:szCs w:val="24"/>
              </w:rPr>
              <w:t>compulsory licensing</w:t>
            </w:r>
            <w:r w:rsidR="00A655D1" w:rsidRPr="00DF5467">
              <w:rPr>
                <w:rStyle w:val="normaltextrun"/>
                <w:noProof/>
                <w:sz w:val="24"/>
                <w:szCs w:val="24"/>
              </w:rPr>
              <w:t xml:space="preserve"> </w:t>
            </w:r>
            <w:r w:rsidR="00DD3765" w:rsidRPr="00DF5467">
              <w:rPr>
                <w:rStyle w:val="normaltextrun"/>
                <w:noProof/>
                <w:sz w:val="24"/>
                <w:szCs w:val="24"/>
              </w:rPr>
              <w:t>a</w:t>
            </w:r>
            <w:r w:rsidR="00DD3765" w:rsidRPr="00196F0B">
              <w:rPr>
                <w:rStyle w:val="normaltextrun"/>
                <w:noProof/>
                <w:sz w:val="24"/>
                <w:szCs w:val="24"/>
              </w:rPr>
              <w:t xml:space="preserve">s part of </w:t>
            </w:r>
            <w:r w:rsidR="00A655D1" w:rsidRPr="00DF5467">
              <w:rPr>
                <w:rStyle w:val="normaltextrun"/>
                <w:noProof/>
                <w:sz w:val="24"/>
                <w:szCs w:val="24"/>
              </w:rPr>
              <w:t xml:space="preserve">crisis management and </w:t>
            </w:r>
            <w:r w:rsidR="00DD3765" w:rsidRPr="00DF5467">
              <w:rPr>
                <w:rStyle w:val="normaltextrun"/>
                <w:noProof/>
                <w:sz w:val="24"/>
                <w:szCs w:val="24"/>
              </w:rPr>
              <w:t>(</w:t>
            </w:r>
            <w:r w:rsidR="00DD3765" w:rsidRPr="00196F0B">
              <w:rPr>
                <w:rStyle w:val="normaltextrun"/>
                <w:noProof/>
                <w:sz w:val="24"/>
                <w:szCs w:val="24"/>
              </w:rPr>
              <w:t xml:space="preserve">ii) </w:t>
            </w:r>
            <w:r w:rsidR="00A655D1" w:rsidRPr="00DF5467">
              <w:rPr>
                <w:rStyle w:val="normaltextrun"/>
                <w:noProof/>
                <w:sz w:val="24"/>
                <w:szCs w:val="24"/>
              </w:rPr>
              <w:t>good coordination practices</w:t>
            </w:r>
            <w:r w:rsidR="00DD3765" w:rsidRPr="00DF5467">
              <w:rPr>
                <w:rStyle w:val="normaltextrun"/>
                <w:noProof/>
                <w:sz w:val="24"/>
                <w:szCs w:val="24"/>
              </w:rPr>
              <w:t>,</w:t>
            </w:r>
            <w:r w:rsidR="00A655D1" w:rsidRPr="00DF5467">
              <w:rPr>
                <w:rStyle w:val="normaltextrun"/>
                <w:noProof/>
                <w:sz w:val="24"/>
                <w:szCs w:val="24"/>
              </w:rPr>
              <w:t xml:space="preserve"> with a view to </w:t>
            </w:r>
            <w:r w:rsidR="00DD3765" w:rsidRPr="00DF5467">
              <w:rPr>
                <w:rStyle w:val="normaltextrun"/>
                <w:noProof/>
                <w:sz w:val="24"/>
                <w:szCs w:val="24"/>
              </w:rPr>
              <w:t xml:space="preserve">encourage </w:t>
            </w:r>
            <w:r w:rsidR="00A655D1" w:rsidRPr="00DF5467">
              <w:rPr>
                <w:rStyle w:val="normaltextrun"/>
                <w:noProof/>
                <w:sz w:val="24"/>
                <w:szCs w:val="24"/>
              </w:rPr>
              <w:t>their u</w:t>
            </w:r>
            <w:r w:rsidR="00DD3765" w:rsidRPr="00DF5467">
              <w:rPr>
                <w:rStyle w:val="normaltextrun"/>
                <w:noProof/>
                <w:sz w:val="24"/>
                <w:szCs w:val="24"/>
              </w:rPr>
              <w:t>se</w:t>
            </w:r>
            <w:r w:rsidR="00A655D1" w:rsidRPr="00DF5467">
              <w:rPr>
                <w:rStyle w:val="normaltextrun"/>
                <w:noProof/>
                <w:sz w:val="24"/>
                <w:szCs w:val="24"/>
              </w:rPr>
              <w:t xml:space="preserve"> in </w:t>
            </w:r>
            <w:r w:rsidR="00DD3765" w:rsidRPr="00DF5467">
              <w:rPr>
                <w:rStyle w:val="normaltextrun"/>
                <w:noProof/>
                <w:sz w:val="24"/>
                <w:szCs w:val="24"/>
              </w:rPr>
              <w:t>all EU countries</w:t>
            </w:r>
            <w:r w:rsidR="00A655D1" w:rsidRPr="00DF5467">
              <w:rPr>
                <w:rStyle w:val="normaltextrun"/>
                <w:noProof/>
                <w:sz w:val="24"/>
                <w:szCs w:val="24"/>
              </w:rPr>
              <w:t>.</w:t>
            </w:r>
          </w:p>
          <w:p w14:paraId="43B773E4" w14:textId="0CA34824" w:rsidR="000A720D" w:rsidRPr="00DF5467" w:rsidRDefault="00445A91" w:rsidP="00196F0B">
            <w:pPr>
              <w:pStyle w:val="ListParagraph"/>
              <w:numPr>
                <w:ilvl w:val="0"/>
                <w:numId w:val="3"/>
              </w:numPr>
              <w:spacing w:after="120"/>
              <w:ind w:left="284" w:hanging="284"/>
              <w:contextualSpacing w:val="0"/>
              <w:jc w:val="both"/>
              <w:rPr>
                <w:noProof/>
                <w:sz w:val="24"/>
                <w:szCs w:val="24"/>
              </w:rPr>
            </w:pPr>
            <w:r w:rsidRPr="00DF5467">
              <w:rPr>
                <w:noProof/>
                <w:sz w:val="24"/>
                <w:szCs w:val="24"/>
              </w:rPr>
              <w:t xml:space="preserve">Option 2: </w:t>
            </w:r>
            <w:r w:rsidR="00A655D1" w:rsidRPr="00DF5467">
              <w:rPr>
                <w:rStyle w:val="normaltextrun"/>
                <w:b/>
                <w:bCs/>
                <w:noProof/>
                <w:sz w:val="24"/>
                <w:szCs w:val="24"/>
              </w:rPr>
              <w:t xml:space="preserve">Harmonisation of national laws on </w:t>
            </w:r>
            <w:r w:rsidR="00DC40E1" w:rsidRPr="00DF5467">
              <w:rPr>
                <w:rStyle w:val="normaltextrun"/>
                <w:b/>
                <w:bCs/>
                <w:noProof/>
                <w:sz w:val="24"/>
                <w:szCs w:val="24"/>
              </w:rPr>
              <w:t>compulsory licensing</w:t>
            </w:r>
            <w:r w:rsidR="00A655D1" w:rsidRPr="00DF5467">
              <w:rPr>
                <w:rStyle w:val="normaltextrun"/>
                <w:b/>
                <w:bCs/>
                <w:noProof/>
                <w:sz w:val="24"/>
                <w:szCs w:val="24"/>
              </w:rPr>
              <w:t xml:space="preserve"> for crisis management</w:t>
            </w:r>
            <w:r w:rsidR="00DD3765" w:rsidRPr="00DF5467">
              <w:rPr>
                <w:rStyle w:val="normaltextrun"/>
                <w:noProof/>
                <w:sz w:val="24"/>
                <w:szCs w:val="24"/>
              </w:rPr>
              <w:t>.</w:t>
            </w:r>
            <w:r w:rsidRPr="00DF5467">
              <w:rPr>
                <w:noProof/>
                <w:sz w:val="24"/>
                <w:szCs w:val="24"/>
              </w:rPr>
              <w:t xml:space="preserve"> </w:t>
            </w:r>
            <w:r w:rsidR="00DD3765" w:rsidRPr="00DF5467">
              <w:rPr>
                <w:noProof/>
                <w:sz w:val="24"/>
                <w:szCs w:val="24"/>
              </w:rPr>
              <w:t>T</w:t>
            </w:r>
            <w:r w:rsidR="00A655D1" w:rsidRPr="00DF5467">
              <w:rPr>
                <w:noProof/>
                <w:sz w:val="24"/>
                <w:szCs w:val="24"/>
              </w:rPr>
              <w:t xml:space="preserve">he </w:t>
            </w:r>
            <w:r w:rsidR="00A655D1" w:rsidRPr="00DF5467">
              <w:rPr>
                <w:rStyle w:val="normaltextrun"/>
                <w:noProof/>
                <w:sz w:val="24"/>
                <w:szCs w:val="24"/>
              </w:rPr>
              <w:t xml:space="preserve">legislative initiative would </w:t>
            </w:r>
            <w:r w:rsidR="00DD3765" w:rsidRPr="00DF5467">
              <w:rPr>
                <w:rStyle w:val="normaltextrun"/>
                <w:noProof/>
                <w:sz w:val="24"/>
                <w:szCs w:val="24"/>
              </w:rPr>
              <w:t>align</w:t>
            </w:r>
            <w:r w:rsidR="00A655D1" w:rsidRPr="00DF5467">
              <w:rPr>
                <w:rStyle w:val="normaltextrun"/>
                <w:noProof/>
                <w:sz w:val="24"/>
                <w:szCs w:val="24"/>
              </w:rPr>
              <w:t xml:space="preserve"> national laws as regards the ground</w:t>
            </w:r>
            <w:r w:rsidR="00DD3765" w:rsidRPr="00DF5467">
              <w:rPr>
                <w:rStyle w:val="normaltextrun"/>
                <w:noProof/>
                <w:sz w:val="24"/>
                <w:szCs w:val="24"/>
              </w:rPr>
              <w:t>s</w:t>
            </w:r>
            <w:r w:rsidR="00A655D1" w:rsidRPr="00DF5467">
              <w:rPr>
                <w:rStyle w:val="normaltextrun"/>
                <w:noProof/>
                <w:sz w:val="24"/>
                <w:szCs w:val="24"/>
              </w:rPr>
              <w:t xml:space="preserve">, scope, procedure, and conditions for granting a </w:t>
            </w:r>
            <w:r w:rsidR="00DC40E1" w:rsidRPr="00DF5467">
              <w:rPr>
                <w:rStyle w:val="normaltextrun"/>
                <w:noProof/>
                <w:sz w:val="24"/>
                <w:szCs w:val="24"/>
              </w:rPr>
              <w:t>compulsory licen</w:t>
            </w:r>
            <w:r w:rsidR="00DD3765" w:rsidRPr="00DF5467">
              <w:rPr>
                <w:rStyle w:val="normaltextrun"/>
                <w:noProof/>
                <w:sz w:val="24"/>
                <w:szCs w:val="24"/>
              </w:rPr>
              <w:t>ce</w:t>
            </w:r>
            <w:r w:rsidR="00A655D1" w:rsidRPr="00DF5467">
              <w:rPr>
                <w:rStyle w:val="normaltextrun"/>
                <w:noProof/>
                <w:sz w:val="24"/>
                <w:szCs w:val="24"/>
              </w:rPr>
              <w:t xml:space="preserve"> for crisis management.</w:t>
            </w:r>
            <w:r w:rsidR="00A80447" w:rsidRPr="00DF5467">
              <w:rPr>
                <w:rStyle w:val="normaltextrun"/>
                <w:noProof/>
                <w:sz w:val="24"/>
                <w:szCs w:val="24"/>
              </w:rPr>
              <w:t xml:space="preserve"> The </w:t>
            </w:r>
            <w:r w:rsidR="00DC40E1" w:rsidRPr="00DF5467">
              <w:rPr>
                <w:rStyle w:val="normaltextrun"/>
                <w:noProof/>
                <w:sz w:val="24"/>
                <w:szCs w:val="24"/>
              </w:rPr>
              <w:t>compulsory licensing</w:t>
            </w:r>
            <w:r w:rsidR="00A80447" w:rsidRPr="00DF5467">
              <w:rPr>
                <w:rStyle w:val="normaltextrun"/>
                <w:noProof/>
                <w:sz w:val="24"/>
                <w:szCs w:val="24"/>
              </w:rPr>
              <w:t xml:space="preserve"> would remain in the remit of </w:t>
            </w:r>
            <w:r w:rsidR="00DD3765" w:rsidRPr="00DF5467">
              <w:rPr>
                <w:rStyle w:val="normaltextrun"/>
                <w:noProof/>
                <w:sz w:val="24"/>
                <w:szCs w:val="24"/>
              </w:rPr>
              <w:t xml:space="preserve">the EU country </w:t>
            </w:r>
            <w:r w:rsidR="00A80447" w:rsidRPr="00DF5467">
              <w:rPr>
                <w:rStyle w:val="normaltextrun"/>
                <w:noProof/>
                <w:sz w:val="24"/>
                <w:szCs w:val="24"/>
              </w:rPr>
              <w:t xml:space="preserve">and have </w:t>
            </w:r>
            <w:r w:rsidR="00DD3765" w:rsidRPr="00DF5467">
              <w:rPr>
                <w:rStyle w:val="normaltextrun"/>
                <w:noProof/>
                <w:sz w:val="24"/>
                <w:szCs w:val="24"/>
              </w:rPr>
              <w:t xml:space="preserve">a </w:t>
            </w:r>
            <w:r w:rsidR="00A80447" w:rsidRPr="00DF5467">
              <w:rPr>
                <w:rStyle w:val="normaltextrun"/>
                <w:noProof/>
                <w:sz w:val="24"/>
                <w:szCs w:val="24"/>
              </w:rPr>
              <w:t>predominantly national effect.</w:t>
            </w:r>
          </w:p>
          <w:p w14:paraId="55826B71" w14:textId="2E465518" w:rsidR="00445A91" w:rsidRPr="00DF5467" w:rsidRDefault="00445A91" w:rsidP="00B77299">
            <w:pPr>
              <w:pStyle w:val="ListParagraph"/>
              <w:numPr>
                <w:ilvl w:val="0"/>
                <w:numId w:val="3"/>
              </w:numPr>
              <w:spacing w:after="120"/>
              <w:ind w:left="284"/>
              <w:contextualSpacing w:val="0"/>
              <w:rPr>
                <w:noProof/>
                <w:sz w:val="24"/>
                <w:szCs w:val="24"/>
              </w:rPr>
            </w:pPr>
            <w:r w:rsidRPr="00DF5467">
              <w:rPr>
                <w:noProof/>
                <w:sz w:val="24"/>
                <w:szCs w:val="24"/>
              </w:rPr>
              <w:t>Option 3</w:t>
            </w:r>
            <w:r w:rsidRPr="00B77299">
              <w:rPr>
                <w:rStyle w:val="normaltextrun"/>
                <w:b/>
                <w:bCs/>
                <w:noProof/>
                <w:sz w:val="22"/>
                <w:szCs w:val="22"/>
              </w:rPr>
              <w:t xml:space="preserve">: </w:t>
            </w:r>
            <w:r w:rsidR="00A655D1" w:rsidRPr="00DF5467">
              <w:rPr>
                <w:rStyle w:val="normaltextrun"/>
                <w:b/>
                <w:bCs/>
                <w:noProof/>
                <w:sz w:val="24"/>
                <w:szCs w:val="24"/>
              </w:rPr>
              <w:t xml:space="preserve">Harmonisation </w:t>
            </w:r>
            <w:r w:rsidR="00025C17" w:rsidRPr="00DF5467">
              <w:rPr>
                <w:rStyle w:val="normaltextrun"/>
                <w:b/>
                <w:bCs/>
                <w:noProof/>
                <w:sz w:val="24"/>
                <w:szCs w:val="24"/>
              </w:rPr>
              <w:t>p</w:t>
            </w:r>
            <w:r w:rsidR="00025C17" w:rsidRPr="00196F0B">
              <w:rPr>
                <w:rStyle w:val="normaltextrun"/>
                <w:b/>
                <w:bCs/>
                <w:noProof/>
                <w:sz w:val="24"/>
                <w:szCs w:val="24"/>
              </w:rPr>
              <w:t xml:space="preserve">lus a binding </w:t>
            </w:r>
            <w:r w:rsidR="00A655D1" w:rsidRPr="00DF5467">
              <w:rPr>
                <w:rStyle w:val="normaltextrun"/>
                <w:b/>
                <w:bCs/>
                <w:noProof/>
                <w:sz w:val="24"/>
                <w:szCs w:val="24"/>
              </w:rPr>
              <w:t>EU</w:t>
            </w:r>
            <w:r w:rsidR="00DD3765" w:rsidRPr="00DF5467">
              <w:rPr>
                <w:rStyle w:val="normaltextrun"/>
                <w:b/>
                <w:bCs/>
                <w:noProof/>
                <w:sz w:val="24"/>
                <w:szCs w:val="24"/>
              </w:rPr>
              <w:t>-</w:t>
            </w:r>
            <w:r w:rsidR="00A655D1" w:rsidRPr="00DF5467">
              <w:rPr>
                <w:rStyle w:val="normaltextrun"/>
                <w:b/>
                <w:bCs/>
                <w:noProof/>
                <w:sz w:val="24"/>
                <w:szCs w:val="24"/>
              </w:rPr>
              <w:t xml:space="preserve">level measure </w:t>
            </w:r>
            <w:r w:rsidR="00E42F71">
              <w:rPr>
                <w:rStyle w:val="normaltextrun"/>
                <w:b/>
                <w:bCs/>
                <w:noProof/>
                <w:sz w:val="24"/>
                <w:szCs w:val="24"/>
              </w:rPr>
              <w:t>on</w:t>
            </w:r>
            <w:r w:rsidR="00A655D1" w:rsidRPr="00DF5467">
              <w:rPr>
                <w:rStyle w:val="normaltextrun"/>
                <w:b/>
                <w:bCs/>
                <w:noProof/>
                <w:sz w:val="24"/>
                <w:szCs w:val="24"/>
              </w:rPr>
              <w:t xml:space="preserve"> </w:t>
            </w:r>
            <w:r w:rsidR="00DC40E1" w:rsidRPr="00DF5467">
              <w:rPr>
                <w:rStyle w:val="normaltextrun"/>
                <w:b/>
                <w:bCs/>
                <w:noProof/>
                <w:sz w:val="24"/>
                <w:szCs w:val="24"/>
              </w:rPr>
              <w:t>compulsory licensing</w:t>
            </w:r>
            <w:r w:rsidR="00A655D1" w:rsidRPr="00DF5467">
              <w:rPr>
                <w:rStyle w:val="eop"/>
                <w:b/>
                <w:bCs/>
                <w:noProof/>
                <w:sz w:val="24"/>
                <w:szCs w:val="24"/>
              </w:rPr>
              <w:t> for crisis management</w:t>
            </w:r>
            <w:r w:rsidR="00DD3765" w:rsidRPr="00DF5467">
              <w:rPr>
                <w:noProof/>
                <w:sz w:val="24"/>
                <w:szCs w:val="24"/>
              </w:rPr>
              <w:t>.</w:t>
            </w:r>
            <w:r w:rsidR="00A655D1" w:rsidRPr="00DF5467">
              <w:rPr>
                <w:noProof/>
                <w:sz w:val="24"/>
                <w:szCs w:val="24"/>
              </w:rPr>
              <w:t xml:space="preserve"> </w:t>
            </w:r>
            <w:r w:rsidR="00DD3765" w:rsidRPr="00DF5467">
              <w:rPr>
                <w:noProof/>
                <w:sz w:val="24"/>
                <w:szCs w:val="24"/>
              </w:rPr>
              <w:t>C</w:t>
            </w:r>
            <w:r w:rsidR="00DC40E1" w:rsidRPr="00DF5467">
              <w:rPr>
                <w:rStyle w:val="normaltextrun"/>
                <w:noProof/>
                <w:sz w:val="24"/>
                <w:szCs w:val="24"/>
              </w:rPr>
              <w:t>ompulsory licensing</w:t>
            </w:r>
            <w:r w:rsidR="00A655D1" w:rsidRPr="00DF5467">
              <w:rPr>
                <w:rStyle w:val="normaltextrun"/>
                <w:noProof/>
                <w:sz w:val="24"/>
                <w:szCs w:val="24"/>
              </w:rPr>
              <w:t xml:space="preserve"> could be triggered: </w:t>
            </w:r>
            <w:r w:rsidR="00DD3765" w:rsidRPr="00DF5467">
              <w:rPr>
                <w:rStyle w:val="normaltextrun"/>
                <w:noProof/>
                <w:sz w:val="24"/>
                <w:szCs w:val="24"/>
              </w:rPr>
              <w:br/>
            </w:r>
            <w:r w:rsidR="00DD3765" w:rsidRPr="00DF5467">
              <w:rPr>
                <w:rStyle w:val="normaltextrun"/>
                <w:noProof/>
                <w:sz w:val="24"/>
                <w:szCs w:val="24"/>
              </w:rPr>
              <w:br/>
            </w:r>
            <w:r w:rsidR="00A655D1" w:rsidRPr="00DF5467">
              <w:rPr>
                <w:rStyle w:val="normaltextrun"/>
                <w:noProof/>
                <w:sz w:val="24"/>
                <w:szCs w:val="24"/>
              </w:rPr>
              <w:t xml:space="preserve">(i) by </w:t>
            </w:r>
            <w:r w:rsidR="00A655D1" w:rsidRPr="00DF5467">
              <w:rPr>
                <w:noProof/>
                <w:sz w:val="24"/>
                <w:szCs w:val="24"/>
              </w:rPr>
              <w:t xml:space="preserve">an EU-level decision activating crisis mode or declaring an emergency under an existing EU crisis instrument (e.g. activation of the emergency mode under </w:t>
            </w:r>
            <w:r w:rsidR="00D66065" w:rsidRPr="00DF5467">
              <w:rPr>
                <w:noProof/>
                <w:sz w:val="24"/>
                <w:szCs w:val="24"/>
              </w:rPr>
              <w:t>t</w:t>
            </w:r>
            <w:r w:rsidR="00D66065" w:rsidRPr="00196F0B">
              <w:rPr>
                <w:noProof/>
                <w:sz w:val="24"/>
                <w:szCs w:val="24"/>
              </w:rPr>
              <w:t xml:space="preserve">he </w:t>
            </w:r>
            <w:r w:rsidR="00A655D1" w:rsidRPr="00DF5467">
              <w:rPr>
                <w:noProof/>
                <w:sz w:val="24"/>
                <w:szCs w:val="24"/>
              </w:rPr>
              <w:t>S</w:t>
            </w:r>
            <w:r w:rsidR="00D66065" w:rsidRPr="00DF5467">
              <w:rPr>
                <w:noProof/>
                <w:sz w:val="24"/>
                <w:szCs w:val="24"/>
              </w:rPr>
              <w:t>i</w:t>
            </w:r>
            <w:r w:rsidR="00D66065" w:rsidRPr="00196F0B">
              <w:rPr>
                <w:noProof/>
                <w:sz w:val="24"/>
                <w:szCs w:val="24"/>
              </w:rPr>
              <w:t xml:space="preserve">ngle </w:t>
            </w:r>
            <w:r w:rsidR="00A655D1" w:rsidRPr="00DF5467">
              <w:rPr>
                <w:noProof/>
                <w:sz w:val="24"/>
                <w:szCs w:val="24"/>
              </w:rPr>
              <w:t>M</w:t>
            </w:r>
            <w:r w:rsidR="00D66065" w:rsidRPr="00DF5467">
              <w:rPr>
                <w:noProof/>
                <w:sz w:val="24"/>
                <w:szCs w:val="24"/>
              </w:rPr>
              <w:t>a</w:t>
            </w:r>
            <w:r w:rsidR="00D66065" w:rsidRPr="00196F0B">
              <w:rPr>
                <w:noProof/>
                <w:sz w:val="24"/>
                <w:szCs w:val="24"/>
              </w:rPr>
              <w:t xml:space="preserve">rket </w:t>
            </w:r>
            <w:r w:rsidR="00A655D1" w:rsidRPr="00DF5467">
              <w:rPr>
                <w:noProof/>
                <w:sz w:val="24"/>
                <w:szCs w:val="24"/>
              </w:rPr>
              <w:t>E</w:t>
            </w:r>
            <w:r w:rsidR="00D66065" w:rsidRPr="00DF5467">
              <w:rPr>
                <w:noProof/>
                <w:sz w:val="24"/>
                <w:szCs w:val="24"/>
              </w:rPr>
              <w:t xml:space="preserve">mergency </w:t>
            </w:r>
            <w:r w:rsidR="00A655D1" w:rsidRPr="00DF5467">
              <w:rPr>
                <w:noProof/>
                <w:sz w:val="24"/>
                <w:szCs w:val="24"/>
              </w:rPr>
              <w:t>I</w:t>
            </w:r>
            <w:r w:rsidR="00D66065" w:rsidRPr="00DF5467">
              <w:rPr>
                <w:noProof/>
                <w:sz w:val="24"/>
                <w:szCs w:val="24"/>
              </w:rPr>
              <w:t>nstrument</w:t>
            </w:r>
            <w:r w:rsidR="008F168E" w:rsidRPr="00DF5467">
              <w:rPr>
                <w:noProof/>
                <w:sz w:val="24"/>
                <w:szCs w:val="24"/>
              </w:rPr>
              <w:t xml:space="preserve"> (SMEI)</w:t>
            </w:r>
            <w:r w:rsidR="00A655D1" w:rsidRPr="00DF5467">
              <w:rPr>
                <w:noProof/>
                <w:sz w:val="24"/>
                <w:szCs w:val="24"/>
              </w:rPr>
              <w:t>)</w:t>
            </w:r>
            <w:r w:rsidR="00DD3765" w:rsidRPr="00DF5467">
              <w:rPr>
                <w:noProof/>
                <w:sz w:val="24"/>
                <w:szCs w:val="24"/>
              </w:rPr>
              <w:br/>
            </w:r>
            <w:r w:rsidR="00DD3765" w:rsidRPr="00196F0B">
              <w:rPr>
                <w:noProof/>
                <w:sz w:val="24"/>
                <w:szCs w:val="24"/>
              </w:rPr>
              <w:br/>
            </w:r>
            <w:r w:rsidR="00A655D1" w:rsidRPr="00DF5467">
              <w:rPr>
                <w:noProof/>
                <w:sz w:val="24"/>
                <w:szCs w:val="24"/>
              </w:rPr>
              <w:t xml:space="preserve">(ii) on a request made to the Commission by more than one </w:t>
            </w:r>
            <w:r w:rsidR="00025C17" w:rsidRPr="00DF5467">
              <w:rPr>
                <w:noProof/>
                <w:sz w:val="24"/>
                <w:szCs w:val="24"/>
              </w:rPr>
              <w:t xml:space="preserve">EU country, </w:t>
            </w:r>
            <w:r w:rsidR="00A655D1" w:rsidRPr="00DF5467">
              <w:rPr>
                <w:noProof/>
                <w:sz w:val="24"/>
                <w:szCs w:val="24"/>
              </w:rPr>
              <w:t xml:space="preserve">in </w:t>
            </w:r>
            <w:r w:rsidR="00025C17" w:rsidRPr="00DF5467">
              <w:rPr>
                <w:noProof/>
                <w:sz w:val="24"/>
                <w:szCs w:val="24"/>
              </w:rPr>
              <w:t xml:space="preserve">the event </w:t>
            </w:r>
            <w:r w:rsidR="00A655D1" w:rsidRPr="00DF5467">
              <w:rPr>
                <w:noProof/>
                <w:sz w:val="24"/>
                <w:szCs w:val="24"/>
              </w:rPr>
              <w:t>of a crisis</w:t>
            </w:r>
            <w:r w:rsidR="00025C17" w:rsidRPr="00DF5467">
              <w:rPr>
                <w:noProof/>
                <w:sz w:val="24"/>
                <w:szCs w:val="24"/>
              </w:rPr>
              <w:t xml:space="preserve"> affecting multiple countries</w:t>
            </w:r>
            <w:r w:rsidR="00A655D1" w:rsidRPr="00DF5467">
              <w:rPr>
                <w:noProof/>
                <w:sz w:val="24"/>
                <w:szCs w:val="24"/>
              </w:rPr>
              <w:t>.</w:t>
            </w:r>
            <w:r w:rsidR="00A80447" w:rsidRPr="00DF5467">
              <w:rPr>
                <w:noProof/>
                <w:sz w:val="24"/>
                <w:szCs w:val="24"/>
              </w:rPr>
              <w:t xml:space="preserve"> The Commission, </w:t>
            </w:r>
            <w:bookmarkStart w:id="4" w:name="_Hlk123809315"/>
            <w:r w:rsidR="00A075DE" w:rsidRPr="00DF5467">
              <w:rPr>
                <w:noProof/>
                <w:sz w:val="24"/>
                <w:szCs w:val="24"/>
              </w:rPr>
              <w:t>assisted by</w:t>
            </w:r>
            <w:r w:rsidR="00A80447" w:rsidRPr="00DF5467">
              <w:rPr>
                <w:noProof/>
                <w:sz w:val="24"/>
                <w:szCs w:val="24"/>
              </w:rPr>
              <w:t xml:space="preserve"> the relevant advisory body</w:t>
            </w:r>
            <w:r w:rsidR="00025C17" w:rsidRPr="00DF5467">
              <w:rPr>
                <w:noProof/>
                <w:sz w:val="24"/>
                <w:szCs w:val="24"/>
              </w:rPr>
              <w:t>,</w:t>
            </w:r>
            <w:r w:rsidR="00A80447" w:rsidRPr="00DF5467">
              <w:rPr>
                <w:noProof/>
                <w:sz w:val="24"/>
                <w:szCs w:val="24"/>
              </w:rPr>
              <w:t xml:space="preserve"> </w:t>
            </w:r>
            <w:bookmarkEnd w:id="4"/>
            <w:r w:rsidR="00A80447" w:rsidRPr="00DF5467">
              <w:rPr>
                <w:noProof/>
                <w:sz w:val="24"/>
                <w:szCs w:val="24"/>
              </w:rPr>
              <w:t xml:space="preserve">would adopt an activation measure requiring one or </w:t>
            </w:r>
            <w:r w:rsidR="00025C17" w:rsidRPr="00DF5467">
              <w:rPr>
                <w:noProof/>
                <w:sz w:val="24"/>
                <w:szCs w:val="24"/>
              </w:rPr>
              <w:t xml:space="preserve">more EU countries </w:t>
            </w:r>
            <w:r w:rsidR="00A80447" w:rsidRPr="00DF5467">
              <w:rPr>
                <w:noProof/>
                <w:sz w:val="24"/>
                <w:szCs w:val="24"/>
              </w:rPr>
              <w:t xml:space="preserve">to issue a </w:t>
            </w:r>
            <w:r w:rsidR="00DC40E1" w:rsidRPr="00DF5467">
              <w:rPr>
                <w:noProof/>
                <w:sz w:val="24"/>
                <w:szCs w:val="24"/>
              </w:rPr>
              <w:t>compulsory licen</w:t>
            </w:r>
            <w:r w:rsidR="00025C17" w:rsidRPr="00DF5467">
              <w:rPr>
                <w:noProof/>
                <w:sz w:val="24"/>
                <w:szCs w:val="24"/>
              </w:rPr>
              <w:t>ce</w:t>
            </w:r>
            <w:r w:rsidR="00A80447" w:rsidRPr="00DF5467">
              <w:rPr>
                <w:noProof/>
                <w:sz w:val="24"/>
                <w:szCs w:val="24"/>
              </w:rPr>
              <w:t xml:space="preserve">. </w:t>
            </w:r>
            <w:r w:rsidR="00025C17" w:rsidRPr="00DF5467">
              <w:rPr>
                <w:rStyle w:val="normaltextrun"/>
                <w:noProof/>
                <w:sz w:val="24"/>
                <w:szCs w:val="24"/>
              </w:rPr>
              <w:t>T</w:t>
            </w:r>
            <w:r w:rsidR="00025C17" w:rsidRPr="00196F0B">
              <w:rPr>
                <w:rStyle w:val="normaltextrun"/>
                <w:noProof/>
                <w:sz w:val="24"/>
                <w:szCs w:val="24"/>
              </w:rPr>
              <w:t>his option</w:t>
            </w:r>
            <w:r w:rsidR="00A80447" w:rsidRPr="00DF5467">
              <w:rPr>
                <w:rStyle w:val="normaltextrun"/>
                <w:noProof/>
                <w:sz w:val="24"/>
                <w:szCs w:val="24"/>
              </w:rPr>
              <w:t xml:space="preserve"> would lead to several national</w:t>
            </w:r>
            <w:r w:rsidR="00B21751" w:rsidRPr="00DF5467">
              <w:rPr>
                <w:rStyle w:val="normaltextrun"/>
                <w:noProof/>
                <w:sz w:val="24"/>
                <w:szCs w:val="24"/>
              </w:rPr>
              <w:t xml:space="preserve"> </w:t>
            </w:r>
            <w:r w:rsidR="00DC40E1" w:rsidRPr="00DF5467">
              <w:rPr>
                <w:rStyle w:val="normaltextrun"/>
                <w:noProof/>
                <w:sz w:val="24"/>
                <w:szCs w:val="24"/>
              </w:rPr>
              <w:t>compulsory licen</w:t>
            </w:r>
            <w:r w:rsidR="00025C17" w:rsidRPr="00DF5467">
              <w:rPr>
                <w:rStyle w:val="normaltextrun"/>
                <w:noProof/>
                <w:sz w:val="24"/>
                <w:szCs w:val="24"/>
              </w:rPr>
              <w:t>c</w:t>
            </w:r>
            <w:r w:rsidR="00025C17" w:rsidRPr="00196F0B">
              <w:rPr>
                <w:rStyle w:val="normaltextrun"/>
                <w:noProof/>
                <w:sz w:val="24"/>
                <w:szCs w:val="24"/>
              </w:rPr>
              <w:t>es</w:t>
            </w:r>
            <w:r w:rsidR="00A80447" w:rsidRPr="00DF5467">
              <w:rPr>
                <w:rStyle w:val="normaltextrun"/>
                <w:noProof/>
                <w:sz w:val="24"/>
                <w:szCs w:val="24"/>
              </w:rPr>
              <w:t>, each applicable to the territory of several EU countries or</w:t>
            </w:r>
            <w:r w:rsidR="00025C17" w:rsidRPr="00DF5467">
              <w:rPr>
                <w:rStyle w:val="normaltextrun"/>
                <w:noProof/>
                <w:sz w:val="24"/>
                <w:szCs w:val="24"/>
              </w:rPr>
              <w:t xml:space="preserve"> </w:t>
            </w:r>
            <w:r w:rsidR="00A80447" w:rsidRPr="00DF5467">
              <w:rPr>
                <w:rStyle w:val="normaltextrun"/>
                <w:noProof/>
                <w:sz w:val="24"/>
                <w:szCs w:val="24"/>
              </w:rPr>
              <w:t>t</w:t>
            </w:r>
            <w:r w:rsidR="00025C17" w:rsidRPr="00DF5467">
              <w:rPr>
                <w:rStyle w:val="normaltextrun"/>
                <w:noProof/>
                <w:sz w:val="24"/>
                <w:szCs w:val="24"/>
              </w:rPr>
              <w:t>o</w:t>
            </w:r>
            <w:r w:rsidR="00025C17" w:rsidRPr="00196F0B">
              <w:rPr>
                <w:rStyle w:val="normaltextrun"/>
                <w:noProof/>
                <w:sz w:val="24"/>
                <w:szCs w:val="24"/>
              </w:rPr>
              <w:t xml:space="preserve"> t</w:t>
            </w:r>
            <w:r w:rsidR="00A80447" w:rsidRPr="00DF5467">
              <w:rPr>
                <w:rStyle w:val="normaltextrun"/>
                <w:noProof/>
                <w:sz w:val="24"/>
                <w:szCs w:val="24"/>
              </w:rPr>
              <w:t>he whole EU</w:t>
            </w:r>
          </w:p>
          <w:p w14:paraId="401BF654" w14:textId="3A2B1B8C" w:rsidR="00A80447" w:rsidRPr="00DF5467" w:rsidRDefault="00F940CC" w:rsidP="005A5B3E">
            <w:pPr>
              <w:pStyle w:val="ListParagraph"/>
              <w:numPr>
                <w:ilvl w:val="0"/>
                <w:numId w:val="3"/>
              </w:numPr>
              <w:spacing w:after="120"/>
              <w:ind w:left="284" w:hanging="284"/>
              <w:contextualSpacing w:val="0"/>
              <w:jc w:val="both"/>
              <w:rPr>
                <w:noProof/>
                <w:sz w:val="24"/>
                <w:szCs w:val="24"/>
              </w:rPr>
            </w:pPr>
            <w:r w:rsidRPr="00DF5467">
              <w:rPr>
                <w:noProof/>
                <w:sz w:val="24"/>
                <w:szCs w:val="24"/>
              </w:rPr>
              <w:t xml:space="preserve">Option 4: </w:t>
            </w:r>
            <w:r w:rsidR="00A80447" w:rsidRPr="00DF5467">
              <w:rPr>
                <w:rStyle w:val="normaltextrun"/>
                <w:b/>
                <w:bCs/>
                <w:noProof/>
                <w:sz w:val="24"/>
                <w:szCs w:val="24"/>
              </w:rPr>
              <w:t xml:space="preserve">EU-level </w:t>
            </w:r>
            <w:r w:rsidR="00DC40E1" w:rsidRPr="00DF5467">
              <w:rPr>
                <w:rStyle w:val="normaltextrun"/>
                <w:b/>
                <w:bCs/>
                <w:noProof/>
                <w:sz w:val="24"/>
                <w:szCs w:val="24"/>
              </w:rPr>
              <w:t>compulsory licensing</w:t>
            </w:r>
            <w:r w:rsidR="00A80447" w:rsidRPr="00DF5467">
              <w:rPr>
                <w:rStyle w:val="normaltextrun"/>
                <w:b/>
                <w:bCs/>
                <w:noProof/>
                <w:sz w:val="24"/>
                <w:szCs w:val="24"/>
              </w:rPr>
              <w:t xml:space="preserve"> </w:t>
            </w:r>
            <w:r w:rsidR="00A80447" w:rsidRPr="00DF5467">
              <w:rPr>
                <w:b/>
                <w:bCs/>
                <w:noProof/>
                <w:sz w:val="24"/>
                <w:szCs w:val="24"/>
              </w:rPr>
              <w:t>to complement existing EU crisis instruments</w:t>
            </w:r>
            <w:r w:rsidR="00A80447" w:rsidRPr="00DF5467">
              <w:rPr>
                <w:noProof/>
                <w:sz w:val="24"/>
                <w:szCs w:val="24"/>
              </w:rPr>
              <w:t>:</w:t>
            </w:r>
            <w:r w:rsidR="00877531" w:rsidRPr="00DF5467">
              <w:rPr>
                <w:noProof/>
                <w:sz w:val="24"/>
                <w:szCs w:val="24"/>
              </w:rPr>
              <w:t xml:space="preserve"> The triggers would be the same as under </w:t>
            </w:r>
            <w:r w:rsidR="00EB6FDE" w:rsidRPr="00DF5467">
              <w:rPr>
                <w:noProof/>
                <w:sz w:val="24"/>
                <w:szCs w:val="24"/>
              </w:rPr>
              <w:t xml:space="preserve">option </w:t>
            </w:r>
            <w:r w:rsidR="00877531" w:rsidRPr="00DF5467">
              <w:rPr>
                <w:noProof/>
                <w:sz w:val="24"/>
                <w:szCs w:val="24"/>
              </w:rPr>
              <w:t xml:space="preserve">3. However, the </w:t>
            </w:r>
            <w:r w:rsidR="00A075DE" w:rsidRPr="00DF5467">
              <w:rPr>
                <w:noProof/>
                <w:sz w:val="24"/>
                <w:szCs w:val="24"/>
              </w:rPr>
              <w:t xml:space="preserve">Commission, assisted by the relevant advisory body, </w:t>
            </w:r>
            <w:r w:rsidR="00877531" w:rsidRPr="00DF5467">
              <w:rPr>
                <w:noProof/>
                <w:sz w:val="24"/>
                <w:szCs w:val="24"/>
              </w:rPr>
              <w:t xml:space="preserve">would adopt an activation measure granting a </w:t>
            </w:r>
            <w:r w:rsidR="00DC40E1" w:rsidRPr="00DF5467">
              <w:rPr>
                <w:rStyle w:val="normaltextrun"/>
                <w:noProof/>
                <w:sz w:val="24"/>
                <w:szCs w:val="24"/>
              </w:rPr>
              <w:t>compulsory licensing</w:t>
            </w:r>
            <w:r w:rsidR="00877531" w:rsidRPr="00DF5467">
              <w:rPr>
                <w:noProof/>
                <w:sz w:val="24"/>
                <w:szCs w:val="24"/>
              </w:rPr>
              <w:t xml:space="preserve">. </w:t>
            </w:r>
            <w:r w:rsidR="00877531" w:rsidRPr="00DF5467">
              <w:rPr>
                <w:rStyle w:val="normaltextrun"/>
                <w:noProof/>
                <w:sz w:val="24"/>
                <w:szCs w:val="24"/>
              </w:rPr>
              <w:t xml:space="preserve">This option would lead to the issuance, by the Commission, of </w:t>
            </w:r>
            <w:r w:rsidR="00EB6FDE" w:rsidRPr="00DF5467">
              <w:rPr>
                <w:rStyle w:val="normaltextrun"/>
                <w:noProof/>
                <w:sz w:val="24"/>
                <w:szCs w:val="24"/>
              </w:rPr>
              <w:t>a</w:t>
            </w:r>
            <w:r w:rsidR="00EB6FDE" w:rsidRPr="005A5B3E">
              <w:rPr>
                <w:rStyle w:val="normaltextrun"/>
                <w:noProof/>
                <w:sz w:val="24"/>
                <w:szCs w:val="24"/>
              </w:rPr>
              <w:t xml:space="preserve"> single</w:t>
            </w:r>
            <w:r w:rsidR="00877531" w:rsidRPr="00DF5467">
              <w:rPr>
                <w:rStyle w:val="normaltextrun"/>
                <w:noProof/>
                <w:sz w:val="24"/>
                <w:szCs w:val="24"/>
              </w:rPr>
              <w:t xml:space="preserve"> </w:t>
            </w:r>
            <w:r w:rsidR="00DC40E1" w:rsidRPr="00DF5467">
              <w:rPr>
                <w:rStyle w:val="normaltextrun"/>
                <w:noProof/>
                <w:sz w:val="24"/>
                <w:szCs w:val="24"/>
              </w:rPr>
              <w:t>compulsory licen</w:t>
            </w:r>
            <w:r w:rsidR="00EB6FDE" w:rsidRPr="00DF5467">
              <w:rPr>
                <w:rStyle w:val="normaltextrun"/>
                <w:noProof/>
                <w:sz w:val="24"/>
                <w:szCs w:val="24"/>
              </w:rPr>
              <w:t>c</w:t>
            </w:r>
            <w:r w:rsidR="00EB6FDE" w:rsidRPr="005A5B3E">
              <w:rPr>
                <w:rStyle w:val="normaltextrun"/>
                <w:noProof/>
                <w:sz w:val="24"/>
                <w:szCs w:val="24"/>
              </w:rPr>
              <w:t>e</w:t>
            </w:r>
            <w:r w:rsidR="00877531" w:rsidRPr="00DF5467">
              <w:rPr>
                <w:rStyle w:val="normaltextrun"/>
                <w:noProof/>
                <w:sz w:val="24"/>
                <w:szCs w:val="24"/>
              </w:rPr>
              <w:t xml:space="preserve">, </w:t>
            </w:r>
            <w:r w:rsidR="00A71ED9" w:rsidRPr="00DF5467">
              <w:rPr>
                <w:rStyle w:val="normaltextrun"/>
                <w:noProof/>
                <w:sz w:val="24"/>
                <w:szCs w:val="24"/>
              </w:rPr>
              <w:t xml:space="preserve">with its own procedure and conditions and </w:t>
            </w:r>
            <w:r w:rsidR="00877531" w:rsidRPr="00DF5467">
              <w:rPr>
                <w:rStyle w:val="normaltextrun"/>
                <w:noProof/>
                <w:sz w:val="24"/>
                <w:szCs w:val="24"/>
              </w:rPr>
              <w:t>applicable to the territory of several EU countries or the whole EU.</w:t>
            </w:r>
          </w:p>
          <w:p w14:paraId="5DA27FC0" w14:textId="4B9E49FA" w:rsidR="008F168E" w:rsidRPr="005A5B3E" w:rsidRDefault="00B21751" w:rsidP="00DD3765">
            <w:pPr>
              <w:spacing w:after="120"/>
              <w:jc w:val="both"/>
              <w:rPr>
                <w:b/>
                <w:noProof/>
                <w:sz w:val="24"/>
                <w:szCs w:val="24"/>
              </w:rPr>
            </w:pPr>
            <w:r w:rsidRPr="005A5B3E">
              <w:rPr>
                <w:noProof/>
                <w:sz w:val="24"/>
                <w:szCs w:val="24"/>
              </w:rPr>
              <w:t>I</w:t>
            </w:r>
            <w:r w:rsidR="00F70DA9" w:rsidRPr="005A5B3E">
              <w:rPr>
                <w:noProof/>
                <w:sz w:val="24"/>
                <w:szCs w:val="24"/>
              </w:rPr>
              <w:t xml:space="preserve">t appears that </w:t>
            </w:r>
            <w:r w:rsidR="00F70DA9" w:rsidRPr="005A5B3E">
              <w:rPr>
                <w:b/>
                <w:noProof/>
                <w:sz w:val="24"/>
                <w:szCs w:val="24"/>
              </w:rPr>
              <w:t xml:space="preserve">Option 4 </w:t>
            </w:r>
            <w:r w:rsidR="00F70DA9" w:rsidRPr="005A5B3E">
              <w:rPr>
                <w:noProof/>
                <w:sz w:val="24"/>
                <w:szCs w:val="24"/>
              </w:rPr>
              <w:t xml:space="preserve">would be the most effective and efficient </w:t>
            </w:r>
            <w:r w:rsidR="008F168E" w:rsidRPr="005A5B3E">
              <w:rPr>
                <w:noProof/>
                <w:sz w:val="24"/>
                <w:szCs w:val="24"/>
              </w:rPr>
              <w:t xml:space="preserve">way of </w:t>
            </w:r>
            <w:r w:rsidR="00F70DA9" w:rsidRPr="005A5B3E">
              <w:rPr>
                <w:noProof/>
                <w:sz w:val="24"/>
                <w:szCs w:val="24"/>
              </w:rPr>
              <w:t>achiev</w:t>
            </w:r>
            <w:r w:rsidR="008F168E" w:rsidRPr="005A5B3E">
              <w:rPr>
                <w:noProof/>
                <w:sz w:val="24"/>
                <w:szCs w:val="24"/>
              </w:rPr>
              <w:t>ing</w:t>
            </w:r>
            <w:r w:rsidR="00F70DA9" w:rsidRPr="005A5B3E">
              <w:rPr>
                <w:noProof/>
                <w:sz w:val="24"/>
                <w:szCs w:val="24"/>
              </w:rPr>
              <w:t xml:space="preserve"> the objectives of this initiative.</w:t>
            </w:r>
            <w:r w:rsidR="00F70DA9" w:rsidRPr="005A5B3E">
              <w:rPr>
                <w:b/>
                <w:noProof/>
                <w:sz w:val="24"/>
                <w:szCs w:val="24"/>
              </w:rPr>
              <w:t xml:space="preserve"> </w:t>
            </w:r>
          </w:p>
          <w:p w14:paraId="26E16D04" w14:textId="47FE0151" w:rsidR="008F168E" w:rsidRPr="005A5B3E" w:rsidRDefault="00F70DA9" w:rsidP="00DD3765">
            <w:pPr>
              <w:spacing w:after="120"/>
              <w:jc w:val="both"/>
              <w:rPr>
                <w:noProof/>
                <w:sz w:val="24"/>
                <w:szCs w:val="24"/>
              </w:rPr>
            </w:pPr>
            <w:r w:rsidRPr="005A5B3E">
              <w:rPr>
                <w:noProof/>
                <w:sz w:val="24"/>
                <w:szCs w:val="24"/>
              </w:rPr>
              <w:t>Th</w:t>
            </w:r>
            <w:r w:rsidR="008F168E" w:rsidRPr="005A5B3E">
              <w:rPr>
                <w:noProof/>
                <w:sz w:val="24"/>
                <w:szCs w:val="24"/>
              </w:rPr>
              <w:t>is</w:t>
            </w:r>
            <w:r w:rsidRPr="005A5B3E">
              <w:rPr>
                <w:noProof/>
                <w:sz w:val="24"/>
                <w:szCs w:val="24"/>
              </w:rPr>
              <w:t xml:space="preserve"> option</w:t>
            </w:r>
            <w:r w:rsidRPr="005A5B3E">
              <w:rPr>
                <w:noProof/>
                <w:color w:val="000000" w:themeColor="text1"/>
                <w:sz w:val="24"/>
                <w:szCs w:val="24"/>
              </w:rPr>
              <w:t xml:space="preserve"> would create </w:t>
            </w:r>
            <w:r w:rsidRPr="005A5B3E">
              <w:rPr>
                <w:noProof/>
                <w:sz w:val="24"/>
                <w:szCs w:val="24"/>
              </w:rPr>
              <w:t xml:space="preserve">a single procedure to grant an EU-level </w:t>
            </w:r>
            <w:r w:rsidR="00DC40E1" w:rsidRPr="005A5B3E">
              <w:rPr>
                <w:noProof/>
                <w:sz w:val="24"/>
                <w:szCs w:val="24"/>
              </w:rPr>
              <w:t>compulsory licen</w:t>
            </w:r>
            <w:r w:rsidR="008F168E" w:rsidRPr="005A5B3E">
              <w:rPr>
                <w:noProof/>
                <w:sz w:val="24"/>
                <w:szCs w:val="24"/>
              </w:rPr>
              <w:t>ce</w:t>
            </w:r>
            <w:r w:rsidRPr="005A5B3E">
              <w:rPr>
                <w:noProof/>
                <w:sz w:val="24"/>
                <w:szCs w:val="24"/>
              </w:rPr>
              <w:t xml:space="preserve"> with </w:t>
            </w:r>
            <w:r w:rsidR="008F168E" w:rsidRPr="005A5B3E">
              <w:rPr>
                <w:noProof/>
                <w:sz w:val="24"/>
                <w:szCs w:val="24"/>
              </w:rPr>
              <w:t xml:space="preserve">the </w:t>
            </w:r>
            <w:r w:rsidRPr="005A5B3E">
              <w:rPr>
                <w:noProof/>
                <w:sz w:val="24"/>
                <w:szCs w:val="24"/>
              </w:rPr>
              <w:t xml:space="preserve">features </w:t>
            </w:r>
            <w:r w:rsidR="008F168E" w:rsidRPr="005A5B3E">
              <w:rPr>
                <w:noProof/>
                <w:sz w:val="24"/>
                <w:szCs w:val="24"/>
              </w:rPr>
              <w:t xml:space="preserve">required </w:t>
            </w:r>
            <w:r w:rsidRPr="005A5B3E">
              <w:rPr>
                <w:noProof/>
                <w:sz w:val="24"/>
                <w:szCs w:val="24"/>
              </w:rPr>
              <w:t xml:space="preserve">to tackle a crisis. The Commission activation measure would ensure that conditions are the same across the EU and would avoid national discrepancies likely to slow down or prevent an efficient </w:t>
            </w:r>
            <w:r w:rsidR="00DC40E1" w:rsidRPr="005A5B3E">
              <w:rPr>
                <w:noProof/>
                <w:sz w:val="24"/>
                <w:szCs w:val="24"/>
              </w:rPr>
              <w:t>compulsory licensing</w:t>
            </w:r>
            <w:r w:rsidRPr="005A5B3E">
              <w:rPr>
                <w:noProof/>
                <w:sz w:val="24"/>
                <w:szCs w:val="24"/>
              </w:rPr>
              <w:t xml:space="preserve"> scheme </w:t>
            </w:r>
            <w:r w:rsidR="008F168E" w:rsidRPr="005A5B3E">
              <w:rPr>
                <w:noProof/>
                <w:sz w:val="24"/>
                <w:szCs w:val="24"/>
              </w:rPr>
              <w:t>from</w:t>
            </w:r>
            <w:r w:rsidRPr="005A5B3E">
              <w:rPr>
                <w:noProof/>
                <w:sz w:val="24"/>
                <w:szCs w:val="24"/>
              </w:rPr>
              <w:t xml:space="preserve"> tackl</w:t>
            </w:r>
            <w:r w:rsidR="008F168E" w:rsidRPr="005A5B3E">
              <w:rPr>
                <w:noProof/>
                <w:sz w:val="24"/>
                <w:szCs w:val="24"/>
              </w:rPr>
              <w:t>ing</w:t>
            </w:r>
            <w:r w:rsidRPr="005A5B3E">
              <w:rPr>
                <w:noProof/>
                <w:sz w:val="24"/>
                <w:szCs w:val="24"/>
              </w:rPr>
              <w:t xml:space="preserve"> cross-border crises. </w:t>
            </w:r>
          </w:p>
          <w:p w14:paraId="66458E77" w14:textId="2C315C82" w:rsidR="00ED39C4" w:rsidRPr="00DF5467" w:rsidRDefault="00F70DA9" w:rsidP="005A5B3E">
            <w:pPr>
              <w:spacing w:after="120"/>
              <w:jc w:val="both"/>
              <w:rPr>
                <w:noProof/>
                <w:sz w:val="24"/>
                <w:szCs w:val="24"/>
              </w:rPr>
            </w:pPr>
            <w:r w:rsidRPr="005A5B3E">
              <w:rPr>
                <w:noProof/>
                <w:sz w:val="24"/>
                <w:szCs w:val="24"/>
              </w:rPr>
              <w:t xml:space="preserve">This single </w:t>
            </w:r>
            <w:r w:rsidR="00DC40E1" w:rsidRPr="005A5B3E">
              <w:rPr>
                <w:noProof/>
                <w:sz w:val="24"/>
                <w:szCs w:val="24"/>
              </w:rPr>
              <w:t>compulsory licen</w:t>
            </w:r>
            <w:r w:rsidR="008F168E" w:rsidRPr="005A5B3E">
              <w:rPr>
                <w:noProof/>
                <w:sz w:val="24"/>
                <w:szCs w:val="24"/>
              </w:rPr>
              <w:t>ce</w:t>
            </w:r>
            <w:r w:rsidRPr="005A5B3E">
              <w:rPr>
                <w:noProof/>
                <w:sz w:val="24"/>
                <w:szCs w:val="24"/>
              </w:rPr>
              <w:t xml:space="preserve"> would be applicable in all relevant territories, therefore covering cross-border situations. This would be the case for both the EU market and for export purposes. Co</w:t>
            </w:r>
            <w:r w:rsidR="008F168E" w:rsidRPr="005A5B3E">
              <w:rPr>
                <w:noProof/>
                <w:sz w:val="24"/>
                <w:szCs w:val="24"/>
              </w:rPr>
              <w:t xml:space="preserve">nsistency </w:t>
            </w:r>
            <w:r w:rsidRPr="005A5B3E">
              <w:rPr>
                <w:noProof/>
                <w:sz w:val="24"/>
                <w:szCs w:val="24"/>
              </w:rPr>
              <w:t>with EU crisis instruments would be ensured by the possibility to use the</w:t>
            </w:r>
            <w:r w:rsidR="008F168E" w:rsidRPr="005A5B3E">
              <w:rPr>
                <w:noProof/>
                <w:sz w:val="24"/>
                <w:szCs w:val="24"/>
              </w:rPr>
              <w:t xml:space="preserve">m to </w:t>
            </w:r>
            <w:r w:rsidRPr="005A5B3E">
              <w:rPr>
                <w:noProof/>
                <w:sz w:val="24"/>
                <w:szCs w:val="24"/>
              </w:rPr>
              <w:t xml:space="preserve">trigger </w:t>
            </w:r>
            <w:r w:rsidR="008F168E" w:rsidRPr="005A5B3E">
              <w:rPr>
                <w:noProof/>
                <w:sz w:val="24"/>
                <w:szCs w:val="24"/>
              </w:rPr>
              <w:t xml:space="preserve">the licence procedure </w:t>
            </w:r>
            <w:r w:rsidRPr="005A5B3E">
              <w:rPr>
                <w:noProof/>
                <w:sz w:val="24"/>
                <w:szCs w:val="24"/>
              </w:rPr>
              <w:t>and by reference to the (advisory) bodies set-up by th</w:t>
            </w:r>
            <w:r w:rsidR="008F168E" w:rsidRPr="005A5B3E">
              <w:rPr>
                <w:noProof/>
                <w:sz w:val="24"/>
                <w:szCs w:val="24"/>
              </w:rPr>
              <w:t>os</w:t>
            </w:r>
            <w:r w:rsidRPr="005A5B3E">
              <w:rPr>
                <w:noProof/>
                <w:sz w:val="24"/>
                <w:szCs w:val="24"/>
              </w:rPr>
              <w:t xml:space="preserve">e instruments to discuss an EU-level </w:t>
            </w:r>
            <w:r w:rsidR="00DC40E1" w:rsidRPr="005A5B3E">
              <w:rPr>
                <w:noProof/>
                <w:sz w:val="24"/>
                <w:szCs w:val="24"/>
              </w:rPr>
              <w:t>compulsory licen</w:t>
            </w:r>
            <w:r w:rsidR="008F168E" w:rsidRPr="005A5B3E">
              <w:rPr>
                <w:noProof/>
                <w:sz w:val="24"/>
                <w:szCs w:val="24"/>
              </w:rPr>
              <w:t>ce</w:t>
            </w:r>
            <w:r w:rsidRPr="005A5B3E">
              <w:rPr>
                <w:noProof/>
                <w:sz w:val="24"/>
                <w:szCs w:val="24"/>
              </w:rPr>
              <w:t xml:space="preserve">. </w:t>
            </w:r>
          </w:p>
        </w:tc>
      </w:tr>
      <w:tr w:rsidR="00ED39C4" w:rsidRPr="00DF5467" w14:paraId="4C13EB96" w14:textId="77777777" w:rsidTr="00035755">
        <w:tc>
          <w:tcPr>
            <w:tcW w:w="9322" w:type="dxa"/>
            <w:shd w:val="clear" w:color="auto" w:fill="CCCCCC"/>
          </w:tcPr>
          <w:p w14:paraId="1C7EEB41" w14:textId="77777777" w:rsidR="00ED39C4" w:rsidRPr="00DF5467" w:rsidRDefault="00ED39C4" w:rsidP="00035755">
            <w:pPr>
              <w:spacing w:before="60"/>
              <w:jc w:val="both"/>
              <w:rPr>
                <w:noProof/>
                <w:sz w:val="24"/>
                <w:szCs w:val="24"/>
              </w:rPr>
            </w:pPr>
            <w:r w:rsidRPr="00DF5467">
              <w:rPr>
                <w:b/>
                <w:noProof/>
                <w:sz w:val="24"/>
                <w:szCs w:val="24"/>
              </w:rPr>
              <w:t>Who supports which option?</w:t>
            </w:r>
            <w:r w:rsidRPr="00DF5467">
              <w:rPr>
                <w:noProof/>
                <w:sz w:val="24"/>
                <w:szCs w:val="24"/>
              </w:rPr>
              <w:t xml:space="preserve"> </w:t>
            </w:r>
          </w:p>
        </w:tc>
      </w:tr>
      <w:tr w:rsidR="00ED39C4" w:rsidRPr="00DF5467" w14:paraId="1E7E3E78" w14:textId="77777777" w:rsidTr="00035755">
        <w:tc>
          <w:tcPr>
            <w:tcW w:w="9322" w:type="dxa"/>
            <w:shd w:val="clear" w:color="auto" w:fill="auto"/>
          </w:tcPr>
          <w:p w14:paraId="6E6FC322" w14:textId="0D9DEB76" w:rsidR="008F168E" w:rsidRPr="005A5B3E" w:rsidRDefault="00A075DE" w:rsidP="005A5B3E">
            <w:pPr>
              <w:pStyle w:val="Bullets"/>
              <w:spacing w:after="120"/>
              <w:rPr>
                <w:noProof/>
                <w:lang w:val="en-GB"/>
              </w:rPr>
            </w:pPr>
            <w:r w:rsidRPr="005A5B3E">
              <w:rPr>
                <w:noProof/>
                <w:lang w:val="en-GB"/>
              </w:rPr>
              <w:t xml:space="preserve">The results of the public consultation show that a large majority (82%, N=61) of respondents consider that public authorities should be entitled to allow production of critical goods through a </w:t>
            </w:r>
            <w:r w:rsidR="00DC40E1" w:rsidRPr="005A5B3E">
              <w:rPr>
                <w:noProof/>
                <w:lang w:val="en-GB"/>
              </w:rPr>
              <w:t>compulsory licen</w:t>
            </w:r>
            <w:r w:rsidR="008F168E" w:rsidRPr="005A5B3E">
              <w:rPr>
                <w:noProof/>
                <w:lang w:val="en-GB"/>
              </w:rPr>
              <w:t>ce</w:t>
            </w:r>
            <w:r w:rsidRPr="005A5B3E">
              <w:rPr>
                <w:noProof/>
                <w:lang w:val="en-GB"/>
              </w:rPr>
              <w:t xml:space="preserve">. </w:t>
            </w:r>
          </w:p>
          <w:p w14:paraId="5F875201" w14:textId="6C836856" w:rsidR="008F168E" w:rsidRPr="005A5B3E" w:rsidRDefault="00883D34" w:rsidP="008F168E">
            <w:pPr>
              <w:pStyle w:val="Bullets"/>
              <w:spacing w:after="120"/>
              <w:rPr>
                <w:noProof/>
                <w:lang w:val="en-GB"/>
              </w:rPr>
            </w:pPr>
            <w:r w:rsidRPr="005A5B3E">
              <w:rPr>
                <w:noProof/>
                <w:lang w:val="en-GB"/>
              </w:rPr>
              <w:t>R</w:t>
            </w:r>
            <w:r w:rsidR="00F70DA9" w:rsidRPr="005A5B3E">
              <w:rPr>
                <w:noProof/>
                <w:lang w:val="en-GB"/>
              </w:rPr>
              <w:t>espondents are</w:t>
            </w:r>
            <w:r w:rsidRPr="005A5B3E">
              <w:rPr>
                <w:noProof/>
                <w:lang w:val="en-GB"/>
              </w:rPr>
              <w:t xml:space="preserve"> usually less</w:t>
            </w:r>
            <w:r w:rsidR="00F70DA9" w:rsidRPr="005A5B3E">
              <w:rPr>
                <w:noProof/>
                <w:lang w:val="en-GB"/>
              </w:rPr>
              <w:t xml:space="preserve"> in favour of a decision-making role </w:t>
            </w:r>
            <w:r w:rsidR="008F168E" w:rsidRPr="005A5B3E">
              <w:rPr>
                <w:noProof/>
                <w:lang w:val="en-GB"/>
              </w:rPr>
              <w:t>for</w:t>
            </w:r>
            <w:r w:rsidR="00F70DA9" w:rsidRPr="005A5B3E">
              <w:rPr>
                <w:noProof/>
                <w:lang w:val="en-GB"/>
              </w:rPr>
              <w:t xml:space="preserve"> European institutions</w:t>
            </w:r>
            <w:r w:rsidR="00A075DE" w:rsidRPr="005A5B3E">
              <w:rPr>
                <w:noProof/>
                <w:lang w:val="en-GB"/>
              </w:rPr>
              <w:t xml:space="preserve"> (</w:t>
            </w:r>
            <w:r w:rsidRPr="005A5B3E">
              <w:rPr>
                <w:noProof/>
                <w:lang w:val="en-GB"/>
              </w:rPr>
              <w:t xml:space="preserve">28%, N= 21) </w:t>
            </w:r>
            <w:r w:rsidR="008F168E" w:rsidRPr="005A5B3E">
              <w:rPr>
                <w:noProof/>
                <w:lang w:val="en-GB"/>
              </w:rPr>
              <w:t xml:space="preserve">compared to </w:t>
            </w:r>
            <w:r w:rsidRPr="005A5B3E">
              <w:rPr>
                <w:noProof/>
                <w:lang w:val="en-GB"/>
              </w:rPr>
              <w:t>a coordinating role (</w:t>
            </w:r>
            <w:r w:rsidR="00F70DA9" w:rsidRPr="005A5B3E">
              <w:rPr>
                <w:noProof/>
                <w:lang w:val="en-GB"/>
              </w:rPr>
              <w:t>36%</w:t>
            </w:r>
            <w:r w:rsidRPr="005A5B3E">
              <w:rPr>
                <w:noProof/>
                <w:lang w:val="en-GB"/>
              </w:rPr>
              <w:t xml:space="preserve">, </w:t>
            </w:r>
            <w:r w:rsidR="00F70DA9" w:rsidRPr="005A5B3E">
              <w:rPr>
                <w:noProof/>
                <w:lang w:val="en-GB"/>
              </w:rPr>
              <w:t xml:space="preserve">N=27). </w:t>
            </w:r>
            <w:r w:rsidR="00693574" w:rsidRPr="005A5B3E">
              <w:rPr>
                <w:noProof/>
                <w:lang w:val="en-GB"/>
              </w:rPr>
              <w:t xml:space="preserve">This can be explained by the fact that businesses and industry representatives expressed low support in this respect, whereas they were the dominant group of respondents to the </w:t>
            </w:r>
            <w:r w:rsidR="008F168E" w:rsidRPr="005A5B3E">
              <w:rPr>
                <w:noProof/>
                <w:lang w:val="en-GB"/>
              </w:rPr>
              <w:t>consultation</w:t>
            </w:r>
            <w:r w:rsidR="00693574" w:rsidRPr="005A5B3E">
              <w:rPr>
                <w:noProof/>
                <w:lang w:val="en-GB"/>
              </w:rPr>
              <w:t xml:space="preserve"> (54% of all participants).</w:t>
            </w:r>
            <w:r w:rsidR="00A075DE" w:rsidRPr="005A5B3E">
              <w:rPr>
                <w:noProof/>
                <w:lang w:val="en-GB"/>
              </w:rPr>
              <w:t xml:space="preserve"> </w:t>
            </w:r>
          </w:p>
          <w:p w14:paraId="15D289C5" w14:textId="51D17997" w:rsidR="008F168E" w:rsidRPr="005A5B3E" w:rsidRDefault="00A075DE" w:rsidP="008F168E">
            <w:pPr>
              <w:pStyle w:val="Bullets"/>
              <w:spacing w:after="120"/>
              <w:rPr>
                <w:noProof/>
                <w:lang w:val="en-GB"/>
              </w:rPr>
            </w:pPr>
            <w:r w:rsidRPr="005A5B3E">
              <w:rPr>
                <w:noProof/>
                <w:lang w:val="en-GB"/>
              </w:rPr>
              <w:t xml:space="preserve">That being said, the option of granting a </w:t>
            </w:r>
            <w:r w:rsidR="00DC40E1" w:rsidRPr="005A5B3E">
              <w:rPr>
                <w:noProof/>
                <w:lang w:val="en-GB"/>
              </w:rPr>
              <w:t>compulsory licen</w:t>
            </w:r>
            <w:r w:rsidR="008F168E" w:rsidRPr="005A5B3E">
              <w:rPr>
                <w:noProof/>
                <w:lang w:val="en-GB"/>
              </w:rPr>
              <w:t>ce</w:t>
            </w:r>
            <w:r w:rsidRPr="005A5B3E">
              <w:rPr>
                <w:noProof/>
                <w:lang w:val="en-GB"/>
              </w:rPr>
              <w:t xml:space="preserve"> at EU level is generally deemed more positive by stakeholders as regards the EU’s ability to tackle crises (35%, N=26) than the granting of </w:t>
            </w:r>
            <w:r w:rsidR="00DC40E1" w:rsidRPr="005A5B3E">
              <w:rPr>
                <w:noProof/>
                <w:lang w:val="en-GB"/>
              </w:rPr>
              <w:t>compulsory licen</w:t>
            </w:r>
            <w:r w:rsidR="008F168E" w:rsidRPr="005A5B3E">
              <w:rPr>
                <w:noProof/>
                <w:lang w:val="en-GB"/>
              </w:rPr>
              <w:t>ces</w:t>
            </w:r>
            <w:r w:rsidRPr="005A5B3E">
              <w:rPr>
                <w:noProof/>
                <w:lang w:val="en-GB"/>
              </w:rPr>
              <w:t xml:space="preserve"> at national level (respectively, 11%, N=8). </w:t>
            </w:r>
          </w:p>
          <w:p w14:paraId="7D1EB7CD" w14:textId="153D4A64" w:rsidR="00ED39C4" w:rsidRPr="005A5B3E" w:rsidRDefault="00A075DE" w:rsidP="005A5B3E">
            <w:pPr>
              <w:pStyle w:val="Bullets"/>
              <w:spacing w:after="120"/>
              <w:rPr>
                <w:noProof/>
                <w:lang w:val="en-GB"/>
              </w:rPr>
            </w:pPr>
            <w:r w:rsidRPr="005A5B3E">
              <w:rPr>
                <w:noProof/>
                <w:lang w:val="en-GB"/>
              </w:rPr>
              <w:t xml:space="preserve">Stark contrast exists among stakeholders with again low support </w:t>
            </w:r>
            <w:r w:rsidR="008F168E" w:rsidRPr="005A5B3E">
              <w:rPr>
                <w:noProof/>
                <w:lang w:val="en-GB"/>
              </w:rPr>
              <w:t>for the option among</w:t>
            </w:r>
            <w:r w:rsidRPr="005A5B3E">
              <w:rPr>
                <w:noProof/>
                <w:lang w:val="en-GB"/>
              </w:rPr>
              <w:t xml:space="preserve"> industry representatives: a majority (around 50%) of companies and business associations consider that the impact would be negative. In </w:t>
            </w:r>
            <w:r w:rsidR="00D16DB4" w:rsidRPr="005A5B3E">
              <w:rPr>
                <w:noProof/>
                <w:lang w:val="en-GB"/>
              </w:rPr>
              <w:t xml:space="preserve">contrast, no respondent in </w:t>
            </w:r>
            <w:r w:rsidRPr="005A5B3E">
              <w:rPr>
                <w:noProof/>
                <w:lang w:val="en-GB"/>
              </w:rPr>
              <w:t xml:space="preserve">other categories considers the impact </w:t>
            </w:r>
            <w:r w:rsidR="008F168E" w:rsidRPr="005A5B3E">
              <w:rPr>
                <w:noProof/>
                <w:lang w:val="en-GB"/>
              </w:rPr>
              <w:t xml:space="preserve">would </w:t>
            </w:r>
            <w:r w:rsidRPr="005A5B3E">
              <w:rPr>
                <w:noProof/>
                <w:lang w:val="en-GB"/>
              </w:rPr>
              <w:t>be negative</w:t>
            </w:r>
            <w:r w:rsidR="00D16DB4" w:rsidRPr="005A5B3E">
              <w:rPr>
                <w:noProof/>
                <w:lang w:val="en-GB"/>
              </w:rPr>
              <w:t>.</w:t>
            </w:r>
            <w:r w:rsidRPr="005A5B3E">
              <w:rPr>
                <w:noProof/>
                <w:lang w:val="en-GB"/>
              </w:rPr>
              <w:t xml:space="preserve"> </w:t>
            </w:r>
            <w:r w:rsidR="00D16DB4" w:rsidRPr="005A5B3E">
              <w:rPr>
                <w:noProof/>
                <w:lang w:val="en-GB"/>
              </w:rPr>
              <w:t xml:space="preserve">A large majority </w:t>
            </w:r>
            <w:r w:rsidRPr="005A5B3E">
              <w:rPr>
                <w:noProof/>
                <w:lang w:val="en-GB"/>
              </w:rPr>
              <w:t>(65%</w:t>
            </w:r>
            <w:r w:rsidR="00D16DB4" w:rsidRPr="005A5B3E">
              <w:rPr>
                <w:noProof/>
                <w:lang w:val="en-GB"/>
              </w:rPr>
              <w:t>, N=22)</w:t>
            </w:r>
            <w:r w:rsidRPr="005A5B3E">
              <w:rPr>
                <w:noProof/>
                <w:lang w:val="en-GB"/>
              </w:rPr>
              <w:t xml:space="preserve"> </w:t>
            </w:r>
            <w:r w:rsidR="008F168E" w:rsidRPr="005A5B3E">
              <w:rPr>
                <w:noProof/>
                <w:lang w:val="en-GB"/>
              </w:rPr>
              <w:t xml:space="preserve">rates </w:t>
            </w:r>
            <w:r w:rsidRPr="005A5B3E">
              <w:rPr>
                <w:noProof/>
                <w:lang w:val="en-GB"/>
              </w:rPr>
              <w:t xml:space="preserve">it positive </w:t>
            </w:r>
            <w:r w:rsidR="00D16DB4" w:rsidRPr="005A5B3E">
              <w:rPr>
                <w:noProof/>
                <w:lang w:val="en-GB"/>
              </w:rPr>
              <w:t>(</w:t>
            </w:r>
            <w:r w:rsidRPr="005A5B3E">
              <w:rPr>
                <w:noProof/>
                <w:lang w:val="en-GB"/>
              </w:rPr>
              <w:t xml:space="preserve">4% </w:t>
            </w:r>
            <w:r w:rsidR="008F168E" w:rsidRPr="005A5B3E">
              <w:rPr>
                <w:noProof/>
                <w:lang w:val="en-GB"/>
              </w:rPr>
              <w:t xml:space="preserve">thinks </w:t>
            </w:r>
            <w:r w:rsidR="00D16DB4" w:rsidRPr="005A5B3E">
              <w:rPr>
                <w:noProof/>
                <w:lang w:val="en-GB"/>
              </w:rPr>
              <w:t xml:space="preserve">the impact </w:t>
            </w:r>
            <w:r w:rsidR="008F168E" w:rsidRPr="005A5B3E">
              <w:rPr>
                <w:noProof/>
                <w:lang w:val="en-GB"/>
              </w:rPr>
              <w:t xml:space="preserve">would </w:t>
            </w:r>
            <w:r w:rsidR="00D16DB4" w:rsidRPr="005A5B3E">
              <w:rPr>
                <w:noProof/>
                <w:lang w:val="en-GB"/>
              </w:rPr>
              <w:t>be neutral</w:t>
            </w:r>
            <w:r w:rsidRPr="005A5B3E">
              <w:rPr>
                <w:noProof/>
                <w:lang w:val="en-GB"/>
              </w:rPr>
              <w:t xml:space="preserve"> and the rest did not reply).</w:t>
            </w:r>
          </w:p>
        </w:tc>
      </w:tr>
      <w:tr w:rsidR="00ED39C4" w:rsidRPr="00DF5467" w14:paraId="69C348D4" w14:textId="77777777" w:rsidTr="00035755">
        <w:tc>
          <w:tcPr>
            <w:tcW w:w="9322" w:type="dxa"/>
            <w:tcBorders>
              <w:bottom w:val="single" w:sz="4" w:space="0" w:color="auto"/>
            </w:tcBorders>
            <w:shd w:val="clear" w:color="auto" w:fill="CCCCCC"/>
          </w:tcPr>
          <w:p w14:paraId="6C2F32F8" w14:textId="77777777" w:rsidR="00ED39C4" w:rsidRPr="00DF5467" w:rsidRDefault="00ED39C4" w:rsidP="00035755">
            <w:pPr>
              <w:spacing w:before="60" w:after="60"/>
              <w:jc w:val="center"/>
              <w:rPr>
                <w:b/>
                <w:noProof/>
                <w:sz w:val="24"/>
                <w:szCs w:val="24"/>
              </w:rPr>
            </w:pPr>
            <w:r w:rsidRPr="00DF5467">
              <w:rPr>
                <w:b/>
                <w:noProof/>
                <w:sz w:val="24"/>
                <w:szCs w:val="24"/>
              </w:rPr>
              <w:t>C. Impacts of the preferred option</w:t>
            </w:r>
          </w:p>
        </w:tc>
      </w:tr>
      <w:tr w:rsidR="00ED39C4" w:rsidRPr="00DF5467" w14:paraId="0E124F05" w14:textId="77777777" w:rsidTr="00035755">
        <w:tc>
          <w:tcPr>
            <w:tcW w:w="9322" w:type="dxa"/>
            <w:tcBorders>
              <w:bottom w:val="single" w:sz="4" w:space="0" w:color="auto"/>
            </w:tcBorders>
            <w:shd w:val="clear" w:color="auto" w:fill="E6E6E6"/>
          </w:tcPr>
          <w:p w14:paraId="03CDED39" w14:textId="77777777" w:rsidR="00ED39C4" w:rsidRPr="00DF5467" w:rsidRDefault="00ED39C4" w:rsidP="00035755">
            <w:pPr>
              <w:spacing w:before="60" w:after="60"/>
              <w:jc w:val="both"/>
              <w:rPr>
                <w:noProof/>
                <w:sz w:val="24"/>
                <w:szCs w:val="24"/>
              </w:rPr>
            </w:pPr>
            <w:r w:rsidRPr="00DF5467">
              <w:rPr>
                <w:b/>
                <w:noProof/>
                <w:sz w:val="24"/>
                <w:szCs w:val="24"/>
              </w:rPr>
              <w:t>What are the benefits of the preferred option (if any, otherwise main ones)?</w:t>
            </w:r>
            <w:r w:rsidRPr="00DF5467">
              <w:rPr>
                <w:noProof/>
                <w:sz w:val="24"/>
                <w:szCs w:val="24"/>
              </w:rPr>
              <w:t xml:space="preserve"> </w:t>
            </w:r>
          </w:p>
        </w:tc>
      </w:tr>
      <w:tr w:rsidR="00ED39C4" w:rsidRPr="00DF5467" w14:paraId="39C79296" w14:textId="77777777" w:rsidTr="00035755">
        <w:tc>
          <w:tcPr>
            <w:tcW w:w="9322" w:type="dxa"/>
            <w:tcBorders>
              <w:bottom w:val="single" w:sz="4" w:space="0" w:color="auto"/>
            </w:tcBorders>
            <w:shd w:val="clear" w:color="auto" w:fill="auto"/>
          </w:tcPr>
          <w:p w14:paraId="3517FEEC" w14:textId="74C5267A" w:rsidR="00796786" w:rsidRPr="00DF5467" w:rsidRDefault="00796786" w:rsidP="005A5B3E">
            <w:pPr>
              <w:pStyle w:val="Body"/>
              <w:spacing w:before="120" w:after="120"/>
              <w:rPr>
                <w:rFonts w:ascii="Times New Roman" w:hAnsi="Times New Roman"/>
                <w:noProof/>
                <w:sz w:val="24"/>
                <w:szCs w:val="24"/>
              </w:rPr>
            </w:pPr>
            <w:r w:rsidRPr="00DF5467">
              <w:rPr>
                <w:rFonts w:ascii="Times New Roman" w:hAnsi="Times New Roman"/>
                <w:noProof/>
                <w:sz w:val="24"/>
                <w:szCs w:val="24"/>
              </w:rPr>
              <w:t>The preferred option would fully address the three identified problems and objectives. It would:</w:t>
            </w:r>
          </w:p>
          <w:p w14:paraId="4F1506FD" w14:textId="5FAB7322" w:rsidR="00796786" w:rsidRPr="005A5B3E" w:rsidRDefault="00796786" w:rsidP="005A5B3E">
            <w:pPr>
              <w:pStyle w:val="Body"/>
              <w:spacing w:after="120"/>
              <w:rPr>
                <w:rFonts w:ascii="Times New Roman" w:hAnsi="Times New Roman"/>
                <w:noProof/>
                <w:sz w:val="24"/>
                <w:szCs w:val="24"/>
              </w:rPr>
            </w:pPr>
            <w:r w:rsidRPr="005A5B3E">
              <w:rPr>
                <w:rFonts w:ascii="Times New Roman" w:hAnsi="Times New Roman"/>
                <w:noProof/>
                <w:sz w:val="24"/>
                <w:szCs w:val="24"/>
              </w:rPr>
              <w:t xml:space="preserve">(i) entitle the Commission to directly grant a </w:t>
            </w:r>
            <w:r w:rsidR="00DC40E1" w:rsidRPr="005A5B3E">
              <w:rPr>
                <w:rFonts w:ascii="Times New Roman" w:hAnsi="Times New Roman"/>
                <w:noProof/>
                <w:sz w:val="24"/>
                <w:szCs w:val="24"/>
              </w:rPr>
              <w:t>compulsory licen</w:t>
            </w:r>
            <w:r w:rsidR="008F168E" w:rsidRPr="005A5B3E">
              <w:rPr>
                <w:rFonts w:ascii="Times New Roman" w:hAnsi="Times New Roman"/>
                <w:noProof/>
                <w:sz w:val="24"/>
                <w:szCs w:val="24"/>
              </w:rPr>
              <w:t>ce</w:t>
            </w:r>
            <w:r w:rsidRPr="005A5B3E">
              <w:rPr>
                <w:rFonts w:ascii="Times New Roman" w:hAnsi="Times New Roman"/>
                <w:noProof/>
                <w:sz w:val="24"/>
                <w:szCs w:val="24"/>
              </w:rPr>
              <w:t xml:space="preserve"> and specify the conditions under which this </w:t>
            </w:r>
            <w:r w:rsidR="00DC40E1" w:rsidRPr="005A5B3E">
              <w:rPr>
                <w:rFonts w:ascii="Times New Roman" w:hAnsi="Times New Roman"/>
                <w:noProof/>
                <w:sz w:val="24"/>
                <w:szCs w:val="24"/>
              </w:rPr>
              <w:t>licen</w:t>
            </w:r>
            <w:r w:rsidR="008F168E" w:rsidRPr="005A5B3E">
              <w:rPr>
                <w:rFonts w:ascii="Times New Roman" w:hAnsi="Times New Roman"/>
                <w:noProof/>
                <w:sz w:val="24"/>
                <w:szCs w:val="24"/>
              </w:rPr>
              <w:t>ce</w:t>
            </w:r>
            <w:r w:rsidRPr="005A5B3E">
              <w:rPr>
                <w:rFonts w:ascii="Times New Roman" w:hAnsi="Times New Roman"/>
                <w:noProof/>
                <w:sz w:val="24"/>
                <w:szCs w:val="24"/>
              </w:rPr>
              <w:t xml:space="preserve"> is granted. These conditions would be the same for all territories where the </w:t>
            </w:r>
            <w:r w:rsidR="00DC40E1" w:rsidRPr="005A5B3E">
              <w:rPr>
                <w:rFonts w:ascii="Times New Roman" w:hAnsi="Times New Roman"/>
                <w:noProof/>
                <w:sz w:val="24"/>
                <w:szCs w:val="24"/>
              </w:rPr>
              <w:t>licen</w:t>
            </w:r>
            <w:r w:rsidR="008F168E" w:rsidRPr="005A5B3E">
              <w:rPr>
                <w:rFonts w:ascii="Times New Roman" w:hAnsi="Times New Roman"/>
                <w:noProof/>
                <w:sz w:val="24"/>
                <w:szCs w:val="24"/>
              </w:rPr>
              <w:t>ce</w:t>
            </w:r>
            <w:r w:rsidRPr="005A5B3E">
              <w:rPr>
                <w:rFonts w:ascii="Times New Roman" w:hAnsi="Times New Roman"/>
                <w:noProof/>
                <w:sz w:val="24"/>
                <w:szCs w:val="24"/>
              </w:rPr>
              <w:t xml:space="preserve"> applies. This would ensure optimal clarity and co</w:t>
            </w:r>
            <w:r w:rsidR="008F168E" w:rsidRPr="005A5B3E">
              <w:rPr>
                <w:rFonts w:ascii="Times New Roman" w:hAnsi="Times New Roman"/>
                <w:noProof/>
                <w:sz w:val="24"/>
                <w:szCs w:val="24"/>
              </w:rPr>
              <w:t>nsistency</w:t>
            </w:r>
            <w:r w:rsidRPr="005A5B3E">
              <w:rPr>
                <w:rFonts w:ascii="Times New Roman" w:hAnsi="Times New Roman"/>
                <w:noProof/>
                <w:sz w:val="24"/>
                <w:szCs w:val="24"/>
              </w:rPr>
              <w:t xml:space="preserve"> as regards the conditions </w:t>
            </w:r>
            <w:r w:rsidR="008F168E" w:rsidRPr="005A5B3E">
              <w:rPr>
                <w:rFonts w:ascii="Times New Roman" w:hAnsi="Times New Roman"/>
                <w:noProof/>
                <w:sz w:val="24"/>
                <w:szCs w:val="24"/>
              </w:rPr>
              <w:t xml:space="preserve">for </w:t>
            </w:r>
            <w:r w:rsidRPr="005A5B3E">
              <w:rPr>
                <w:rFonts w:ascii="Times New Roman" w:hAnsi="Times New Roman"/>
                <w:noProof/>
                <w:sz w:val="24"/>
                <w:szCs w:val="24"/>
              </w:rPr>
              <w:t xml:space="preserve">the </w:t>
            </w:r>
            <w:r w:rsidR="00DC40E1" w:rsidRPr="005A5B3E">
              <w:rPr>
                <w:rFonts w:ascii="Times New Roman" w:hAnsi="Times New Roman"/>
                <w:noProof/>
                <w:sz w:val="24"/>
                <w:szCs w:val="24"/>
              </w:rPr>
              <w:t>licen</w:t>
            </w:r>
            <w:r w:rsidR="008F168E" w:rsidRPr="005A5B3E">
              <w:rPr>
                <w:rFonts w:ascii="Times New Roman" w:hAnsi="Times New Roman"/>
                <w:noProof/>
                <w:sz w:val="24"/>
                <w:szCs w:val="24"/>
              </w:rPr>
              <w:t>ce</w:t>
            </w:r>
            <w:r w:rsidRPr="005A5B3E">
              <w:rPr>
                <w:rFonts w:ascii="Times New Roman" w:hAnsi="Times New Roman"/>
                <w:noProof/>
                <w:sz w:val="24"/>
                <w:szCs w:val="24"/>
              </w:rPr>
              <w:t>.</w:t>
            </w:r>
          </w:p>
          <w:p w14:paraId="3FBCE452" w14:textId="3C445B6A" w:rsidR="00796786" w:rsidRPr="005A5B3E" w:rsidRDefault="00796786" w:rsidP="005A5B3E">
            <w:pPr>
              <w:pStyle w:val="Body"/>
              <w:spacing w:after="120"/>
              <w:rPr>
                <w:rFonts w:ascii="Times New Roman" w:hAnsi="Times New Roman"/>
                <w:noProof/>
                <w:sz w:val="24"/>
                <w:szCs w:val="24"/>
              </w:rPr>
            </w:pPr>
            <w:r w:rsidRPr="00DF5467">
              <w:rPr>
                <w:rFonts w:ascii="Times New Roman" w:hAnsi="Times New Roman"/>
                <w:iCs/>
                <w:noProof/>
                <w:sz w:val="24"/>
                <w:szCs w:val="24"/>
              </w:rPr>
              <w:t xml:space="preserve">(ii) </w:t>
            </w:r>
            <w:r w:rsidRPr="005A5B3E">
              <w:rPr>
                <w:rFonts w:ascii="Times New Roman" w:hAnsi="Times New Roman"/>
                <w:noProof/>
                <w:sz w:val="24"/>
                <w:szCs w:val="24"/>
              </w:rPr>
              <w:t xml:space="preserve">provide an optimal solution as regards the territorial scope of the </w:t>
            </w:r>
            <w:r w:rsidR="00DC40E1" w:rsidRPr="005A5B3E">
              <w:rPr>
                <w:rFonts w:ascii="Times New Roman" w:hAnsi="Times New Roman"/>
                <w:noProof/>
                <w:sz w:val="24"/>
                <w:szCs w:val="24"/>
              </w:rPr>
              <w:t>licen</w:t>
            </w:r>
            <w:r w:rsidR="008F168E" w:rsidRPr="005A5B3E">
              <w:rPr>
                <w:rFonts w:ascii="Times New Roman" w:hAnsi="Times New Roman"/>
                <w:noProof/>
                <w:sz w:val="24"/>
                <w:szCs w:val="24"/>
              </w:rPr>
              <w:t>ce</w:t>
            </w:r>
            <w:r w:rsidR="00B21751" w:rsidRPr="005A5B3E">
              <w:rPr>
                <w:rFonts w:ascii="Times New Roman" w:hAnsi="Times New Roman"/>
                <w:noProof/>
                <w:sz w:val="24"/>
                <w:szCs w:val="24"/>
              </w:rPr>
              <w:t>.</w:t>
            </w:r>
            <w:r w:rsidRPr="005A5B3E">
              <w:rPr>
                <w:rFonts w:ascii="Times New Roman" w:hAnsi="Times New Roman"/>
                <w:noProof/>
                <w:sz w:val="24"/>
                <w:szCs w:val="24"/>
              </w:rPr>
              <w:t xml:space="preserve"> </w:t>
            </w:r>
            <w:r w:rsidR="00B21751" w:rsidRPr="005A5B3E">
              <w:rPr>
                <w:rFonts w:ascii="Times New Roman" w:hAnsi="Times New Roman"/>
                <w:noProof/>
                <w:sz w:val="24"/>
                <w:szCs w:val="24"/>
              </w:rPr>
              <w:t>O</w:t>
            </w:r>
            <w:r w:rsidRPr="005A5B3E">
              <w:rPr>
                <w:rFonts w:ascii="Times New Roman" w:hAnsi="Times New Roman"/>
                <w:noProof/>
                <w:sz w:val="24"/>
                <w:szCs w:val="24"/>
              </w:rPr>
              <w:t xml:space="preserve">ne single </w:t>
            </w:r>
            <w:r w:rsidR="00DC40E1" w:rsidRPr="005A5B3E">
              <w:rPr>
                <w:rFonts w:ascii="Times New Roman" w:hAnsi="Times New Roman"/>
                <w:noProof/>
                <w:sz w:val="24"/>
                <w:szCs w:val="24"/>
              </w:rPr>
              <w:t>compulsory licen</w:t>
            </w:r>
            <w:r w:rsidR="008F168E" w:rsidRPr="005A5B3E">
              <w:rPr>
                <w:rFonts w:ascii="Times New Roman" w:hAnsi="Times New Roman"/>
                <w:noProof/>
                <w:sz w:val="24"/>
                <w:szCs w:val="24"/>
              </w:rPr>
              <w:t>ce</w:t>
            </w:r>
            <w:r w:rsidRPr="005A5B3E">
              <w:rPr>
                <w:rFonts w:ascii="Times New Roman" w:hAnsi="Times New Roman"/>
                <w:noProof/>
                <w:sz w:val="24"/>
                <w:szCs w:val="24"/>
              </w:rPr>
              <w:t xml:space="preserve"> would cover all EU countries affected by the crisis and all EU countries </w:t>
            </w:r>
            <w:r w:rsidR="008F168E" w:rsidRPr="005A5B3E">
              <w:rPr>
                <w:rFonts w:ascii="Times New Roman" w:hAnsi="Times New Roman"/>
                <w:noProof/>
                <w:sz w:val="24"/>
                <w:szCs w:val="24"/>
              </w:rPr>
              <w:t xml:space="preserve">with </w:t>
            </w:r>
            <w:r w:rsidRPr="005A5B3E">
              <w:rPr>
                <w:rFonts w:ascii="Times New Roman" w:hAnsi="Times New Roman"/>
                <w:noProof/>
                <w:sz w:val="24"/>
                <w:szCs w:val="24"/>
              </w:rPr>
              <w:t>the relevant manufacturing capacities.</w:t>
            </w:r>
          </w:p>
          <w:p w14:paraId="4072F131" w14:textId="6306D510" w:rsidR="00161EE9" w:rsidRPr="005A5B3E" w:rsidRDefault="00796786" w:rsidP="005A5B3E">
            <w:pPr>
              <w:pStyle w:val="Body"/>
              <w:spacing w:after="120"/>
              <w:rPr>
                <w:rFonts w:ascii="Times New Roman" w:hAnsi="Times New Roman"/>
                <w:noProof/>
                <w:sz w:val="24"/>
                <w:szCs w:val="24"/>
              </w:rPr>
            </w:pPr>
            <w:r w:rsidRPr="005A5B3E">
              <w:rPr>
                <w:rFonts w:ascii="Times New Roman" w:hAnsi="Times New Roman"/>
                <w:noProof/>
                <w:sz w:val="24"/>
                <w:szCs w:val="24"/>
              </w:rPr>
              <w:t>(iii) complement other EU crisis instruments</w:t>
            </w:r>
            <w:r w:rsidR="008F168E" w:rsidRPr="005A5B3E">
              <w:rPr>
                <w:rFonts w:ascii="Times New Roman" w:hAnsi="Times New Roman"/>
                <w:noProof/>
                <w:sz w:val="24"/>
                <w:szCs w:val="24"/>
              </w:rPr>
              <w:t>:</w:t>
            </w:r>
            <w:r w:rsidRPr="005A5B3E">
              <w:rPr>
                <w:rFonts w:ascii="Times New Roman" w:hAnsi="Times New Roman"/>
                <w:noProof/>
                <w:sz w:val="24"/>
                <w:szCs w:val="24"/>
              </w:rPr>
              <w:t xml:space="preserve"> the activation of a crisis mode </w:t>
            </w:r>
            <w:r w:rsidR="008B133C" w:rsidRPr="005A5B3E">
              <w:rPr>
                <w:rFonts w:ascii="Times New Roman" w:hAnsi="Times New Roman"/>
                <w:noProof/>
                <w:sz w:val="24"/>
                <w:szCs w:val="24"/>
              </w:rPr>
              <w:t>by</w:t>
            </w:r>
            <w:r w:rsidRPr="005A5B3E">
              <w:rPr>
                <w:rFonts w:ascii="Times New Roman" w:hAnsi="Times New Roman"/>
                <w:noProof/>
                <w:sz w:val="24"/>
                <w:szCs w:val="24"/>
              </w:rPr>
              <w:t xml:space="preserve"> an EU crisis instrument, such as SMEI, can be the trigger leading to the granting of a </w:t>
            </w:r>
            <w:r w:rsidR="00DC40E1" w:rsidRPr="005A5B3E">
              <w:rPr>
                <w:rFonts w:ascii="Times New Roman" w:hAnsi="Times New Roman"/>
                <w:noProof/>
                <w:sz w:val="24"/>
                <w:szCs w:val="24"/>
              </w:rPr>
              <w:t>compulsory licen</w:t>
            </w:r>
            <w:r w:rsidR="008B133C" w:rsidRPr="005A5B3E">
              <w:rPr>
                <w:rFonts w:ascii="Times New Roman" w:hAnsi="Times New Roman"/>
                <w:noProof/>
                <w:sz w:val="24"/>
                <w:szCs w:val="24"/>
              </w:rPr>
              <w:t>ce</w:t>
            </w:r>
            <w:r w:rsidRPr="005A5B3E">
              <w:rPr>
                <w:rFonts w:ascii="Times New Roman" w:hAnsi="Times New Roman"/>
                <w:noProof/>
                <w:sz w:val="24"/>
                <w:szCs w:val="24"/>
              </w:rPr>
              <w:t xml:space="preserve">. </w:t>
            </w:r>
            <w:r w:rsidR="008B133C" w:rsidRPr="005A5B3E">
              <w:rPr>
                <w:rFonts w:ascii="Times New Roman" w:hAnsi="Times New Roman"/>
                <w:noProof/>
                <w:sz w:val="24"/>
                <w:szCs w:val="24"/>
              </w:rPr>
              <w:t>R</w:t>
            </w:r>
            <w:r w:rsidRPr="005A5B3E">
              <w:rPr>
                <w:rFonts w:ascii="Times New Roman" w:hAnsi="Times New Roman"/>
                <w:noProof/>
                <w:sz w:val="24"/>
                <w:szCs w:val="24"/>
              </w:rPr>
              <w:t>el</w:t>
            </w:r>
            <w:r w:rsidR="008B133C" w:rsidRPr="005A5B3E">
              <w:rPr>
                <w:rFonts w:ascii="Times New Roman" w:hAnsi="Times New Roman"/>
                <w:noProof/>
                <w:sz w:val="24"/>
                <w:szCs w:val="24"/>
              </w:rPr>
              <w:t xml:space="preserve">ying </w:t>
            </w:r>
            <w:r w:rsidRPr="005A5B3E">
              <w:rPr>
                <w:rFonts w:ascii="Times New Roman" w:hAnsi="Times New Roman"/>
                <w:noProof/>
                <w:sz w:val="24"/>
                <w:szCs w:val="24"/>
              </w:rPr>
              <w:t>on the existing advisory body when the trigger originates in an EU crisis instrument also ensures optimal co</w:t>
            </w:r>
            <w:r w:rsidR="008B133C" w:rsidRPr="005A5B3E">
              <w:rPr>
                <w:rFonts w:ascii="Times New Roman" w:hAnsi="Times New Roman"/>
                <w:noProof/>
                <w:sz w:val="24"/>
                <w:szCs w:val="24"/>
              </w:rPr>
              <w:t>nsistency</w:t>
            </w:r>
            <w:r w:rsidRPr="005A5B3E">
              <w:rPr>
                <w:rFonts w:ascii="Times New Roman" w:hAnsi="Times New Roman"/>
                <w:noProof/>
                <w:sz w:val="24"/>
                <w:szCs w:val="24"/>
              </w:rPr>
              <w:t xml:space="preserve"> with EU crisis instruments. </w:t>
            </w:r>
          </w:p>
          <w:p w14:paraId="27513434" w14:textId="22A63C5C" w:rsidR="008B133C" w:rsidRPr="005A5B3E" w:rsidRDefault="00A262E0" w:rsidP="008F168E">
            <w:pPr>
              <w:spacing w:after="120"/>
              <w:jc w:val="both"/>
              <w:rPr>
                <w:noProof/>
                <w:sz w:val="24"/>
                <w:szCs w:val="24"/>
              </w:rPr>
            </w:pPr>
            <w:r w:rsidRPr="005A5B3E">
              <w:rPr>
                <w:noProof/>
                <w:sz w:val="24"/>
                <w:szCs w:val="24"/>
              </w:rPr>
              <w:t>Under the preferred option, p</w:t>
            </w:r>
            <w:r w:rsidR="006B45C9" w:rsidRPr="005A5B3E" w:rsidDel="00703A67">
              <w:rPr>
                <w:noProof/>
                <w:sz w:val="24"/>
                <w:szCs w:val="24"/>
              </w:rPr>
              <w:t xml:space="preserve">atent owners would benefit from </w:t>
            </w:r>
            <w:r w:rsidR="008B133C" w:rsidRPr="005A5B3E">
              <w:rPr>
                <w:noProof/>
                <w:sz w:val="24"/>
                <w:szCs w:val="24"/>
              </w:rPr>
              <w:t>fewer</w:t>
            </w:r>
            <w:r w:rsidR="006B45C9" w:rsidRPr="005A5B3E" w:rsidDel="00703A67">
              <w:rPr>
                <w:noProof/>
                <w:sz w:val="24"/>
                <w:szCs w:val="24"/>
              </w:rPr>
              <w:t xml:space="preserve"> co</w:t>
            </w:r>
            <w:r w:rsidR="006B45C9" w:rsidRPr="005A5B3E">
              <w:rPr>
                <w:noProof/>
                <w:sz w:val="24"/>
                <w:szCs w:val="24"/>
              </w:rPr>
              <w:t xml:space="preserve">sts and </w:t>
            </w:r>
            <w:r w:rsidR="008B133C" w:rsidRPr="005A5B3E">
              <w:rPr>
                <w:noProof/>
                <w:sz w:val="24"/>
                <w:szCs w:val="24"/>
              </w:rPr>
              <w:t xml:space="preserve">less </w:t>
            </w:r>
            <w:r w:rsidR="006B45C9" w:rsidRPr="005A5B3E" w:rsidDel="00703A67">
              <w:rPr>
                <w:noProof/>
                <w:sz w:val="24"/>
                <w:szCs w:val="24"/>
              </w:rPr>
              <w:t>legal uncertainty</w:t>
            </w:r>
            <w:r w:rsidR="008B133C" w:rsidRPr="005A5B3E">
              <w:rPr>
                <w:noProof/>
                <w:sz w:val="24"/>
                <w:szCs w:val="24"/>
              </w:rPr>
              <w:t>,</w:t>
            </w:r>
            <w:r w:rsidR="006B45C9" w:rsidRPr="005A5B3E">
              <w:rPr>
                <w:noProof/>
                <w:sz w:val="24"/>
                <w:szCs w:val="24"/>
              </w:rPr>
              <w:t xml:space="preserve"> </w:t>
            </w:r>
            <w:r w:rsidR="00883D34" w:rsidRPr="005A5B3E">
              <w:rPr>
                <w:noProof/>
                <w:sz w:val="24"/>
                <w:szCs w:val="24"/>
              </w:rPr>
              <w:t xml:space="preserve">as </w:t>
            </w:r>
            <w:r w:rsidR="006B45C9" w:rsidRPr="005A5B3E">
              <w:rPr>
                <w:noProof/>
                <w:sz w:val="24"/>
                <w:szCs w:val="24"/>
              </w:rPr>
              <w:t>negotiations would be limited to</w:t>
            </w:r>
            <w:r w:rsidR="006B45C9" w:rsidRPr="005A5B3E" w:rsidDel="00703A67">
              <w:rPr>
                <w:noProof/>
                <w:sz w:val="24"/>
                <w:szCs w:val="24"/>
              </w:rPr>
              <w:t xml:space="preserve"> participation in </w:t>
            </w:r>
            <w:r w:rsidR="008B133C" w:rsidRPr="005A5B3E">
              <w:rPr>
                <w:noProof/>
                <w:sz w:val="24"/>
                <w:szCs w:val="24"/>
              </w:rPr>
              <w:t>a single</w:t>
            </w:r>
            <w:r w:rsidR="006B45C9" w:rsidRPr="005A5B3E" w:rsidDel="00703A67">
              <w:rPr>
                <w:noProof/>
                <w:sz w:val="24"/>
                <w:szCs w:val="24"/>
              </w:rPr>
              <w:t xml:space="preserve"> EU-level procedure</w:t>
            </w:r>
            <w:r w:rsidR="006B45C9" w:rsidRPr="005A5B3E">
              <w:rPr>
                <w:noProof/>
                <w:sz w:val="24"/>
                <w:szCs w:val="24"/>
              </w:rPr>
              <w:t xml:space="preserve">. </w:t>
            </w:r>
          </w:p>
          <w:p w14:paraId="6241F720" w14:textId="0A58AEEB" w:rsidR="008B133C" w:rsidRPr="005A5B3E" w:rsidRDefault="00B21751" w:rsidP="008F168E">
            <w:pPr>
              <w:spacing w:after="120"/>
              <w:jc w:val="both"/>
              <w:rPr>
                <w:noProof/>
                <w:sz w:val="24"/>
                <w:szCs w:val="24"/>
              </w:rPr>
            </w:pPr>
            <w:r w:rsidRPr="005A5B3E">
              <w:rPr>
                <w:noProof/>
                <w:sz w:val="24"/>
                <w:szCs w:val="24"/>
              </w:rPr>
              <w:t>P</w:t>
            </w:r>
            <w:r w:rsidR="006B45C9" w:rsidRPr="005A5B3E" w:rsidDel="00703A67">
              <w:rPr>
                <w:noProof/>
                <w:sz w:val="24"/>
                <w:szCs w:val="24"/>
              </w:rPr>
              <w:t xml:space="preserve">otential licensees </w:t>
            </w:r>
            <w:r w:rsidR="008B133C" w:rsidRPr="005A5B3E">
              <w:rPr>
                <w:noProof/>
                <w:sz w:val="24"/>
                <w:szCs w:val="24"/>
              </w:rPr>
              <w:t xml:space="preserve">would </w:t>
            </w:r>
            <w:r w:rsidR="006B45C9" w:rsidRPr="005A5B3E" w:rsidDel="00703A67">
              <w:rPr>
                <w:noProof/>
                <w:sz w:val="24"/>
                <w:szCs w:val="24"/>
              </w:rPr>
              <w:t>benefit from the centralised procedure and the wide territorial scope of the licence</w:t>
            </w:r>
            <w:r w:rsidR="008B133C" w:rsidRPr="005A5B3E">
              <w:rPr>
                <w:noProof/>
                <w:sz w:val="24"/>
                <w:szCs w:val="24"/>
              </w:rPr>
              <w:t>,</w:t>
            </w:r>
            <w:r w:rsidR="006B45C9" w:rsidRPr="005A5B3E" w:rsidDel="00703A67">
              <w:rPr>
                <w:noProof/>
                <w:sz w:val="24"/>
                <w:szCs w:val="24"/>
              </w:rPr>
              <w:t xml:space="preserve"> </w:t>
            </w:r>
            <w:r w:rsidR="006B45C9" w:rsidRPr="005A5B3E">
              <w:rPr>
                <w:noProof/>
                <w:sz w:val="24"/>
                <w:szCs w:val="24"/>
              </w:rPr>
              <w:t>bring</w:t>
            </w:r>
            <w:r w:rsidR="008B133C" w:rsidRPr="005A5B3E">
              <w:rPr>
                <w:noProof/>
                <w:sz w:val="24"/>
                <w:szCs w:val="24"/>
              </w:rPr>
              <w:t>ing</w:t>
            </w:r>
            <w:r w:rsidR="006B45C9" w:rsidRPr="005A5B3E">
              <w:rPr>
                <w:noProof/>
                <w:sz w:val="24"/>
                <w:szCs w:val="24"/>
              </w:rPr>
              <w:t xml:space="preserve"> </w:t>
            </w:r>
            <w:r w:rsidR="006B45C9" w:rsidRPr="005A5B3E" w:rsidDel="00703A67">
              <w:rPr>
                <w:noProof/>
                <w:sz w:val="24"/>
                <w:szCs w:val="24"/>
              </w:rPr>
              <w:t>economies of scale.</w:t>
            </w:r>
            <w:r w:rsidR="006B45C9" w:rsidRPr="005A5B3E">
              <w:rPr>
                <w:noProof/>
                <w:sz w:val="24"/>
                <w:szCs w:val="24"/>
              </w:rPr>
              <w:t xml:space="preserve"> </w:t>
            </w:r>
          </w:p>
          <w:p w14:paraId="2EC756F6" w14:textId="06C6C873" w:rsidR="008B133C" w:rsidRPr="005A5B3E" w:rsidRDefault="00B21751" w:rsidP="008F168E">
            <w:pPr>
              <w:spacing w:after="120"/>
              <w:jc w:val="both"/>
              <w:rPr>
                <w:noProof/>
                <w:sz w:val="24"/>
                <w:szCs w:val="24"/>
              </w:rPr>
            </w:pPr>
            <w:r w:rsidRPr="005A5B3E">
              <w:rPr>
                <w:noProof/>
                <w:sz w:val="24"/>
                <w:szCs w:val="24"/>
              </w:rPr>
              <w:t>B</w:t>
            </w:r>
            <w:r w:rsidR="006B45C9" w:rsidRPr="005A5B3E" w:rsidDel="00703A67">
              <w:rPr>
                <w:noProof/>
                <w:sz w:val="24"/>
                <w:szCs w:val="24"/>
              </w:rPr>
              <w:t xml:space="preserve">etter sharing of information would also allow a reduction of costs for </w:t>
            </w:r>
            <w:r w:rsidR="008B133C" w:rsidRPr="005A5B3E">
              <w:rPr>
                <w:noProof/>
                <w:sz w:val="24"/>
                <w:szCs w:val="24"/>
              </w:rPr>
              <w:t xml:space="preserve">EU countries </w:t>
            </w:r>
            <w:r w:rsidR="006B45C9" w:rsidRPr="005A5B3E" w:rsidDel="00703A67">
              <w:rPr>
                <w:noProof/>
                <w:sz w:val="24"/>
                <w:szCs w:val="24"/>
              </w:rPr>
              <w:t xml:space="preserve">as it could help identify best practice. </w:t>
            </w:r>
          </w:p>
          <w:p w14:paraId="7014A2B8" w14:textId="5643A4C3" w:rsidR="008B133C" w:rsidRPr="005A5B3E" w:rsidRDefault="006B45C9" w:rsidP="008F168E">
            <w:pPr>
              <w:spacing w:after="120"/>
              <w:jc w:val="both"/>
              <w:rPr>
                <w:noProof/>
                <w:sz w:val="24"/>
                <w:szCs w:val="24"/>
              </w:rPr>
            </w:pPr>
            <w:r w:rsidRPr="005A5B3E" w:rsidDel="00703A67">
              <w:rPr>
                <w:noProof/>
                <w:sz w:val="24"/>
                <w:szCs w:val="24"/>
              </w:rPr>
              <w:t xml:space="preserve">On enforcement costs, </w:t>
            </w:r>
            <w:r w:rsidR="008B133C" w:rsidRPr="005A5B3E">
              <w:rPr>
                <w:noProof/>
                <w:sz w:val="24"/>
                <w:szCs w:val="24"/>
              </w:rPr>
              <w:t xml:space="preserve">EU countries </w:t>
            </w:r>
            <w:r w:rsidRPr="005A5B3E" w:rsidDel="00703A67">
              <w:rPr>
                <w:noProof/>
                <w:sz w:val="24"/>
                <w:szCs w:val="24"/>
              </w:rPr>
              <w:t>would benefit</w:t>
            </w:r>
            <w:r w:rsidRPr="005A5B3E">
              <w:rPr>
                <w:noProof/>
                <w:sz w:val="24"/>
                <w:szCs w:val="24"/>
              </w:rPr>
              <w:t xml:space="preserve"> from the centralised procedure, as</w:t>
            </w:r>
            <w:r w:rsidRPr="005A5B3E" w:rsidDel="00703A67">
              <w:rPr>
                <w:noProof/>
                <w:sz w:val="24"/>
                <w:szCs w:val="24"/>
              </w:rPr>
              <w:t xml:space="preserve"> </w:t>
            </w:r>
            <w:r w:rsidRPr="005A5B3E">
              <w:rPr>
                <w:noProof/>
                <w:sz w:val="24"/>
                <w:szCs w:val="24"/>
              </w:rPr>
              <w:t>c</w:t>
            </w:r>
            <w:r w:rsidRPr="005A5B3E" w:rsidDel="00703A67">
              <w:rPr>
                <w:noProof/>
                <w:sz w:val="24"/>
                <w:szCs w:val="24"/>
              </w:rPr>
              <w:t xml:space="preserve">osts linked to the negotiations with patent owners and manufacturers would be </w:t>
            </w:r>
            <w:r w:rsidRPr="005A5B3E">
              <w:rPr>
                <w:noProof/>
                <w:sz w:val="24"/>
                <w:szCs w:val="24"/>
              </w:rPr>
              <w:t xml:space="preserve">incurred solely at EU level. </w:t>
            </w:r>
          </w:p>
          <w:p w14:paraId="45F07A12" w14:textId="32F31580" w:rsidR="008B133C" w:rsidRPr="005A5B3E" w:rsidRDefault="006B45C9" w:rsidP="008F168E">
            <w:pPr>
              <w:spacing w:after="120"/>
              <w:jc w:val="both"/>
              <w:rPr>
                <w:noProof/>
                <w:sz w:val="24"/>
                <w:szCs w:val="24"/>
              </w:rPr>
            </w:pPr>
            <w:r w:rsidRPr="005A5B3E" w:rsidDel="00703A67">
              <w:rPr>
                <w:noProof/>
                <w:sz w:val="24"/>
                <w:szCs w:val="24"/>
              </w:rPr>
              <w:t>EU citizens would greatly benefit from th</w:t>
            </w:r>
            <w:r w:rsidR="008B133C" w:rsidRPr="005A5B3E">
              <w:rPr>
                <w:noProof/>
                <w:sz w:val="24"/>
                <w:szCs w:val="24"/>
              </w:rPr>
              <w:t>e preferred</w:t>
            </w:r>
            <w:r w:rsidRPr="005A5B3E" w:rsidDel="00703A67">
              <w:rPr>
                <w:noProof/>
                <w:sz w:val="24"/>
                <w:szCs w:val="24"/>
              </w:rPr>
              <w:t xml:space="preserve"> option as it would improve the EU’s ability to issue an effective and efficient </w:t>
            </w:r>
            <w:r w:rsidR="00DC40E1" w:rsidRPr="005A5B3E">
              <w:rPr>
                <w:noProof/>
                <w:sz w:val="24"/>
                <w:szCs w:val="24"/>
              </w:rPr>
              <w:t>compulsory licen</w:t>
            </w:r>
            <w:r w:rsidR="008B133C" w:rsidRPr="005A5B3E">
              <w:rPr>
                <w:noProof/>
                <w:sz w:val="24"/>
                <w:szCs w:val="24"/>
              </w:rPr>
              <w:t>ce</w:t>
            </w:r>
            <w:r w:rsidRPr="005A5B3E" w:rsidDel="00703A67">
              <w:rPr>
                <w:noProof/>
                <w:sz w:val="24"/>
                <w:szCs w:val="24"/>
              </w:rPr>
              <w:t xml:space="preserve"> for the whole EU, including in </w:t>
            </w:r>
            <w:r w:rsidR="008B133C" w:rsidRPr="005A5B3E">
              <w:rPr>
                <w:noProof/>
                <w:sz w:val="24"/>
                <w:szCs w:val="24"/>
              </w:rPr>
              <w:t xml:space="preserve">the event </w:t>
            </w:r>
            <w:r w:rsidRPr="005A5B3E" w:rsidDel="00703A67">
              <w:rPr>
                <w:noProof/>
                <w:sz w:val="24"/>
                <w:szCs w:val="24"/>
              </w:rPr>
              <w:t xml:space="preserve">of cross-border supply chain disruptions. </w:t>
            </w:r>
          </w:p>
          <w:p w14:paraId="04D78509" w14:textId="567D0493" w:rsidR="006B45C9" w:rsidRPr="005A5B3E" w:rsidRDefault="008B133C" w:rsidP="005A5B3E">
            <w:pPr>
              <w:spacing w:after="120"/>
              <w:jc w:val="both"/>
              <w:rPr>
                <w:noProof/>
              </w:rPr>
            </w:pPr>
            <w:r w:rsidRPr="005A5B3E">
              <w:rPr>
                <w:noProof/>
                <w:sz w:val="24"/>
                <w:szCs w:val="24"/>
              </w:rPr>
              <w:t>Non-EU</w:t>
            </w:r>
            <w:r w:rsidR="006B45C9" w:rsidRPr="005A5B3E" w:rsidDel="00703A67">
              <w:rPr>
                <w:noProof/>
                <w:sz w:val="24"/>
                <w:szCs w:val="24"/>
              </w:rPr>
              <w:t xml:space="preserve"> countries would also benefit as th</w:t>
            </w:r>
            <w:r w:rsidRPr="005A5B3E">
              <w:rPr>
                <w:noProof/>
                <w:sz w:val="24"/>
                <w:szCs w:val="24"/>
              </w:rPr>
              <w:t xml:space="preserve">e option </w:t>
            </w:r>
            <w:r w:rsidR="006B45C9" w:rsidRPr="005A5B3E" w:rsidDel="00703A67">
              <w:rPr>
                <w:noProof/>
                <w:sz w:val="24"/>
                <w:szCs w:val="24"/>
              </w:rPr>
              <w:t xml:space="preserve">would provide the possibility to rely on a </w:t>
            </w:r>
            <w:r w:rsidR="00DC40E1" w:rsidRPr="005A5B3E">
              <w:rPr>
                <w:noProof/>
                <w:sz w:val="24"/>
                <w:szCs w:val="24"/>
              </w:rPr>
              <w:t>compulsory licen</w:t>
            </w:r>
            <w:r w:rsidRPr="005A5B3E">
              <w:rPr>
                <w:noProof/>
                <w:sz w:val="24"/>
                <w:szCs w:val="24"/>
              </w:rPr>
              <w:t>ce</w:t>
            </w:r>
            <w:r w:rsidR="006B45C9" w:rsidRPr="005A5B3E" w:rsidDel="00703A67">
              <w:rPr>
                <w:noProof/>
                <w:sz w:val="24"/>
                <w:szCs w:val="24"/>
              </w:rPr>
              <w:t xml:space="preserve"> covering a cross-border supply chain.</w:t>
            </w:r>
          </w:p>
          <w:p w14:paraId="149BBA86" w14:textId="53CA5747" w:rsidR="006B45C9" w:rsidRPr="004C6C2B" w:rsidRDefault="006B45C9" w:rsidP="006B45C9">
            <w:pPr>
              <w:pStyle w:val="Caption"/>
              <w:keepNext/>
              <w:rPr>
                <w:noProof/>
                <w:lang w:val="en-GB"/>
              </w:rPr>
            </w:pPr>
            <w:r w:rsidRPr="005A5B3E">
              <w:rPr>
                <w:noProof/>
                <w:lang w:val="en-GB"/>
              </w:rPr>
              <w:t xml:space="preserve">Table 1: </w:t>
            </w:r>
            <w:r w:rsidR="004C6C2B">
              <w:rPr>
                <w:noProof/>
                <w:lang w:val="en-GB"/>
              </w:rPr>
              <w:t>Positive i</w:t>
            </w:r>
            <w:r w:rsidRPr="005A5B3E">
              <w:rPr>
                <w:noProof/>
                <w:lang w:val="en-GB"/>
              </w:rPr>
              <w:t xml:space="preserve">mpacts on stakeholders in </w:t>
            </w:r>
            <w:r w:rsidR="008B133C" w:rsidRPr="005A5B3E">
              <w:rPr>
                <w:noProof/>
                <w:lang w:val="en-GB"/>
              </w:rPr>
              <w:t xml:space="preserve">the </w:t>
            </w:r>
            <w:r w:rsidR="00DF5467" w:rsidRPr="00DF5467">
              <w:rPr>
                <w:noProof/>
                <w:lang w:val="en-GB"/>
              </w:rPr>
              <w:t>event</w:t>
            </w:r>
            <w:r w:rsidR="008B133C" w:rsidRPr="004C6C2B">
              <w:rPr>
                <w:noProof/>
                <w:lang w:val="en-GB"/>
              </w:rPr>
              <w:t xml:space="preserve"> </w:t>
            </w:r>
            <w:r w:rsidRPr="004C6C2B">
              <w:rPr>
                <w:noProof/>
                <w:lang w:val="en-GB"/>
              </w:rPr>
              <w:t xml:space="preserve">of a </w:t>
            </w:r>
            <w:r w:rsidR="002B0E3E" w:rsidRPr="004C6C2B">
              <w:rPr>
                <w:noProof/>
                <w:lang w:val="en-GB"/>
              </w:rPr>
              <w:t xml:space="preserve">cross-border </w:t>
            </w:r>
            <w:r w:rsidRPr="004C6C2B">
              <w:rPr>
                <w:noProof/>
                <w:lang w:val="en-GB"/>
              </w:rPr>
              <w:t>crisis - Option 4 compared to the baseline</w:t>
            </w:r>
          </w:p>
          <w:tbl>
            <w:tblPr>
              <w:tblStyle w:val="TableGrid"/>
              <w:tblW w:w="9057" w:type="dxa"/>
              <w:tblInd w:w="10" w:type="dxa"/>
              <w:tblLook w:val="04A0" w:firstRow="1" w:lastRow="0" w:firstColumn="1" w:lastColumn="0" w:noHBand="0" w:noVBand="1"/>
            </w:tblPr>
            <w:tblGrid>
              <w:gridCol w:w="1384"/>
              <w:gridCol w:w="7673"/>
            </w:tblGrid>
            <w:tr w:rsidR="006B45C9" w:rsidRPr="00DF5467" w14:paraId="0FBBB064" w14:textId="77777777" w:rsidTr="006B45C9">
              <w:trPr>
                <w:cantSplit/>
                <w:trHeight w:val="1134"/>
              </w:trPr>
              <w:tc>
                <w:tcPr>
                  <w:tcW w:w="1384" w:type="dxa"/>
                </w:tcPr>
                <w:p w14:paraId="7B0B82FA" w14:textId="77777777" w:rsidR="006B45C9" w:rsidRPr="004C6C2B" w:rsidRDefault="006B45C9" w:rsidP="00586ADA">
                  <w:pPr>
                    <w:pStyle w:val="Size10"/>
                    <w:rPr>
                      <w:noProof/>
                      <w:lang w:val="en-GB"/>
                    </w:rPr>
                  </w:pPr>
                  <w:r w:rsidRPr="004C6C2B">
                    <w:rPr>
                      <w:noProof/>
                      <w:lang w:val="en-GB"/>
                    </w:rPr>
                    <w:t>Patent owners</w:t>
                  </w:r>
                </w:p>
              </w:tc>
              <w:tc>
                <w:tcPr>
                  <w:tcW w:w="7673" w:type="dxa"/>
                </w:tcPr>
                <w:p w14:paraId="03AC9DC5" w14:textId="4ED801BE" w:rsidR="006B45C9" w:rsidRPr="004C6C2B" w:rsidRDefault="006B45C9" w:rsidP="00586ADA">
                  <w:pPr>
                    <w:pStyle w:val="Size10"/>
                    <w:rPr>
                      <w:noProof/>
                      <w:lang w:val="en-GB"/>
                    </w:rPr>
                  </w:pPr>
                  <w:r w:rsidRPr="004C6C2B">
                    <w:rPr>
                      <w:noProof/>
                      <w:lang w:val="en-GB"/>
                    </w:rPr>
                    <w:t xml:space="preserve">(+ +) </w:t>
                  </w:r>
                  <w:r w:rsidR="00226DAB" w:rsidRPr="004C6C2B">
                    <w:rPr>
                      <w:noProof/>
                      <w:lang w:val="en-GB"/>
                    </w:rPr>
                    <w:t>L</w:t>
                  </w:r>
                  <w:r w:rsidRPr="004C6C2B">
                    <w:rPr>
                      <w:noProof/>
                      <w:lang w:val="en-GB"/>
                    </w:rPr>
                    <w:t xml:space="preserve">ower costs of negotiations, </w:t>
                  </w:r>
                  <w:r w:rsidR="008B133C" w:rsidRPr="004C6C2B">
                    <w:rPr>
                      <w:noProof/>
                      <w:lang w:val="en-GB"/>
                    </w:rPr>
                    <w:t xml:space="preserve">due to </w:t>
                  </w:r>
                  <w:r w:rsidRPr="004C6C2B">
                    <w:rPr>
                      <w:noProof/>
                      <w:lang w:val="en-GB"/>
                    </w:rPr>
                    <w:t>a single procedure at EU level</w:t>
                  </w:r>
                  <w:r w:rsidRPr="004C6C2B" w:rsidDel="00165F30">
                    <w:rPr>
                      <w:noProof/>
                      <w:lang w:val="en-GB"/>
                    </w:rPr>
                    <w:t xml:space="preserve"> </w:t>
                  </w:r>
                  <w:r w:rsidRPr="004C6C2B">
                    <w:rPr>
                      <w:noProof/>
                      <w:lang w:val="en-GB"/>
                    </w:rPr>
                    <w:t xml:space="preserve">instead of multiple procedures in each </w:t>
                  </w:r>
                  <w:r w:rsidR="008B133C" w:rsidRPr="004C6C2B">
                    <w:rPr>
                      <w:noProof/>
                      <w:lang w:val="en-GB"/>
                    </w:rPr>
                    <w:t>EU country</w:t>
                  </w:r>
                  <w:r w:rsidRPr="004C6C2B">
                    <w:rPr>
                      <w:noProof/>
                      <w:lang w:val="en-GB"/>
                    </w:rPr>
                    <w:t xml:space="preserve"> concerned.</w:t>
                  </w:r>
                </w:p>
                <w:p w14:paraId="102D463E" w14:textId="3EE40B9E" w:rsidR="006B45C9" w:rsidRPr="004C6C2B" w:rsidRDefault="006B45C9" w:rsidP="00586ADA">
                  <w:pPr>
                    <w:pStyle w:val="Size10"/>
                    <w:rPr>
                      <w:noProof/>
                      <w:lang w:val="en-GB"/>
                    </w:rPr>
                  </w:pPr>
                  <w:r w:rsidRPr="004C6C2B">
                    <w:rPr>
                      <w:noProof/>
                      <w:lang w:val="en-GB"/>
                    </w:rPr>
                    <w:t xml:space="preserve">(+ +) </w:t>
                  </w:r>
                  <w:r w:rsidR="008B133C" w:rsidRPr="004C6C2B">
                    <w:rPr>
                      <w:noProof/>
                      <w:lang w:val="en-GB"/>
                    </w:rPr>
                    <w:t>More</w:t>
                  </w:r>
                  <w:r w:rsidRPr="004C6C2B">
                    <w:rPr>
                      <w:noProof/>
                      <w:lang w:val="en-GB"/>
                    </w:rPr>
                    <w:t xml:space="preserve"> legal certainty (e.g. clarity on what level of remuneration may be expected), </w:t>
                  </w:r>
                  <w:r w:rsidR="008B133C" w:rsidRPr="004C6C2B">
                    <w:rPr>
                      <w:noProof/>
                      <w:lang w:val="en-GB"/>
                    </w:rPr>
                    <w:t xml:space="preserve">due to the </w:t>
                  </w:r>
                  <w:r w:rsidRPr="004C6C2B">
                    <w:rPr>
                      <w:noProof/>
                      <w:lang w:val="en-GB"/>
                    </w:rPr>
                    <w:t xml:space="preserve">single procedure at EU level instead of multiple procedures in each </w:t>
                  </w:r>
                  <w:r w:rsidR="008B133C" w:rsidRPr="004C6C2B">
                    <w:rPr>
                      <w:noProof/>
                      <w:lang w:val="en-GB"/>
                    </w:rPr>
                    <w:t>country</w:t>
                  </w:r>
                  <w:r w:rsidRPr="004C6C2B">
                    <w:rPr>
                      <w:noProof/>
                      <w:lang w:val="en-GB"/>
                    </w:rPr>
                    <w:t xml:space="preserve"> concerned. </w:t>
                  </w:r>
                </w:p>
              </w:tc>
            </w:tr>
            <w:tr w:rsidR="006B45C9" w:rsidRPr="00DF5467" w14:paraId="58F5D100" w14:textId="77777777" w:rsidTr="006B45C9">
              <w:trPr>
                <w:cantSplit/>
                <w:trHeight w:val="1134"/>
              </w:trPr>
              <w:tc>
                <w:tcPr>
                  <w:tcW w:w="1384" w:type="dxa"/>
                </w:tcPr>
                <w:p w14:paraId="2E6AA92C" w14:textId="77777777" w:rsidR="006B45C9" w:rsidRPr="004C6C2B" w:rsidRDefault="006B45C9" w:rsidP="00586ADA">
                  <w:pPr>
                    <w:pStyle w:val="Size10"/>
                    <w:rPr>
                      <w:noProof/>
                      <w:lang w:val="en-GB"/>
                    </w:rPr>
                  </w:pPr>
                  <w:r w:rsidRPr="004C6C2B">
                    <w:rPr>
                      <w:noProof/>
                      <w:lang w:val="en-GB"/>
                    </w:rPr>
                    <w:t>Manufacturers – potential licensees</w:t>
                  </w:r>
                </w:p>
              </w:tc>
              <w:tc>
                <w:tcPr>
                  <w:tcW w:w="7673" w:type="dxa"/>
                </w:tcPr>
                <w:p w14:paraId="4CE8C357" w14:textId="601CBF44" w:rsidR="006B45C9" w:rsidRPr="004C6C2B" w:rsidRDefault="006B45C9" w:rsidP="00586ADA">
                  <w:pPr>
                    <w:pStyle w:val="Size10"/>
                    <w:rPr>
                      <w:noProof/>
                      <w:lang w:val="en-GB"/>
                    </w:rPr>
                  </w:pPr>
                  <w:r w:rsidRPr="004C6C2B">
                    <w:rPr>
                      <w:noProof/>
                      <w:lang w:val="en-GB"/>
                    </w:rPr>
                    <w:t xml:space="preserve">(+ +) </w:t>
                  </w:r>
                  <w:r w:rsidR="00226DAB" w:rsidRPr="004C6C2B">
                    <w:rPr>
                      <w:noProof/>
                      <w:lang w:val="en-GB"/>
                    </w:rPr>
                    <w:t>L</w:t>
                  </w:r>
                  <w:r w:rsidRPr="004C6C2B">
                    <w:rPr>
                      <w:noProof/>
                      <w:lang w:val="en-GB"/>
                    </w:rPr>
                    <w:t xml:space="preserve">ower costs of negotiations, </w:t>
                  </w:r>
                  <w:r w:rsidR="008B133C" w:rsidRPr="004C6C2B">
                    <w:rPr>
                      <w:noProof/>
                      <w:lang w:val="en-GB"/>
                    </w:rPr>
                    <w:t xml:space="preserve">due to the </w:t>
                  </w:r>
                  <w:r w:rsidRPr="004C6C2B">
                    <w:rPr>
                      <w:noProof/>
                      <w:lang w:val="en-GB"/>
                    </w:rPr>
                    <w:t>single procedure at EU level</w:t>
                  </w:r>
                  <w:r w:rsidR="008B133C" w:rsidRPr="004C6C2B">
                    <w:rPr>
                      <w:noProof/>
                      <w:lang w:val="en-GB"/>
                    </w:rPr>
                    <w:t>.</w:t>
                  </w:r>
                </w:p>
                <w:p w14:paraId="189ACFF4" w14:textId="0478AF44" w:rsidR="006B45C9" w:rsidRPr="004C6C2B" w:rsidRDefault="006B45C9" w:rsidP="00586ADA">
                  <w:pPr>
                    <w:pStyle w:val="Size10"/>
                    <w:rPr>
                      <w:noProof/>
                      <w:lang w:val="en-GB"/>
                    </w:rPr>
                  </w:pPr>
                  <w:r w:rsidRPr="004C6C2B">
                    <w:rPr>
                      <w:noProof/>
                      <w:lang w:val="en-GB"/>
                    </w:rPr>
                    <w:t xml:space="preserve">(+) Lower costs of adapting manufacturing facilities to the production of </w:t>
                  </w:r>
                  <w:r w:rsidR="008B133C" w:rsidRPr="004C6C2B">
                    <w:rPr>
                      <w:noProof/>
                      <w:lang w:val="en-GB"/>
                    </w:rPr>
                    <w:t xml:space="preserve">the item(s) covered by the </w:t>
                  </w:r>
                  <w:r w:rsidR="00DC40E1" w:rsidRPr="004C6C2B">
                    <w:rPr>
                      <w:noProof/>
                      <w:lang w:val="en-GB"/>
                    </w:rPr>
                    <w:t>licen</w:t>
                  </w:r>
                  <w:r w:rsidR="008B133C" w:rsidRPr="004C6C2B">
                    <w:rPr>
                      <w:noProof/>
                      <w:lang w:val="en-GB"/>
                    </w:rPr>
                    <w:t>ce,</w:t>
                  </w:r>
                  <w:r w:rsidRPr="004C6C2B">
                    <w:rPr>
                      <w:noProof/>
                      <w:lang w:val="en-GB"/>
                    </w:rPr>
                    <w:t xml:space="preserve"> due to economies of scale, if EU-level </w:t>
                  </w:r>
                  <w:r w:rsidR="00DC40E1" w:rsidRPr="004C6C2B">
                    <w:rPr>
                      <w:noProof/>
                      <w:lang w:val="en-GB"/>
                    </w:rPr>
                    <w:t>compulsory licensing</w:t>
                  </w:r>
                  <w:r w:rsidRPr="004C6C2B">
                    <w:rPr>
                      <w:noProof/>
                      <w:lang w:val="en-GB"/>
                    </w:rPr>
                    <w:t xml:space="preserve"> leads to wider geographical scope.</w:t>
                  </w:r>
                </w:p>
              </w:tc>
            </w:tr>
            <w:tr w:rsidR="006B45C9" w:rsidRPr="00DF5467" w14:paraId="7E322AA6" w14:textId="77777777" w:rsidTr="002B0E3E">
              <w:trPr>
                <w:cantSplit/>
                <w:trHeight w:val="1093"/>
              </w:trPr>
              <w:tc>
                <w:tcPr>
                  <w:tcW w:w="1384" w:type="dxa"/>
                </w:tcPr>
                <w:p w14:paraId="695FDA05" w14:textId="24E865DF" w:rsidR="006B45C9" w:rsidRPr="004C6C2B" w:rsidRDefault="008B133C" w:rsidP="00586ADA">
                  <w:pPr>
                    <w:pStyle w:val="Size10"/>
                    <w:rPr>
                      <w:noProof/>
                      <w:lang w:val="en-GB"/>
                    </w:rPr>
                  </w:pPr>
                  <w:r w:rsidRPr="004C6C2B">
                    <w:rPr>
                      <w:noProof/>
                      <w:lang w:val="en-GB"/>
                    </w:rPr>
                    <w:t>EU countries</w:t>
                  </w:r>
                </w:p>
              </w:tc>
              <w:tc>
                <w:tcPr>
                  <w:tcW w:w="7673" w:type="dxa"/>
                </w:tcPr>
                <w:p w14:paraId="1D3BD6AC" w14:textId="14E120AA" w:rsidR="006B45C9" w:rsidRPr="004C6C2B" w:rsidRDefault="006B45C9" w:rsidP="00586ADA">
                  <w:pPr>
                    <w:pStyle w:val="Size10"/>
                    <w:rPr>
                      <w:noProof/>
                      <w:lang w:val="en-GB"/>
                    </w:rPr>
                  </w:pPr>
                  <w:r w:rsidRPr="004C6C2B">
                    <w:rPr>
                      <w:noProof/>
                      <w:lang w:val="en-GB"/>
                    </w:rPr>
                    <w:t xml:space="preserve">(+ + +) Significantly lower costs of running the </w:t>
                  </w:r>
                  <w:r w:rsidR="00DC40E1" w:rsidRPr="004C6C2B">
                    <w:rPr>
                      <w:noProof/>
                      <w:lang w:val="en-GB"/>
                    </w:rPr>
                    <w:t>compulsory licensing</w:t>
                  </w:r>
                  <w:r w:rsidRPr="004C6C2B">
                    <w:rPr>
                      <w:noProof/>
                      <w:lang w:val="en-GB"/>
                    </w:rPr>
                    <w:t xml:space="preserve"> procedure (no negotiations with the patent holders or manufacturers), as </w:t>
                  </w:r>
                  <w:r w:rsidR="008B133C" w:rsidRPr="004C6C2B">
                    <w:rPr>
                      <w:noProof/>
                      <w:lang w:val="en-GB"/>
                    </w:rPr>
                    <w:t>EU countries</w:t>
                  </w:r>
                  <w:r w:rsidRPr="004C6C2B">
                    <w:rPr>
                      <w:noProof/>
                      <w:lang w:val="en-GB"/>
                    </w:rPr>
                    <w:t xml:space="preserve"> will only implement a single decision made at EU level </w:t>
                  </w:r>
                </w:p>
                <w:p w14:paraId="1BA74AB2" w14:textId="2E0C1D11" w:rsidR="006B45C9" w:rsidRPr="004C6C2B" w:rsidRDefault="006B45C9" w:rsidP="00586ADA">
                  <w:pPr>
                    <w:pStyle w:val="Size10"/>
                    <w:rPr>
                      <w:noProof/>
                      <w:lang w:val="en-GB"/>
                    </w:rPr>
                  </w:pPr>
                  <w:r w:rsidRPr="004C6C2B">
                    <w:rPr>
                      <w:noProof/>
                      <w:lang w:val="en-GB"/>
                    </w:rPr>
                    <w:t>(+) Better exchange of information about availabilities of product</w:t>
                  </w:r>
                  <w:r w:rsidR="00E84332">
                    <w:rPr>
                      <w:noProof/>
                      <w:lang w:val="en-GB"/>
                    </w:rPr>
                    <w:t>(s)</w:t>
                  </w:r>
                  <w:r w:rsidRPr="004C6C2B">
                    <w:rPr>
                      <w:noProof/>
                      <w:lang w:val="en-GB"/>
                    </w:rPr>
                    <w:t xml:space="preserve">, in case of local shortages or cross-border value chain disruptions. </w:t>
                  </w:r>
                </w:p>
                <w:p w14:paraId="7BE949B4" w14:textId="54CFF118" w:rsidR="006B45C9" w:rsidRPr="004C6C2B" w:rsidRDefault="006B45C9" w:rsidP="00586ADA">
                  <w:pPr>
                    <w:pStyle w:val="Size10"/>
                    <w:rPr>
                      <w:noProof/>
                      <w:lang w:val="en-GB"/>
                    </w:rPr>
                  </w:pPr>
                  <w:r w:rsidRPr="004C6C2B">
                    <w:rPr>
                      <w:noProof/>
                      <w:lang w:val="en-GB"/>
                    </w:rPr>
                    <w:t xml:space="preserve">(+) Better decision-making and cooperation in the context of </w:t>
                  </w:r>
                  <w:r w:rsidR="00DC40E1" w:rsidRPr="004C6C2B">
                    <w:rPr>
                      <w:noProof/>
                      <w:lang w:val="en-GB"/>
                    </w:rPr>
                    <w:t>compulsory licen</w:t>
                  </w:r>
                  <w:r w:rsidR="00E84332">
                    <w:rPr>
                      <w:noProof/>
                      <w:lang w:val="en-GB"/>
                    </w:rPr>
                    <w:t>cing</w:t>
                  </w:r>
                  <w:r w:rsidRPr="004C6C2B">
                    <w:rPr>
                      <w:noProof/>
                      <w:lang w:val="en-GB"/>
                    </w:rPr>
                    <w:t xml:space="preserve"> for export to </w:t>
                  </w:r>
                  <w:r w:rsidR="008B133C" w:rsidRPr="004C6C2B">
                    <w:rPr>
                      <w:noProof/>
                      <w:lang w:val="en-GB"/>
                    </w:rPr>
                    <w:t>non-EU</w:t>
                  </w:r>
                  <w:r w:rsidRPr="004C6C2B">
                    <w:rPr>
                      <w:noProof/>
                      <w:lang w:val="en-GB"/>
                    </w:rPr>
                    <w:t xml:space="preserve"> countries</w:t>
                  </w:r>
                  <w:r w:rsidR="00A71ED9" w:rsidRPr="004C6C2B">
                    <w:rPr>
                      <w:noProof/>
                      <w:lang w:val="en-GB"/>
                    </w:rPr>
                    <w:t>.</w:t>
                  </w:r>
                  <w:r w:rsidRPr="004C6C2B">
                    <w:rPr>
                      <w:noProof/>
                      <w:lang w:val="en-GB"/>
                    </w:rPr>
                    <w:t xml:space="preserve"> </w:t>
                  </w:r>
                </w:p>
              </w:tc>
            </w:tr>
            <w:tr w:rsidR="006B45C9" w:rsidRPr="00DF5467" w14:paraId="29579C64" w14:textId="77777777" w:rsidTr="00226CCA">
              <w:trPr>
                <w:cantSplit/>
                <w:trHeight w:val="449"/>
              </w:trPr>
              <w:tc>
                <w:tcPr>
                  <w:tcW w:w="1384" w:type="dxa"/>
                </w:tcPr>
                <w:p w14:paraId="659B2C3F" w14:textId="68F9A47D" w:rsidR="006B45C9" w:rsidRPr="004C6C2B" w:rsidRDefault="008B133C" w:rsidP="00586ADA">
                  <w:pPr>
                    <w:pStyle w:val="Size10"/>
                    <w:rPr>
                      <w:noProof/>
                      <w:lang w:val="en-GB"/>
                    </w:rPr>
                  </w:pPr>
                  <w:r w:rsidRPr="004C6C2B">
                    <w:rPr>
                      <w:noProof/>
                      <w:lang w:val="en-GB"/>
                    </w:rPr>
                    <w:t>The general public</w:t>
                  </w:r>
                  <w:r w:rsidR="0003376C">
                    <w:rPr>
                      <w:noProof/>
                      <w:lang w:val="en-GB"/>
                    </w:rPr>
                    <w:t xml:space="preserve"> (</w:t>
                  </w:r>
                  <w:r w:rsidR="006B45C9" w:rsidRPr="004C6C2B">
                    <w:rPr>
                      <w:noProof/>
                      <w:lang w:val="en-GB"/>
                    </w:rPr>
                    <w:t xml:space="preserve">EU </w:t>
                  </w:r>
                  <w:r w:rsidR="00AD2FDB">
                    <w:rPr>
                      <w:noProof/>
                      <w:lang w:val="en-GB"/>
                    </w:rPr>
                    <w:t>c</w:t>
                  </w:r>
                  <w:r w:rsidR="006B45C9" w:rsidRPr="004C6C2B">
                    <w:rPr>
                      <w:noProof/>
                      <w:lang w:val="en-GB"/>
                    </w:rPr>
                    <w:t>itizens</w:t>
                  </w:r>
                  <w:r w:rsidR="0003376C">
                    <w:rPr>
                      <w:noProof/>
                      <w:lang w:val="en-GB"/>
                    </w:rPr>
                    <w:t>)</w:t>
                  </w:r>
                </w:p>
              </w:tc>
              <w:tc>
                <w:tcPr>
                  <w:tcW w:w="7673" w:type="dxa"/>
                </w:tcPr>
                <w:p w14:paraId="0CFD562A" w14:textId="40D97356" w:rsidR="006B45C9" w:rsidRPr="004C6C2B" w:rsidRDefault="006B45C9" w:rsidP="00586ADA">
                  <w:pPr>
                    <w:pStyle w:val="Size10"/>
                    <w:rPr>
                      <w:noProof/>
                      <w:lang w:val="en-GB"/>
                    </w:rPr>
                  </w:pPr>
                  <w:r w:rsidRPr="004C6C2B">
                    <w:rPr>
                      <w:noProof/>
                      <w:lang w:val="en-GB"/>
                    </w:rPr>
                    <w:t xml:space="preserve">(+ + +) Significantly lower risk of delays or unavailability of critical products during crisis, as rules </w:t>
                  </w:r>
                  <w:r w:rsidR="008B133C" w:rsidRPr="004C6C2B">
                    <w:rPr>
                      <w:noProof/>
                      <w:lang w:val="en-GB"/>
                    </w:rPr>
                    <w:t xml:space="preserve">are consistent </w:t>
                  </w:r>
                  <w:r w:rsidRPr="004C6C2B">
                    <w:rPr>
                      <w:noProof/>
                      <w:lang w:val="en-GB"/>
                    </w:rPr>
                    <w:t xml:space="preserve">across all </w:t>
                  </w:r>
                  <w:r w:rsidR="008B133C" w:rsidRPr="004C6C2B">
                    <w:rPr>
                      <w:noProof/>
                      <w:lang w:val="en-GB"/>
                    </w:rPr>
                    <w:t>EU countries</w:t>
                  </w:r>
                  <w:r w:rsidRPr="004C6C2B">
                    <w:rPr>
                      <w:i/>
                      <w:noProof/>
                      <w:lang w:val="en-GB"/>
                    </w:rPr>
                    <w:t>.</w:t>
                  </w:r>
                </w:p>
              </w:tc>
            </w:tr>
            <w:tr w:rsidR="006B45C9" w:rsidRPr="00DF5467" w14:paraId="3EA7006E" w14:textId="77777777" w:rsidTr="002B0E3E">
              <w:trPr>
                <w:cantSplit/>
                <w:trHeight w:val="58"/>
              </w:trPr>
              <w:tc>
                <w:tcPr>
                  <w:tcW w:w="1384" w:type="dxa"/>
                  <w:tcBorders>
                    <w:bottom w:val="single" w:sz="4" w:space="0" w:color="auto"/>
                  </w:tcBorders>
                </w:tcPr>
                <w:p w14:paraId="21177714" w14:textId="712A9097" w:rsidR="006B45C9" w:rsidRPr="004C6C2B" w:rsidRDefault="008B133C" w:rsidP="00586ADA">
                  <w:pPr>
                    <w:pStyle w:val="Size10"/>
                    <w:rPr>
                      <w:noProof/>
                      <w:lang w:val="en-GB"/>
                    </w:rPr>
                  </w:pPr>
                  <w:r w:rsidRPr="004C6C2B">
                    <w:rPr>
                      <w:noProof/>
                      <w:lang w:val="en-GB"/>
                    </w:rPr>
                    <w:t>Non-EU</w:t>
                  </w:r>
                  <w:r w:rsidR="006B45C9" w:rsidRPr="004C6C2B">
                    <w:rPr>
                      <w:noProof/>
                      <w:lang w:val="en-GB"/>
                    </w:rPr>
                    <w:t xml:space="preserve"> countries</w:t>
                  </w:r>
                </w:p>
              </w:tc>
              <w:tc>
                <w:tcPr>
                  <w:tcW w:w="7673" w:type="dxa"/>
                  <w:tcBorders>
                    <w:bottom w:val="single" w:sz="4" w:space="0" w:color="auto"/>
                  </w:tcBorders>
                </w:tcPr>
                <w:p w14:paraId="1C401070" w14:textId="601CECCE" w:rsidR="006B45C9" w:rsidRPr="004C6C2B" w:rsidRDefault="006B45C9" w:rsidP="004C6C2B">
                  <w:pPr>
                    <w:pStyle w:val="Size10"/>
                    <w:rPr>
                      <w:noProof/>
                      <w:lang w:val="en-GB"/>
                    </w:rPr>
                  </w:pPr>
                  <w:r w:rsidRPr="004C6C2B">
                    <w:rPr>
                      <w:noProof/>
                      <w:lang w:val="en-GB"/>
                    </w:rPr>
                    <w:t>(+</w:t>
                  </w:r>
                  <w:r w:rsidR="00773077">
                    <w:rPr>
                      <w:noProof/>
                      <w:lang w:val="en-GB"/>
                    </w:rPr>
                    <w:t xml:space="preserve"> </w:t>
                  </w:r>
                  <w:r w:rsidRPr="004C6C2B">
                    <w:rPr>
                      <w:noProof/>
                      <w:lang w:val="en-GB"/>
                    </w:rPr>
                    <w:t>+</w:t>
                  </w:r>
                  <w:r w:rsidR="00773077">
                    <w:rPr>
                      <w:noProof/>
                      <w:lang w:val="en-GB"/>
                    </w:rPr>
                    <w:t xml:space="preserve"> </w:t>
                  </w:r>
                  <w:r w:rsidRPr="004C6C2B">
                    <w:rPr>
                      <w:noProof/>
                      <w:lang w:val="en-GB"/>
                    </w:rPr>
                    <w:t xml:space="preserve">+) Increased legal certainty and administrative savings when accessing critical goods in </w:t>
                  </w:r>
                  <w:r w:rsidR="004C6C2B">
                    <w:rPr>
                      <w:noProof/>
                      <w:lang w:val="en-GB"/>
                    </w:rPr>
                    <w:t>case</w:t>
                  </w:r>
                  <w:r w:rsidR="008B133C" w:rsidRPr="004C6C2B">
                    <w:rPr>
                      <w:noProof/>
                      <w:lang w:val="en-GB"/>
                    </w:rPr>
                    <w:t xml:space="preserve"> </w:t>
                  </w:r>
                  <w:r w:rsidRPr="004C6C2B">
                    <w:rPr>
                      <w:noProof/>
                      <w:lang w:val="en-GB"/>
                    </w:rPr>
                    <w:t>of cross-border supply chain</w:t>
                  </w:r>
                  <w:r w:rsidR="008B133C" w:rsidRPr="004C6C2B">
                    <w:rPr>
                      <w:noProof/>
                      <w:lang w:val="en-GB"/>
                    </w:rPr>
                    <w:t>s,</w:t>
                  </w:r>
                  <w:r w:rsidRPr="004C6C2B">
                    <w:rPr>
                      <w:noProof/>
                      <w:lang w:val="en-GB"/>
                    </w:rPr>
                    <w:t xml:space="preserve"> due to direct coordination at EU level</w:t>
                  </w:r>
                  <w:r w:rsidRPr="004C6C2B">
                    <w:rPr>
                      <w:i/>
                      <w:noProof/>
                      <w:lang w:val="en-GB"/>
                    </w:rPr>
                    <w:t>.</w:t>
                  </w:r>
                </w:p>
              </w:tc>
            </w:tr>
            <w:tr w:rsidR="002B0E3E" w:rsidRPr="00DF5467" w14:paraId="4C154C46" w14:textId="77777777" w:rsidTr="002B0E3E">
              <w:trPr>
                <w:cantSplit/>
                <w:trHeight w:val="58"/>
              </w:trPr>
              <w:tc>
                <w:tcPr>
                  <w:tcW w:w="9057" w:type="dxa"/>
                  <w:gridSpan w:val="2"/>
                  <w:tcBorders>
                    <w:left w:val="nil"/>
                    <w:bottom w:val="nil"/>
                    <w:right w:val="nil"/>
                  </w:tcBorders>
                </w:tcPr>
                <w:p w14:paraId="3740CD6B" w14:textId="1FF60AF6" w:rsidR="002B0E3E" w:rsidRPr="004C6C2B" w:rsidRDefault="002B0E3E" w:rsidP="00586ADA">
                  <w:pPr>
                    <w:pStyle w:val="Size10"/>
                    <w:rPr>
                      <w:noProof/>
                      <w:lang w:val="en-GB"/>
                    </w:rPr>
                  </w:pPr>
                  <w:r w:rsidRPr="004C6C2B">
                    <w:rPr>
                      <w:noProof/>
                      <w:lang w:val="en-GB"/>
                    </w:rPr>
                    <w:t>Note: (0) neutral impact; (+) minor positive impact; (++) positive impact; (+++) significant positive impact; (-) minor negative impact; (- -) negative impact; (- - -) significant negative impact</w:t>
                  </w:r>
                </w:p>
              </w:tc>
            </w:tr>
          </w:tbl>
          <w:p w14:paraId="1145B1ED" w14:textId="0BCFDD8C" w:rsidR="006B45C9" w:rsidRPr="004C6C2B" w:rsidRDefault="006B45C9" w:rsidP="006B45C9">
            <w:pPr>
              <w:pStyle w:val="Caption"/>
              <w:rPr>
                <w:noProof/>
                <w:sz w:val="24"/>
                <w:szCs w:val="24"/>
                <w:lang w:val="en-GB"/>
              </w:rPr>
            </w:pPr>
          </w:p>
        </w:tc>
      </w:tr>
      <w:tr w:rsidR="00ED39C4" w:rsidRPr="00DF5467" w14:paraId="567884D8" w14:textId="77777777" w:rsidTr="00035755">
        <w:tc>
          <w:tcPr>
            <w:tcW w:w="9322" w:type="dxa"/>
            <w:tcBorders>
              <w:bottom w:val="single" w:sz="4" w:space="0" w:color="auto"/>
            </w:tcBorders>
            <w:shd w:val="clear" w:color="auto" w:fill="E6E6E6"/>
          </w:tcPr>
          <w:p w14:paraId="384F54E4" w14:textId="77777777" w:rsidR="00ED39C4" w:rsidRPr="00DF5467" w:rsidRDefault="00ED39C4" w:rsidP="00035755">
            <w:pPr>
              <w:spacing w:before="60" w:after="60"/>
              <w:jc w:val="both"/>
              <w:rPr>
                <w:noProof/>
                <w:sz w:val="24"/>
                <w:szCs w:val="24"/>
              </w:rPr>
            </w:pPr>
            <w:r w:rsidRPr="00DF5467">
              <w:rPr>
                <w:b/>
                <w:noProof/>
                <w:sz w:val="24"/>
                <w:szCs w:val="24"/>
              </w:rPr>
              <w:t>What are the costs of the preferred option (if any, otherwise main ones)?</w:t>
            </w:r>
            <w:r w:rsidRPr="00DF5467">
              <w:rPr>
                <w:noProof/>
                <w:sz w:val="24"/>
                <w:szCs w:val="24"/>
              </w:rPr>
              <w:t xml:space="preserve"> </w:t>
            </w:r>
          </w:p>
        </w:tc>
      </w:tr>
      <w:tr w:rsidR="00ED39C4" w:rsidRPr="00DF5467" w14:paraId="522ABB15" w14:textId="77777777" w:rsidTr="002B0E3E">
        <w:trPr>
          <w:trHeight w:val="3201"/>
        </w:trPr>
        <w:tc>
          <w:tcPr>
            <w:tcW w:w="9322" w:type="dxa"/>
            <w:tcBorders>
              <w:bottom w:val="single" w:sz="4" w:space="0" w:color="auto"/>
            </w:tcBorders>
            <w:shd w:val="clear" w:color="auto" w:fill="auto"/>
          </w:tcPr>
          <w:p w14:paraId="7D2DB865" w14:textId="166A5227" w:rsidR="00586ADA" w:rsidRPr="005A5B3E" w:rsidRDefault="006B45C9" w:rsidP="008B133C">
            <w:pPr>
              <w:pStyle w:val="Body"/>
              <w:spacing w:before="120" w:after="40"/>
              <w:rPr>
                <w:rFonts w:ascii="Times New Roman" w:hAnsi="Times New Roman"/>
                <w:noProof/>
                <w:sz w:val="24"/>
                <w:szCs w:val="24"/>
              </w:rPr>
            </w:pPr>
            <w:r w:rsidRPr="005A5B3E">
              <w:rPr>
                <w:rFonts w:ascii="Times New Roman" w:hAnsi="Times New Roman"/>
                <w:noProof/>
                <w:sz w:val="24"/>
                <w:szCs w:val="24"/>
              </w:rPr>
              <w:t xml:space="preserve">Patent owners </w:t>
            </w:r>
            <w:r w:rsidR="00865243" w:rsidRPr="005A5B3E">
              <w:rPr>
                <w:rFonts w:ascii="Times New Roman" w:hAnsi="Times New Roman"/>
                <w:noProof/>
                <w:sz w:val="24"/>
                <w:szCs w:val="24"/>
              </w:rPr>
              <w:t>c</w:t>
            </w:r>
            <w:r w:rsidRPr="005A5B3E">
              <w:rPr>
                <w:rFonts w:ascii="Times New Roman" w:hAnsi="Times New Roman"/>
                <w:noProof/>
                <w:sz w:val="24"/>
                <w:szCs w:val="24"/>
              </w:rPr>
              <w:t xml:space="preserve">ould face an </w:t>
            </w:r>
            <w:r w:rsidR="00865243" w:rsidRPr="005A5B3E">
              <w:rPr>
                <w:rFonts w:ascii="Times New Roman" w:hAnsi="Times New Roman"/>
                <w:noProof/>
                <w:sz w:val="24"/>
                <w:szCs w:val="24"/>
              </w:rPr>
              <w:t>incremental</w:t>
            </w:r>
            <w:r w:rsidRPr="005A5B3E">
              <w:rPr>
                <w:rFonts w:ascii="Times New Roman" w:hAnsi="Times New Roman"/>
                <w:noProof/>
                <w:sz w:val="24"/>
                <w:szCs w:val="24"/>
              </w:rPr>
              <w:t xml:space="preserve"> loss of control o</w:t>
            </w:r>
            <w:r w:rsidR="00865243" w:rsidRPr="005A5B3E">
              <w:rPr>
                <w:rFonts w:ascii="Times New Roman" w:hAnsi="Times New Roman"/>
                <w:noProof/>
                <w:sz w:val="24"/>
                <w:szCs w:val="24"/>
              </w:rPr>
              <w:t>f</w:t>
            </w:r>
            <w:r w:rsidRPr="005A5B3E">
              <w:rPr>
                <w:rFonts w:ascii="Times New Roman" w:hAnsi="Times New Roman"/>
                <w:noProof/>
                <w:sz w:val="24"/>
                <w:szCs w:val="24"/>
              </w:rPr>
              <w:t xml:space="preserve"> their patent rights </w:t>
            </w:r>
            <w:r w:rsidR="00865243" w:rsidRPr="005A5B3E">
              <w:rPr>
                <w:rFonts w:ascii="Times New Roman" w:hAnsi="Times New Roman"/>
                <w:noProof/>
                <w:sz w:val="24"/>
                <w:szCs w:val="24"/>
              </w:rPr>
              <w:t>if</w:t>
            </w:r>
            <w:r w:rsidRPr="005A5B3E">
              <w:rPr>
                <w:rFonts w:ascii="Times New Roman" w:hAnsi="Times New Roman"/>
                <w:noProof/>
                <w:sz w:val="24"/>
                <w:szCs w:val="24"/>
              </w:rPr>
              <w:t xml:space="preserve"> the impact of </w:t>
            </w:r>
            <w:r w:rsidR="001330E3" w:rsidRPr="005A5B3E">
              <w:rPr>
                <w:rFonts w:ascii="Times New Roman" w:hAnsi="Times New Roman"/>
                <w:noProof/>
                <w:sz w:val="24"/>
                <w:szCs w:val="24"/>
              </w:rPr>
              <w:t>the preferred option</w:t>
            </w:r>
            <w:r w:rsidRPr="005A5B3E">
              <w:rPr>
                <w:rFonts w:ascii="Times New Roman" w:hAnsi="Times New Roman"/>
                <w:noProof/>
                <w:sz w:val="24"/>
                <w:szCs w:val="24"/>
              </w:rPr>
              <w:t xml:space="preserve"> </w:t>
            </w:r>
            <w:r w:rsidR="00865243" w:rsidRPr="005A5B3E">
              <w:rPr>
                <w:rFonts w:ascii="Times New Roman" w:hAnsi="Times New Roman"/>
                <w:noProof/>
                <w:sz w:val="24"/>
                <w:szCs w:val="24"/>
              </w:rPr>
              <w:t>broadened the</w:t>
            </w:r>
            <w:r w:rsidR="001330E3" w:rsidRPr="005A5B3E">
              <w:rPr>
                <w:rFonts w:ascii="Times New Roman" w:hAnsi="Times New Roman"/>
                <w:noProof/>
                <w:sz w:val="24"/>
                <w:szCs w:val="24"/>
              </w:rPr>
              <w:t xml:space="preserve"> </w:t>
            </w:r>
            <w:r w:rsidR="00865243" w:rsidRPr="005A5B3E">
              <w:rPr>
                <w:rFonts w:ascii="Times New Roman" w:hAnsi="Times New Roman"/>
                <w:noProof/>
                <w:sz w:val="24"/>
                <w:szCs w:val="24"/>
              </w:rPr>
              <w:t>geographical scope</w:t>
            </w:r>
            <w:r w:rsidR="00586ADA" w:rsidRPr="005A5B3E">
              <w:rPr>
                <w:rFonts w:ascii="Times New Roman" w:hAnsi="Times New Roman"/>
                <w:noProof/>
                <w:sz w:val="24"/>
                <w:szCs w:val="24"/>
              </w:rPr>
              <w:t xml:space="preserve"> of the compulsory licence</w:t>
            </w:r>
            <w:r w:rsidR="00865243" w:rsidRPr="005A5B3E">
              <w:rPr>
                <w:rFonts w:ascii="Times New Roman" w:hAnsi="Times New Roman"/>
                <w:noProof/>
                <w:sz w:val="24"/>
                <w:szCs w:val="24"/>
              </w:rPr>
              <w:t xml:space="preserve">, as compared to the </w:t>
            </w:r>
            <w:r w:rsidR="00586ADA" w:rsidRPr="005A5B3E">
              <w:rPr>
                <w:rFonts w:ascii="Times New Roman" w:hAnsi="Times New Roman"/>
                <w:noProof/>
                <w:sz w:val="24"/>
                <w:szCs w:val="24"/>
              </w:rPr>
              <w:t xml:space="preserve">current situation with a </w:t>
            </w:r>
            <w:r w:rsidR="00865243" w:rsidRPr="005A5B3E">
              <w:rPr>
                <w:rFonts w:ascii="Times New Roman" w:hAnsi="Times New Roman"/>
                <w:noProof/>
                <w:sz w:val="24"/>
                <w:szCs w:val="24"/>
              </w:rPr>
              <w:t>thicket</w:t>
            </w:r>
            <w:r w:rsidR="005A5B3E">
              <w:rPr>
                <w:rFonts w:ascii="Times New Roman" w:hAnsi="Times New Roman"/>
                <w:noProof/>
                <w:sz w:val="24"/>
                <w:szCs w:val="24"/>
              </w:rPr>
              <w:t xml:space="preserve"> </w:t>
            </w:r>
            <w:r w:rsidR="00865243" w:rsidRPr="005A5B3E">
              <w:rPr>
                <w:rFonts w:ascii="Times New Roman" w:hAnsi="Times New Roman"/>
                <w:noProof/>
                <w:sz w:val="24"/>
                <w:szCs w:val="24"/>
              </w:rPr>
              <w:t xml:space="preserve">of national </w:t>
            </w:r>
            <w:r w:rsidR="00586ADA" w:rsidRPr="005A5B3E">
              <w:rPr>
                <w:rFonts w:ascii="Times New Roman" w:hAnsi="Times New Roman"/>
                <w:noProof/>
                <w:sz w:val="24"/>
                <w:szCs w:val="24"/>
              </w:rPr>
              <w:t>licences</w:t>
            </w:r>
            <w:r w:rsidRPr="005A5B3E">
              <w:rPr>
                <w:rFonts w:ascii="Times New Roman" w:hAnsi="Times New Roman"/>
                <w:noProof/>
                <w:sz w:val="24"/>
                <w:szCs w:val="24"/>
              </w:rPr>
              <w:t xml:space="preserve">. </w:t>
            </w:r>
          </w:p>
          <w:p w14:paraId="47D9C13F" w14:textId="11E54F92" w:rsidR="00586ADA" w:rsidRPr="005A5B3E" w:rsidRDefault="00A6615F" w:rsidP="008B133C">
            <w:pPr>
              <w:pStyle w:val="Body"/>
              <w:spacing w:before="120" w:after="40"/>
              <w:rPr>
                <w:rFonts w:ascii="Times New Roman" w:hAnsi="Times New Roman"/>
                <w:noProof/>
                <w:sz w:val="24"/>
                <w:szCs w:val="24"/>
              </w:rPr>
            </w:pPr>
            <w:r w:rsidRPr="005A5B3E">
              <w:rPr>
                <w:rFonts w:ascii="Times New Roman" w:hAnsi="Times New Roman"/>
                <w:noProof/>
                <w:sz w:val="24"/>
                <w:szCs w:val="24"/>
              </w:rPr>
              <w:t>T</w:t>
            </w:r>
            <w:r w:rsidR="006B45C9" w:rsidRPr="005A5B3E">
              <w:rPr>
                <w:rFonts w:ascii="Times New Roman" w:hAnsi="Times New Roman"/>
                <w:noProof/>
                <w:sz w:val="24"/>
                <w:szCs w:val="24"/>
              </w:rPr>
              <w:t>h</w:t>
            </w:r>
            <w:r w:rsidR="00865243" w:rsidRPr="005A5B3E">
              <w:rPr>
                <w:rFonts w:ascii="Times New Roman" w:hAnsi="Times New Roman"/>
                <w:noProof/>
                <w:sz w:val="24"/>
                <w:szCs w:val="24"/>
              </w:rPr>
              <w:t>is</w:t>
            </w:r>
            <w:r w:rsidR="006B45C9" w:rsidRPr="005A5B3E">
              <w:rPr>
                <w:rFonts w:ascii="Times New Roman" w:hAnsi="Times New Roman"/>
                <w:noProof/>
                <w:sz w:val="24"/>
                <w:szCs w:val="24"/>
              </w:rPr>
              <w:t xml:space="preserve"> greater territorial reach </w:t>
            </w:r>
            <w:r w:rsidR="00865243" w:rsidRPr="005A5B3E">
              <w:rPr>
                <w:rFonts w:ascii="Times New Roman" w:hAnsi="Times New Roman"/>
                <w:noProof/>
                <w:sz w:val="24"/>
                <w:szCs w:val="24"/>
              </w:rPr>
              <w:t>c</w:t>
            </w:r>
            <w:r w:rsidR="006B45C9" w:rsidRPr="005A5B3E">
              <w:rPr>
                <w:rFonts w:ascii="Times New Roman" w:hAnsi="Times New Roman"/>
                <w:noProof/>
                <w:sz w:val="24"/>
                <w:szCs w:val="24"/>
              </w:rPr>
              <w:t>ould also</w:t>
            </w:r>
            <w:r w:rsidR="00865243" w:rsidRPr="005A5B3E">
              <w:rPr>
                <w:rFonts w:ascii="Times New Roman" w:hAnsi="Times New Roman"/>
                <w:noProof/>
                <w:sz w:val="24"/>
                <w:szCs w:val="24"/>
              </w:rPr>
              <w:t xml:space="preserve"> be produced </w:t>
            </w:r>
            <w:r w:rsidR="00586ADA" w:rsidRPr="005A5B3E">
              <w:rPr>
                <w:rFonts w:ascii="Times New Roman" w:hAnsi="Times New Roman"/>
                <w:noProof/>
                <w:sz w:val="24"/>
                <w:szCs w:val="24"/>
              </w:rPr>
              <w:t>by</w:t>
            </w:r>
            <w:r w:rsidR="006B45C9" w:rsidRPr="005A5B3E">
              <w:rPr>
                <w:rFonts w:ascii="Times New Roman" w:hAnsi="Times New Roman"/>
                <w:noProof/>
                <w:sz w:val="24"/>
                <w:szCs w:val="24"/>
              </w:rPr>
              <w:t xml:space="preserve"> extend</w:t>
            </w:r>
            <w:r w:rsidR="00865243" w:rsidRPr="005A5B3E">
              <w:rPr>
                <w:rFonts w:ascii="Times New Roman" w:hAnsi="Times New Roman"/>
                <w:noProof/>
                <w:sz w:val="24"/>
                <w:szCs w:val="24"/>
              </w:rPr>
              <w:t>ing</w:t>
            </w:r>
            <w:r w:rsidR="006B45C9" w:rsidRPr="005A5B3E">
              <w:rPr>
                <w:rFonts w:ascii="Times New Roman" w:hAnsi="Times New Roman"/>
                <w:noProof/>
                <w:sz w:val="24"/>
                <w:szCs w:val="24"/>
              </w:rPr>
              <w:t xml:space="preserve"> </w:t>
            </w:r>
            <w:r w:rsidR="00DC40E1" w:rsidRPr="005A5B3E">
              <w:rPr>
                <w:rFonts w:ascii="Times New Roman" w:hAnsi="Times New Roman"/>
                <w:noProof/>
                <w:sz w:val="24"/>
                <w:szCs w:val="24"/>
              </w:rPr>
              <w:t>compulsory licensing</w:t>
            </w:r>
            <w:r w:rsidR="006B45C9" w:rsidRPr="005A5B3E" w:rsidDel="00703A67">
              <w:rPr>
                <w:rFonts w:ascii="Times New Roman" w:hAnsi="Times New Roman"/>
                <w:noProof/>
                <w:sz w:val="24"/>
                <w:szCs w:val="24"/>
              </w:rPr>
              <w:t xml:space="preserve"> </w:t>
            </w:r>
            <w:r w:rsidR="006B45C9" w:rsidRPr="005A5B3E">
              <w:rPr>
                <w:rFonts w:ascii="Times New Roman" w:hAnsi="Times New Roman"/>
                <w:noProof/>
                <w:sz w:val="24"/>
                <w:szCs w:val="24"/>
              </w:rPr>
              <w:t>for</w:t>
            </w:r>
            <w:r w:rsidR="006B45C9" w:rsidRPr="005A5B3E" w:rsidDel="00703A67">
              <w:rPr>
                <w:rFonts w:ascii="Times New Roman" w:hAnsi="Times New Roman"/>
                <w:noProof/>
                <w:sz w:val="24"/>
                <w:szCs w:val="24"/>
              </w:rPr>
              <w:t xml:space="preserve"> export to a </w:t>
            </w:r>
            <w:r w:rsidR="00586ADA" w:rsidRPr="005A5B3E">
              <w:rPr>
                <w:rFonts w:ascii="Times New Roman" w:hAnsi="Times New Roman"/>
                <w:noProof/>
                <w:sz w:val="24"/>
                <w:szCs w:val="24"/>
              </w:rPr>
              <w:t>non-EU</w:t>
            </w:r>
            <w:r w:rsidR="006B45C9" w:rsidRPr="005A5B3E" w:rsidDel="00703A67">
              <w:rPr>
                <w:rFonts w:ascii="Times New Roman" w:hAnsi="Times New Roman"/>
                <w:noProof/>
                <w:sz w:val="24"/>
                <w:szCs w:val="24"/>
              </w:rPr>
              <w:t xml:space="preserve"> country.</w:t>
            </w:r>
            <w:r w:rsidR="006B45C9" w:rsidRPr="005A5B3E">
              <w:rPr>
                <w:rFonts w:ascii="Times New Roman" w:hAnsi="Times New Roman"/>
                <w:noProof/>
                <w:sz w:val="24"/>
                <w:szCs w:val="24"/>
              </w:rPr>
              <w:t xml:space="preserve"> </w:t>
            </w:r>
            <w:r w:rsidR="00586ADA" w:rsidRPr="005A5B3E">
              <w:rPr>
                <w:rFonts w:ascii="Times New Roman" w:hAnsi="Times New Roman"/>
                <w:noProof/>
                <w:sz w:val="24"/>
                <w:szCs w:val="24"/>
              </w:rPr>
              <w:t>EU countries</w:t>
            </w:r>
            <w:r w:rsidR="006B45C9" w:rsidRPr="005A5B3E" w:rsidDel="00703A67">
              <w:rPr>
                <w:rFonts w:ascii="Times New Roman" w:hAnsi="Times New Roman"/>
                <w:noProof/>
                <w:sz w:val="24"/>
                <w:szCs w:val="24"/>
              </w:rPr>
              <w:t xml:space="preserve"> would need to bear limited adjustment costs as </w:t>
            </w:r>
            <w:r w:rsidR="00586ADA" w:rsidRPr="005A5B3E">
              <w:rPr>
                <w:rFonts w:ascii="Times New Roman" w:hAnsi="Times New Roman"/>
                <w:noProof/>
                <w:sz w:val="24"/>
                <w:szCs w:val="24"/>
              </w:rPr>
              <w:t xml:space="preserve">the preferred option </w:t>
            </w:r>
            <w:r w:rsidR="006B45C9" w:rsidRPr="005A5B3E" w:rsidDel="00703A67">
              <w:rPr>
                <w:rFonts w:ascii="Times New Roman" w:hAnsi="Times New Roman"/>
                <w:noProof/>
                <w:sz w:val="24"/>
                <w:szCs w:val="24"/>
              </w:rPr>
              <w:t xml:space="preserve">would provide an EU-level </w:t>
            </w:r>
            <w:r w:rsidR="00DC40E1" w:rsidRPr="005A5B3E">
              <w:rPr>
                <w:rFonts w:ascii="Times New Roman" w:hAnsi="Times New Roman"/>
                <w:noProof/>
                <w:sz w:val="24"/>
                <w:szCs w:val="24"/>
              </w:rPr>
              <w:t>compulsory licen</w:t>
            </w:r>
            <w:r w:rsidR="00586ADA" w:rsidRPr="005A5B3E">
              <w:rPr>
                <w:rFonts w:ascii="Times New Roman" w:hAnsi="Times New Roman"/>
                <w:noProof/>
                <w:sz w:val="24"/>
                <w:szCs w:val="24"/>
              </w:rPr>
              <w:t>ce</w:t>
            </w:r>
            <w:r w:rsidR="006B45C9" w:rsidRPr="005A5B3E" w:rsidDel="00703A67">
              <w:rPr>
                <w:rFonts w:ascii="Times New Roman" w:hAnsi="Times New Roman"/>
                <w:noProof/>
                <w:sz w:val="24"/>
                <w:szCs w:val="24"/>
              </w:rPr>
              <w:t>, through a regulation, on top of existing</w:t>
            </w:r>
            <w:r w:rsidR="006B45C9" w:rsidRPr="005A5B3E">
              <w:rPr>
                <w:rFonts w:ascii="Times New Roman" w:hAnsi="Times New Roman"/>
                <w:noProof/>
                <w:sz w:val="24"/>
                <w:szCs w:val="24"/>
              </w:rPr>
              <w:t xml:space="preserve"> national</w:t>
            </w:r>
            <w:r w:rsidR="006B45C9" w:rsidRPr="005A5B3E" w:rsidDel="00703A67">
              <w:rPr>
                <w:rFonts w:ascii="Times New Roman" w:hAnsi="Times New Roman"/>
                <w:noProof/>
                <w:sz w:val="24"/>
                <w:szCs w:val="24"/>
              </w:rPr>
              <w:t xml:space="preserve"> legislation. </w:t>
            </w:r>
          </w:p>
          <w:p w14:paraId="798DF486" w14:textId="2AB044B6" w:rsidR="006B45C9" w:rsidRPr="00DF5467" w:rsidRDefault="006B45C9" w:rsidP="005A5B3E">
            <w:pPr>
              <w:pStyle w:val="Body"/>
              <w:spacing w:before="120" w:after="120"/>
              <w:rPr>
                <w:rFonts w:ascii="Times New Roman" w:hAnsi="Times New Roman"/>
                <w:noProof/>
                <w:sz w:val="24"/>
                <w:szCs w:val="24"/>
              </w:rPr>
            </w:pPr>
            <w:r w:rsidRPr="005A5B3E" w:rsidDel="00703A67">
              <w:rPr>
                <w:rFonts w:ascii="Times New Roman" w:hAnsi="Times New Roman"/>
                <w:noProof/>
                <w:sz w:val="24"/>
                <w:szCs w:val="24"/>
              </w:rPr>
              <w:t xml:space="preserve">They would </w:t>
            </w:r>
            <w:r w:rsidR="00586ADA" w:rsidRPr="005A5B3E">
              <w:rPr>
                <w:rFonts w:ascii="Times New Roman" w:hAnsi="Times New Roman"/>
                <w:noProof/>
                <w:sz w:val="24"/>
                <w:szCs w:val="24"/>
              </w:rPr>
              <w:t xml:space="preserve">also </w:t>
            </w:r>
            <w:r w:rsidRPr="005A5B3E">
              <w:rPr>
                <w:rFonts w:ascii="Times New Roman" w:hAnsi="Times New Roman"/>
                <w:noProof/>
                <w:sz w:val="24"/>
                <w:szCs w:val="24"/>
              </w:rPr>
              <w:t>face</w:t>
            </w:r>
            <w:r w:rsidRPr="005A5B3E" w:rsidDel="00703A67">
              <w:rPr>
                <w:rFonts w:ascii="Times New Roman" w:hAnsi="Times New Roman"/>
                <w:noProof/>
                <w:sz w:val="24"/>
                <w:szCs w:val="24"/>
              </w:rPr>
              <w:t xml:space="preserve"> some </w:t>
            </w:r>
            <w:r w:rsidR="00E46CCA" w:rsidRPr="005A5B3E">
              <w:rPr>
                <w:rFonts w:ascii="Times New Roman" w:hAnsi="Times New Roman"/>
                <w:noProof/>
                <w:sz w:val="24"/>
                <w:szCs w:val="24"/>
              </w:rPr>
              <w:t>enforcement</w:t>
            </w:r>
            <w:r w:rsidR="00E46CCA" w:rsidRPr="005A5B3E" w:rsidDel="00703A67">
              <w:rPr>
                <w:rFonts w:ascii="Times New Roman" w:hAnsi="Times New Roman"/>
                <w:noProof/>
                <w:sz w:val="24"/>
                <w:szCs w:val="24"/>
              </w:rPr>
              <w:t xml:space="preserve"> </w:t>
            </w:r>
            <w:r w:rsidRPr="005A5B3E" w:rsidDel="00703A67">
              <w:rPr>
                <w:rFonts w:ascii="Times New Roman" w:hAnsi="Times New Roman"/>
                <w:noProof/>
                <w:sz w:val="24"/>
                <w:szCs w:val="24"/>
              </w:rPr>
              <w:t>costs</w:t>
            </w:r>
            <w:r w:rsidRPr="005A5B3E">
              <w:rPr>
                <w:rFonts w:ascii="Times New Roman" w:hAnsi="Times New Roman"/>
                <w:noProof/>
                <w:sz w:val="24"/>
                <w:szCs w:val="24"/>
              </w:rPr>
              <w:t xml:space="preserve"> in </w:t>
            </w:r>
            <w:r w:rsidR="00586ADA" w:rsidRPr="005A5B3E">
              <w:rPr>
                <w:rFonts w:ascii="Times New Roman" w:hAnsi="Times New Roman"/>
                <w:noProof/>
                <w:sz w:val="24"/>
                <w:szCs w:val="24"/>
              </w:rPr>
              <w:t xml:space="preserve">the event </w:t>
            </w:r>
            <w:r w:rsidRPr="005A5B3E">
              <w:rPr>
                <w:rFonts w:ascii="Times New Roman" w:hAnsi="Times New Roman"/>
                <w:noProof/>
                <w:sz w:val="24"/>
                <w:szCs w:val="24"/>
              </w:rPr>
              <w:t xml:space="preserve">of </w:t>
            </w:r>
            <w:r w:rsidR="00586ADA" w:rsidRPr="005A5B3E">
              <w:rPr>
                <w:rFonts w:ascii="Times New Roman" w:hAnsi="Times New Roman"/>
                <w:noProof/>
                <w:sz w:val="24"/>
                <w:szCs w:val="24"/>
              </w:rPr>
              <w:t xml:space="preserve">a </w:t>
            </w:r>
            <w:r w:rsidRPr="005A5B3E">
              <w:rPr>
                <w:rFonts w:ascii="Times New Roman" w:hAnsi="Times New Roman"/>
                <w:noProof/>
                <w:sz w:val="24"/>
                <w:szCs w:val="24"/>
              </w:rPr>
              <w:t>crisis</w:t>
            </w:r>
            <w:r w:rsidRPr="005A5B3E" w:rsidDel="00703A67">
              <w:rPr>
                <w:rFonts w:ascii="Times New Roman" w:hAnsi="Times New Roman"/>
                <w:noProof/>
                <w:sz w:val="24"/>
                <w:szCs w:val="24"/>
              </w:rPr>
              <w:t>, linked to the transparency obligation</w:t>
            </w:r>
            <w:r w:rsidRPr="005A5B3E">
              <w:rPr>
                <w:rFonts w:ascii="Times New Roman" w:hAnsi="Times New Roman"/>
                <w:noProof/>
                <w:sz w:val="24"/>
                <w:szCs w:val="24"/>
              </w:rPr>
              <w:t>.</w:t>
            </w:r>
          </w:p>
          <w:p w14:paraId="55EAB728" w14:textId="434C69BE" w:rsidR="006B45C9" w:rsidRPr="005A5B3E" w:rsidRDefault="006B45C9" w:rsidP="006B45C9">
            <w:pPr>
              <w:pStyle w:val="Caption"/>
              <w:keepNext/>
              <w:rPr>
                <w:noProof/>
                <w:lang w:val="en-GB"/>
              </w:rPr>
            </w:pPr>
            <w:r w:rsidRPr="005A5B3E">
              <w:rPr>
                <w:noProof/>
                <w:lang w:val="en-GB"/>
              </w:rPr>
              <w:t xml:space="preserve">Table 2: Negative impacts on stakeholders in </w:t>
            </w:r>
            <w:r w:rsidR="00586ADA" w:rsidRPr="005A5B3E">
              <w:rPr>
                <w:noProof/>
                <w:lang w:val="en-GB"/>
              </w:rPr>
              <w:t xml:space="preserve">the event </w:t>
            </w:r>
            <w:r w:rsidRPr="005A5B3E">
              <w:rPr>
                <w:noProof/>
                <w:lang w:val="en-GB"/>
              </w:rPr>
              <w:t xml:space="preserve">of a </w:t>
            </w:r>
            <w:r w:rsidR="002B0E3E" w:rsidRPr="005A5B3E">
              <w:rPr>
                <w:noProof/>
                <w:lang w:val="en-GB"/>
              </w:rPr>
              <w:t xml:space="preserve">cross-border </w:t>
            </w:r>
            <w:r w:rsidRPr="005A5B3E">
              <w:rPr>
                <w:noProof/>
                <w:lang w:val="en-GB"/>
              </w:rPr>
              <w:t>crisis - Option 4 compared to the baseline</w:t>
            </w:r>
          </w:p>
          <w:tbl>
            <w:tblPr>
              <w:tblStyle w:val="TableGrid"/>
              <w:tblW w:w="9057" w:type="dxa"/>
              <w:tblInd w:w="10" w:type="dxa"/>
              <w:tblLook w:val="04A0" w:firstRow="1" w:lastRow="0" w:firstColumn="1" w:lastColumn="0" w:noHBand="0" w:noVBand="1"/>
            </w:tblPr>
            <w:tblGrid>
              <w:gridCol w:w="1384"/>
              <w:gridCol w:w="7673"/>
            </w:tblGrid>
            <w:tr w:rsidR="006B45C9" w:rsidRPr="00DF5467" w14:paraId="33F76C18" w14:textId="77777777" w:rsidTr="002B0E3E">
              <w:trPr>
                <w:cantSplit/>
              </w:trPr>
              <w:tc>
                <w:tcPr>
                  <w:tcW w:w="1384" w:type="dxa"/>
                </w:tcPr>
                <w:p w14:paraId="51DB1362" w14:textId="77777777" w:rsidR="006B45C9" w:rsidRPr="005A5B3E" w:rsidRDefault="006B45C9" w:rsidP="00586ADA">
                  <w:pPr>
                    <w:pStyle w:val="Size10"/>
                    <w:rPr>
                      <w:noProof/>
                      <w:lang w:val="en-GB"/>
                    </w:rPr>
                  </w:pPr>
                  <w:r w:rsidRPr="005A5B3E">
                    <w:rPr>
                      <w:noProof/>
                      <w:lang w:val="en-GB"/>
                    </w:rPr>
                    <w:t>Patent owners</w:t>
                  </w:r>
                </w:p>
              </w:tc>
              <w:tc>
                <w:tcPr>
                  <w:tcW w:w="7673" w:type="dxa"/>
                </w:tcPr>
                <w:p w14:paraId="76E11534" w14:textId="684F8F31" w:rsidR="006B45C9" w:rsidRPr="005A5B3E" w:rsidRDefault="006B45C9" w:rsidP="00586ADA">
                  <w:pPr>
                    <w:pStyle w:val="Size10"/>
                    <w:rPr>
                      <w:noProof/>
                      <w:lang w:val="en-GB"/>
                    </w:rPr>
                  </w:pPr>
                  <w:r w:rsidRPr="005A5B3E">
                    <w:rPr>
                      <w:noProof/>
                      <w:lang w:val="en-GB"/>
                    </w:rPr>
                    <w:t xml:space="preserve">(- -) In </w:t>
                  </w:r>
                  <w:r w:rsidR="00586ADA" w:rsidRPr="005A5B3E">
                    <w:rPr>
                      <w:noProof/>
                      <w:lang w:val="en-GB"/>
                    </w:rPr>
                    <w:t xml:space="preserve">the event </w:t>
                  </w:r>
                  <w:r w:rsidRPr="005A5B3E">
                    <w:rPr>
                      <w:noProof/>
                      <w:lang w:val="en-GB"/>
                    </w:rPr>
                    <w:t xml:space="preserve">of a broader geographical scope </w:t>
                  </w:r>
                  <w:r w:rsidR="00586ADA" w:rsidRPr="005A5B3E">
                    <w:rPr>
                      <w:noProof/>
                      <w:lang w:val="en-GB"/>
                    </w:rPr>
                    <w:t xml:space="preserve">for the </w:t>
                  </w:r>
                  <w:r w:rsidR="00DC40E1" w:rsidRPr="005A5B3E">
                    <w:rPr>
                      <w:noProof/>
                      <w:lang w:val="en-GB"/>
                    </w:rPr>
                    <w:t>licen</w:t>
                  </w:r>
                  <w:r w:rsidR="00586ADA" w:rsidRPr="005A5B3E">
                    <w:rPr>
                      <w:noProof/>
                      <w:lang w:val="en-GB"/>
                    </w:rPr>
                    <w:t>ce (=</w:t>
                  </w:r>
                  <w:r w:rsidRPr="005A5B3E">
                    <w:rPr>
                      <w:noProof/>
                      <w:lang w:val="en-GB"/>
                    </w:rPr>
                    <w:t xml:space="preserve"> wider loss of control over patent rights</w:t>
                  </w:r>
                  <w:r w:rsidR="00586ADA" w:rsidRPr="005A5B3E">
                    <w:rPr>
                      <w:noProof/>
                      <w:lang w:val="en-GB"/>
                    </w:rPr>
                    <w:t>)</w:t>
                  </w:r>
                  <w:r w:rsidRPr="005A5B3E">
                    <w:rPr>
                      <w:noProof/>
                      <w:lang w:val="en-GB"/>
                    </w:rPr>
                    <w:t>.</w:t>
                  </w:r>
                </w:p>
              </w:tc>
            </w:tr>
            <w:tr w:rsidR="006B45C9" w:rsidRPr="00DF5467" w14:paraId="011352B5" w14:textId="77777777" w:rsidTr="002B0E3E">
              <w:trPr>
                <w:cantSplit/>
              </w:trPr>
              <w:tc>
                <w:tcPr>
                  <w:tcW w:w="1384" w:type="dxa"/>
                  <w:tcBorders>
                    <w:bottom w:val="single" w:sz="4" w:space="0" w:color="auto"/>
                  </w:tcBorders>
                </w:tcPr>
                <w:p w14:paraId="45F4C363" w14:textId="4F353606" w:rsidR="006B45C9" w:rsidRPr="004C6C2B" w:rsidRDefault="00586ADA" w:rsidP="00586ADA">
                  <w:pPr>
                    <w:pStyle w:val="Size10"/>
                    <w:rPr>
                      <w:noProof/>
                      <w:lang w:val="en-GB"/>
                    </w:rPr>
                  </w:pPr>
                  <w:r w:rsidRPr="004C6C2B">
                    <w:rPr>
                      <w:noProof/>
                      <w:lang w:val="en-GB"/>
                    </w:rPr>
                    <w:t>EU countries</w:t>
                  </w:r>
                </w:p>
              </w:tc>
              <w:tc>
                <w:tcPr>
                  <w:tcW w:w="7673" w:type="dxa"/>
                  <w:tcBorders>
                    <w:bottom w:val="single" w:sz="4" w:space="0" w:color="auto"/>
                  </w:tcBorders>
                </w:tcPr>
                <w:p w14:paraId="7DE9F54F" w14:textId="7FE370F0" w:rsidR="006B45C9" w:rsidRPr="004C6C2B" w:rsidRDefault="006B45C9" w:rsidP="00586ADA">
                  <w:pPr>
                    <w:pStyle w:val="Size10"/>
                    <w:rPr>
                      <w:noProof/>
                      <w:lang w:val="en-GB"/>
                    </w:rPr>
                  </w:pPr>
                  <w:r w:rsidRPr="004C6C2B">
                    <w:rPr>
                      <w:noProof/>
                      <w:lang w:val="en-GB"/>
                    </w:rPr>
                    <w:t xml:space="preserve">(-) </w:t>
                  </w:r>
                  <w:r w:rsidR="004C6C2B">
                    <w:rPr>
                      <w:noProof/>
                      <w:lang w:val="en-GB"/>
                    </w:rPr>
                    <w:t>Co</w:t>
                  </w:r>
                  <w:r w:rsidRPr="004C6C2B">
                    <w:rPr>
                      <w:noProof/>
                      <w:lang w:val="en-GB"/>
                    </w:rPr>
                    <w:t>st of participating in the advisory committee ass</w:t>
                  </w:r>
                  <w:r w:rsidR="002B0E3E" w:rsidRPr="004C6C2B">
                    <w:rPr>
                      <w:noProof/>
                      <w:lang w:val="en-GB"/>
                    </w:rPr>
                    <w:t>isting the single contact point</w:t>
                  </w:r>
                  <w:r w:rsidRPr="004C6C2B">
                    <w:rPr>
                      <w:i/>
                      <w:noProof/>
                      <w:lang w:val="en-GB"/>
                    </w:rPr>
                    <w:t>.</w:t>
                  </w:r>
                </w:p>
                <w:p w14:paraId="1374C0C0" w14:textId="02347280" w:rsidR="006B45C9" w:rsidRPr="004C6C2B" w:rsidRDefault="006B45C9" w:rsidP="004C6C2B">
                  <w:pPr>
                    <w:pStyle w:val="Size10"/>
                    <w:rPr>
                      <w:noProof/>
                      <w:lang w:val="en-GB"/>
                    </w:rPr>
                  </w:pPr>
                  <w:r w:rsidRPr="004C6C2B">
                    <w:rPr>
                      <w:noProof/>
                      <w:lang w:val="en-GB"/>
                    </w:rPr>
                    <w:t xml:space="preserve">(-) </w:t>
                  </w:r>
                  <w:r w:rsidR="004C6C2B">
                    <w:rPr>
                      <w:noProof/>
                      <w:lang w:val="en-GB"/>
                    </w:rPr>
                    <w:t>C</w:t>
                  </w:r>
                  <w:r w:rsidRPr="004C6C2B">
                    <w:rPr>
                      <w:noProof/>
                      <w:lang w:val="en-GB"/>
                    </w:rPr>
                    <w:t>ost of reporting to the E</w:t>
                  </w:r>
                  <w:r w:rsidR="00586ADA" w:rsidRPr="004C6C2B">
                    <w:rPr>
                      <w:noProof/>
                      <w:lang w:val="en-GB"/>
                    </w:rPr>
                    <w:t xml:space="preserve">uropean Commission </w:t>
                  </w:r>
                  <w:r w:rsidRPr="004C6C2B">
                    <w:rPr>
                      <w:noProof/>
                      <w:lang w:val="en-GB"/>
                    </w:rPr>
                    <w:t xml:space="preserve">on the implemented </w:t>
                  </w:r>
                  <w:r w:rsidR="00DC40E1" w:rsidRPr="004C6C2B">
                    <w:rPr>
                      <w:noProof/>
                      <w:lang w:val="en-GB"/>
                    </w:rPr>
                    <w:t>compulsory licen</w:t>
                  </w:r>
                  <w:r w:rsidR="00586ADA" w:rsidRPr="004C6C2B">
                    <w:rPr>
                      <w:noProof/>
                      <w:lang w:val="en-GB"/>
                    </w:rPr>
                    <w:t>ce</w:t>
                  </w:r>
                  <w:r w:rsidRPr="004C6C2B">
                    <w:rPr>
                      <w:noProof/>
                      <w:lang w:val="en-GB"/>
                    </w:rPr>
                    <w:t>.</w:t>
                  </w:r>
                </w:p>
              </w:tc>
            </w:tr>
            <w:tr w:rsidR="002B0E3E" w:rsidRPr="00DF5467" w14:paraId="2560C001" w14:textId="77777777" w:rsidTr="002B0E3E">
              <w:trPr>
                <w:cantSplit/>
              </w:trPr>
              <w:tc>
                <w:tcPr>
                  <w:tcW w:w="9057" w:type="dxa"/>
                  <w:gridSpan w:val="2"/>
                  <w:tcBorders>
                    <w:left w:val="nil"/>
                    <w:bottom w:val="nil"/>
                    <w:right w:val="nil"/>
                  </w:tcBorders>
                </w:tcPr>
                <w:p w14:paraId="76D35B41" w14:textId="400EAF29" w:rsidR="002B0E3E" w:rsidRPr="004C6C2B" w:rsidRDefault="002B0E3E" w:rsidP="00586ADA">
                  <w:pPr>
                    <w:pStyle w:val="Size10"/>
                    <w:rPr>
                      <w:noProof/>
                      <w:lang w:val="en-GB"/>
                    </w:rPr>
                  </w:pPr>
                  <w:r w:rsidRPr="004C6C2B">
                    <w:rPr>
                      <w:noProof/>
                      <w:lang w:val="en-GB"/>
                    </w:rPr>
                    <w:t>Note: (0) neutral impact; (+) minor positive impact; (++) positive impact; (+++) significant positive impact; (-) minor negative impact; (- -) negative impact; (- - -) significant negative impact</w:t>
                  </w:r>
                </w:p>
              </w:tc>
            </w:tr>
          </w:tbl>
          <w:p w14:paraId="588DC77C" w14:textId="3A5F6AB8" w:rsidR="006B45C9" w:rsidRPr="004C6C2B" w:rsidRDefault="006B45C9" w:rsidP="006B45C9">
            <w:pPr>
              <w:pStyle w:val="Caption"/>
              <w:rPr>
                <w:noProof/>
                <w:sz w:val="24"/>
                <w:szCs w:val="24"/>
                <w:lang w:val="en-GB"/>
              </w:rPr>
            </w:pPr>
          </w:p>
        </w:tc>
      </w:tr>
      <w:tr w:rsidR="00ED39C4" w:rsidRPr="00DF5467" w14:paraId="6860B55A" w14:textId="77777777" w:rsidTr="00035755">
        <w:tc>
          <w:tcPr>
            <w:tcW w:w="9322" w:type="dxa"/>
            <w:tcBorders>
              <w:bottom w:val="single" w:sz="4" w:space="0" w:color="auto"/>
            </w:tcBorders>
            <w:shd w:val="clear" w:color="auto" w:fill="E6E6E6"/>
          </w:tcPr>
          <w:p w14:paraId="4C580911" w14:textId="77777777" w:rsidR="00ED39C4" w:rsidRPr="00DF5467" w:rsidRDefault="00ED39C4" w:rsidP="004C6C2B">
            <w:pPr>
              <w:keepNext/>
              <w:spacing w:before="120" w:after="120"/>
              <w:jc w:val="both"/>
              <w:rPr>
                <w:noProof/>
                <w:sz w:val="24"/>
                <w:szCs w:val="24"/>
              </w:rPr>
            </w:pPr>
            <w:r w:rsidRPr="00DF5467">
              <w:rPr>
                <w:b/>
                <w:noProof/>
                <w:sz w:val="24"/>
                <w:szCs w:val="24"/>
              </w:rPr>
              <w:t xml:space="preserve">How will businesses, SMEs and micro-enterprises be affected? </w:t>
            </w:r>
          </w:p>
        </w:tc>
      </w:tr>
      <w:tr w:rsidR="00ED39C4" w:rsidRPr="00DF5467" w14:paraId="45EDDBED" w14:textId="77777777" w:rsidTr="00035755">
        <w:tc>
          <w:tcPr>
            <w:tcW w:w="9322" w:type="dxa"/>
            <w:tcBorders>
              <w:bottom w:val="single" w:sz="4" w:space="0" w:color="auto"/>
            </w:tcBorders>
            <w:shd w:val="clear" w:color="auto" w:fill="auto"/>
          </w:tcPr>
          <w:p w14:paraId="22B6C9A5" w14:textId="4565EB31" w:rsidR="00DF5467" w:rsidRPr="005A5B3E" w:rsidRDefault="001A39C0" w:rsidP="00DF5467">
            <w:pPr>
              <w:spacing w:before="120" w:after="120"/>
              <w:jc w:val="both"/>
              <w:rPr>
                <w:noProof/>
                <w:sz w:val="24"/>
                <w:szCs w:val="24"/>
              </w:rPr>
            </w:pPr>
            <w:r w:rsidRPr="005A5B3E">
              <w:rPr>
                <w:noProof/>
                <w:sz w:val="24"/>
                <w:szCs w:val="24"/>
              </w:rPr>
              <w:t xml:space="preserve">Impacts that may materialise as a result of the preferred option will mainly concern patent holders, but the number of </w:t>
            </w:r>
            <w:r w:rsidR="00DF5467" w:rsidRPr="005A5B3E">
              <w:rPr>
                <w:noProof/>
                <w:sz w:val="24"/>
                <w:szCs w:val="24"/>
              </w:rPr>
              <w:t xml:space="preserve">small/medium-sized </w:t>
            </w:r>
            <w:r w:rsidR="005A5B3E">
              <w:rPr>
                <w:noProof/>
                <w:sz w:val="24"/>
                <w:szCs w:val="24"/>
              </w:rPr>
              <w:t xml:space="preserve">enterprises </w:t>
            </w:r>
            <w:r w:rsidRPr="005A5B3E">
              <w:rPr>
                <w:noProof/>
                <w:sz w:val="24"/>
                <w:szCs w:val="24"/>
              </w:rPr>
              <w:t xml:space="preserve">that own IP rights in the EU is relatively low. </w:t>
            </w:r>
          </w:p>
          <w:p w14:paraId="4F481B44" w14:textId="3C724917" w:rsidR="00DF5467" w:rsidRPr="005A5B3E" w:rsidRDefault="001A39C0" w:rsidP="00DF5467">
            <w:pPr>
              <w:spacing w:before="120" w:after="120"/>
              <w:jc w:val="both"/>
              <w:rPr>
                <w:noProof/>
                <w:sz w:val="24"/>
                <w:szCs w:val="24"/>
              </w:rPr>
            </w:pPr>
            <w:r w:rsidRPr="005A5B3E">
              <w:rPr>
                <w:noProof/>
                <w:sz w:val="24"/>
                <w:szCs w:val="24"/>
              </w:rPr>
              <w:t xml:space="preserve">Furthermore, apart from the fact that </w:t>
            </w:r>
            <w:r w:rsidR="00DC40E1" w:rsidRPr="005A5B3E">
              <w:rPr>
                <w:noProof/>
                <w:sz w:val="24"/>
                <w:szCs w:val="24"/>
              </w:rPr>
              <w:t>compulsory licensing</w:t>
            </w:r>
            <w:r w:rsidRPr="005A5B3E">
              <w:rPr>
                <w:noProof/>
                <w:sz w:val="24"/>
                <w:szCs w:val="24"/>
              </w:rPr>
              <w:t xml:space="preserve"> is an extreme</w:t>
            </w:r>
            <w:r w:rsidR="00DF5467" w:rsidRPr="005A5B3E">
              <w:rPr>
                <w:noProof/>
                <w:sz w:val="24"/>
                <w:szCs w:val="24"/>
              </w:rPr>
              <w:t>ly</w:t>
            </w:r>
            <w:r w:rsidR="001330E3" w:rsidRPr="005A5B3E">
              <w:rPr>
                <w:noProof/>
                <w:sz w:val="24"/>
                <w:szCs w:val="24"/>
              </w:rPr>
              <w:t xml:space="preserve"> low</w:t>
            </w:r>
            <w:r w:rsidRPr="005A5B3E">
              <w:rPr>
                <w:noProof/>
                <w:sz w:val="24"/>
                <w:szCs w:val="24"/>
              </w:rPr>
              <w:t xml:space="preserve"> probability</w:t>
            </w:r>
            <w:r w:rsidR="001330E3" w:rsidRPr="005A5B3E">
              <w:rPr>
                <w:noProof/>
                <w:sz w:val="24"/>
                <w:szCs w:val="24"/>
              </w:rPr>
              <w:t xml:space="preserve"> event</w:t>
            </w:r>
            <w:r w:rsidRPr="005A5B3E">
              <w:rPr>
                <w:noProof/>
                <w:sz w:val="24"/>
                <w:szCs w:val="24"/>
              </w:rPr>
              <w:t xml:space="preserve">, it can be assumed that small </w:t>
            </w:r>
            <w:r w:rsidR="005A5B3E">
              <w:rPr>
                <w:noProof/>
                <w:sz w:val="24"/>
                <w:szCs w:val="24"/>
              </w:rPr>
              <w:t>enterpris</w:t>
            </w:r>
            <w:r w:rsidR="00AB670E">
              <w:rPr>
                <w:noProof/>
                <w:sz w:val="24"/>
                <w:szCs w:val="24"/>
              </w:rPr>
              <w:t>e</w:t>
            </w:r>
            <w:r w:rsidR="005A5B3E">
              <w:rPr>
                <w:noProof/>
                <w:sz w:val="24"/>
                <w:szCs w:val="24"/>
              </w:rPr>
              <w:t>s</w:t>
            </w:r>
            <w:r w:rsidRPr="005A5B3E">
              <w:rPr>
                <w:noProof/>
                <w:sz w:val="24"/>
                <w:szCs w:val="24"/>
              </w:rPr>
              <w:t xml:space="preserve"> are more prone to enter into voluntary agreements than larger firms, hence there could be no need to use the </w:t>
            </w:r>
            <w:r w:rsidR="00DC40E1" w:rsidRPr="005A5B3E">
              <w:rPr>
                <w:noProof/>
                <w:sz w:val="24"/>
                <w:szCs w:val="24"/>
              </w:rPr>
              <w:t>compulsory licensing</w:t>
            </w:r>
            <w:r w:rsidRPr="005A5B3E">
              <w:rPr>
                <w:noProof/>
                <w:sz w:val="24"/>
                <w:szCs w:val="24"/>
              </w:rPr>
              <w:t xml:space="preserve"> at all.</w:t>
            </w:r>
            <w:r w:rsidR="000F2830" w:rsidRPr="005A5B3E">
              <w:rPr>
                <w:noProof/>
                <w:sz w:val="24"/>
                <w:szCs w:val="24"/>
              </w:rPr>
              <w:t xml:space="preserve"> </w:t>
            </w:r>
          </w:p>
          <w:p w14:paraId="611A3847" w14:textId="27BB2956" w:rsidR="00161EE9" w:rsidRPr="005A5B3E" w:rsidRDefault="001330E3" w:rsidP="00B77299">
            <w:pPr>
              <w:spacing w:before="120" w:after="120"/>
              <w:jc w:val="both"/>
              <w:rPr>
                <w:noProof/>
                <w:sz w:val="24"/>
                <w:szCs w:val="24"/>
              </w:rPr>
            </w:pPr>
            <w:r w:rsidRPr="005A5B3E">
              <w:rPr>
                <w:noProof/>
                <w:sz w:val="24"/>
                <w:szCs w:val="24"/>
              </w:rPr>
              <w:t xml:space="preserve">Furthermore, </w:t>
            </w:r>
            <w:r w:rsidR="00DF5467" w:rsidRPr="005A5B3E">
              <w:rPr>
                <w:noProof/>
                <w:sz w:val="24"/>
                <w:szCs w:val="24"/>
              </w:rPr>
              <w:t xml:space="preserve">small/medium-sized </w:t>
            </w:r>
            <w:r w:rsidR="00AB670E">
              <w:rPr>
                <w:noProof/>
                <w:sz w:val="24"/>
                <w:szCs w:val="24"/>
              </w:rPr>
              <w:t>enterprises</w:t>
            </w:r>
            <w:r w:rsidR="00B77299">
              <w:rPr>
                <w:noProof/>
                <w:sz w:val="24"/>
                <w:szCs w:val="24"/>
              </w:rPr>
              <w:t xml:space="preserve"> </w:t>
            </w:r>
            <w:r w:rsidR="000F2830" w:rsidRPr="005A5B3E">
              <w:rPr>
                <w:noProof/>
                <w:sz w:val="24"/>
                <w:szCs w:val="24"/>
              </w:rPr>
              <w:t>are typically licensees, not licensors.</w:t>
            </w:r>
            <w:r w:rsidR="001A39C0" w:rsidRPr="005A5B3E">
              <w:rPr>
                <w:noProof/>
                <w:sz w:val="24"/>
                <w:szCs w:val="24"/>
              </w:rPr>
              <w:t xml:space="preserve"> </w:t>
            </w:r>
          </w:p>
        </w:tc>
      </w:tr>
      <w:tr w:rsidR="00ED39C4" w:rsidRPr="00DF5467" w14:paraId="1142A1E3" w14:textId="77777777" w:rsidTr="00035755">
        <w:tc>
          <w:tcPr>
            <w:tcW w:w="9322" w:type="dxa"/>
            <w:tcBorders>
              <w:bottom w:val="single" w:sz="4" w:space="0" w:color="auto"/>
            </w:tcBorders>
            <w:shd w:val="clear" w:color="auto" w:fill="E6E6E6"/>
          </w:tcPr>
          <w:p w14:paraId="511AEEA9" w14:textId="77777777" w:rsidR="00ED39C4" w:rsidRPr="00DF5467" w:rsidRDefault="00ED39C4" w:rsidP="00B77299">
            <w:pPr>
              <w:keepNext/>
              <w:spacing w:before="120" w:after="120"/>
              <w:jc w:val="both"/>
              <w:rPr>
                <w:b/>
                <w:i/>
                <w:noProof/>
                <w:sz w:val="24"/>
                <w:szCs w:val="24"/>
              </w:rPr>
            </w:pPr>
            <w:r w:rsidRPr="00DF5467">
              <w:rPr>
                <w:b/>
                <w:noProof/>
                <w:sz w:val="24"/>
                <w:szCs w:val="24"/>
              </w:rPr>
              <w:t>Will there be significant impacts</w:t>
            </w:r>
            <w:r w:rsidRPr="00DF5467">
              <w:rPr>
                <w:noProof/>
                <w:sz w:val="24"/>
                <w:szCs w:val="24"/>
              </w:rPr>
              <w:t xml:space="preserve"> </w:t>
            </w:r>
            <w:r w:rsidRPr="00DF5467">
              <w:rPr>
                <w:b/>
                <w:noProof/>
                <w:sz w:val="24"/>
                <w:szCs w:val="24"/>
              </w:rPr>
              <w:t>on national budgets and administrations?</w:t>
            </w:r>
            <w:r w:rsidRPr="00DF5467">
              <w:rPr>
                <w:noProof/>
                <w:sz w:val="24"/>
                <w:szCs w:val="24"/>
              </w:rPr>
              <w:t xml:space="preserve"> </w:t>
            </w:r>
          </w:p>
        </w:tc>
      </w:tr>
      <w:tr w:rsidR="00ED39C4" w:rsidRPr="00DF5467" w14:paraId="4A7A90F3" w14:textId="77777777" w:rsidTr="00035755">
        <w:tc>
          <w:tcPr>
            <w:tcW w:w="9322" w:type="dxa"/>
            <w:shd w:val="clear" w:color="auto" w:fill="auto"/>
          </w:tcPr>
          <w:p w14:paraId="14E3F43B" w14:textId="4F2662A1" w:rsidR="00DF5467" w:rsidRPr="00AB670E" w:rsidRDefault="00DF5467" w:rsidP="00AB670E">
            <w:pPr>
              <w:pStyle w:val="Body"/>
              <w:spacing w:before="120" w:after="120"/>
              <w:rPr>
                <w:rFonts w:ascii="Times New Roman" w:hAnsi="Times New Roman"/>
                <w:noProof/>
                <w:sz w:val="24"/>
                <w:szCs w:val="24"/>
              </w:rPr>
            </w:pPr>
            <w:r w:rsidRPr="00AB670E">
              <w:rPr>
                <w:rFonts w:ascii="Times New Roman" w:hAnsi="Times New Roman"/>
                <w:noProof/>
                <w:sz w:val="24"/>
                <w:szCs w:val="24"/>
              </w:rPr>
              <w:t>EU countries</w:t>
            </w:r>
            <w:r w:rsidR="001A39C0" w:rsidRPr="00AB670E" w:rsidDel="00703A67">
              <w:rPr>
                <w:rFonts w:ascii="Times New Roman" w:hAnsi="Times New Roman"/>
                <w:noProof/>
                <w:sz w:val="24"/>
                <w:szCs w:val="24"/>
              </w:rPr>
              <w:t xml:space="preserve"> would bear limited adjustments costs as </w:t>
            </w:r>
            <w:r w:rsidRPr="00AB670E">
              <w:rPr>
                <w:rFonts w:ascii="Times New Roman" w:hAnsi="Times New Roman"/>
                <w:noProof/>
                <w:sz w:val="24"/>
                <w:szCs w:val="24"/>
              </w:rPr>
              <w:t xml:space="preserve">the preferred option </w:t>
            </w:r>
            <w:r w:rsidR="001A39C0" w:rsidRPr="00AB670E" w:rsidDel="00703A67">
              <w:rPr>
                <w:rFonts w:ascii="Times New Roman" w:hAnsi="Times New Roman"/>
                <w:noProof/>
                <w:sz w:val="24"/>
                <w:szCs w:val="24"/>
              </w:rPr>
              <w:t xml:space="preserve">would provide an EU-level </w:t>
            </w:r>
            <w:r w:rsidR="00DC40E1" w:rsidRPr="00AB670E">
              <w:rPr>
                <w:rFonts w:ascii="Times New Roman" w:hAnsi="Times New Roman"/>
                <w:noProof/>
                <w:sz w:val="24"/>
                <w:szCs w:val="24"/>
              </w:rPr>
              <w:t>compulsory licen</w:t>
            </w:r>
            <w:r w:rsidRPr="00AB670E">
              <w:rPr>
                <w:rFonts w:ascii="Times New Roman" w:hAnsi="Times New Roman"/>
                <w:noProof/>
                <w:sz w:val="24"/>
                <w:szCs w:val="24"/>
              </w:rPr>
              <w:t>ce</w:t>
            </w:r>
            <w:r w:rsidR="001A39C0" w:rsidRPr="00AB670E" w:rsidDel="00703A67">
              <w:rPr>
                <w:rFonts w:ascii="Times New Roman" w:hAnsi="Times New Roman"/>
                <w:noProof/>
                <w:sz w:val="24"/>
                <w:szCs w:val="24"/>
              </w:rPr>
              <w:t>, through a regulation, on top of existing</w:t>
            </w:r>
            <w:r w:rsidR="001A39C0" w:rsidRPr="00AB670E">
              <w:rPr>
                <w:rFonts w:ascii="Times New Roman" w:hAnsi="Times New Roman"/>
                <w:noProof/>
                <w:sz w:val="24"/>
                <w:szCs w:val="24"/>
              </w:rPr>
              <w:t xml:space="preserve"> national</w:t>
            </w:r>
            <w:r w:rsidR="001A39C0" w:rsidRPr="00AB670E" w:rsidDel="00703A67">
              <w:rPr>
                <w:rFonts w:ascii="Times New Roman" w:hAnsi="Times New Roman"/>
                <w:noProof/>
                <w:sz w:val="24"/>
                <w:szCs w:val="24"/>
              </w:rPr>
              <w:t xml:space="preserve"> legislation.</w:t>
            </w:r>
          </w:p>
          <w:p w14:paraId="444948CC" w14:textId="27727F4A" w:rsidR="00161EE9" w:rsidRPr="00DF5467" w:rsidRDefault="001A39C0" w:rsidP="00AB670E">
            <w:pPr>
              <w:pStyle w:val="Body"/>
              <w:spacing w:before="40" w:after="120"/>
              <w:rPr>
                <w:rFonts w:ascii="Times New Roman" w:hAnsi="Times New Roman"/>
                <w:noProof/>
                <w:sz w:val="24"/>
                <w:szCs w:val="24"/>
              </w:rPr>
            </w:pPr>
            <w:r w:rsidRPr="00AB670E" w:rsidDel="00703A67">
              <w:rPr>
                <w:rFonts w:ascii="Times New Roman" w:hAnsi="Times New Roman"/>
                <w:noProof/>
                <w:sz w:val="24"/>
                <w:szCs w:val="24"/>
              </w:rPr>
              <w:t xml:space="preserve">They would </w:t>
            </w:r>
            <w:r w:rsidRPr="00AB670E">
              <w:rPr>
                <w:rFonts w:ascii="Times New Roman" w:hAnsi="Times New Roman"/>
                <w:noProof/>
                <w:sz w:val="24"/>
                <w:szCs w:val="24"/>
              </w:rPr>
              <w:t>face</w:t>
            </w:r>
            <w:r w:rsidRPr="00AB670E" w:rsidDel="00703A67">
              <w:rPr>
                <w:rFonts w:ascii="Times New Roman" w:hAnsi="Times New Roman"/>
                <w:noProof/>
                <w:sz w:val="24"/>
                <w:szCs w:val="24"/>
              </w:rPr>
              <w:t xml:space="preserve"> some </w:t>
            </w:r>
            <w:r w:rsidR="00E46CCA" w:rsidRPr="00AB670E">
              <w:rPr>
                <w:rFonts w:ascii="Times New Roman" w:hAnsi="Times New Roman"/>
                <w:noProof/>
                <w:sz w:val="24"/>
                <w:szCs w:val="24"/>
              </w:rPr>
              <w:t>enforcement</w:t>
            </w:r>
            <w:r w:rsidR="00E46CCA" w:rsidRPr="00AB670E" w:rsidDel="00703A67">
              <w:rPr>
                <w:rFonts w:ascii="Times New Roman" w:hAnsi="Times New Roman"/>
                <w:noProof/>
                <w:sz w:val="24"/>
                <w:szCs w:val="24"/>
              </w:rPr>
              <w:t xml:space="preserve"> </w:t>
            </w:r>
            <w:r w:rsidRPr="00AB670E" w:rsidDel="00703A67">
              <w:rPr>
                <w:rFonts w:ascii="Times New Roman" w:hAnsi="Times New Roman"/>
                <w:noProof/>
                <w:sz w:val="24"/>
                <w:szCs w:val="24"/>
              </w:rPr>
              <w:t>costs</w:t>
            </w:r>
            <w:r w:rsidRPr="00AB670E">
              <w:rPr>
                <w:rFonts w:ascii="Times New Roman" w:hAnsi="Times New Roman"/>
                <w:noProof/>
                <w:sz w:val="24"/>
                <w:szCs w:val="24"/>
              </w:rPr>
              <w:t xml:space="preserve"> in </w:t>
            </w:r>
            <w:r w:rsidR="00DF5467" w:rsidRPr="00AB670E">
              <w:rPr>
                <w:rFonts w:ascii="Times New Roman" w:hAnsi="Times New Roman"/>
                <w:noProof/>
                <w:sz w:val="24"/>
                <w:szCs w:val="24"/>
              </w:rPr>
              <w:t xml:space="preserve">the event </w:t>
            </w:r>
            <w:r w:rsidRPr="00AB670E">
              <w:rPr>
                <w:rFonts w:ascii="Times New Roman" w:hAnsi="Times New Roman"/>
                <w:noProof/>
                <w:sz w:val="24"/>
                <w:szCs w:val="24"/>
              </w:rPr>
              <w:t xml:space="preserve">of </w:t>
            </w:r>
            <w:r w:rsidR="00DF5467" w:rsidRPr="00AB670E">
              <w:rPr>
                <w:rFonts w:ascii="Times New Roman" w:hAnsi="Times New Roman"/>
                <w:noProof/>
                <w:sz w:val="24"/>
                <w:szCs w:val="24"/>
              </w:rPr>
              <w:t xml:space="preserve">a </w:t>
            </w:r>
            <w:r w:rsidRPr="00AB670E">
              <w:rPr>
                <w:rFonts w:ascii="Times New Roman" w:hAnsi="Times New Roman"/>
                <w:noProof/>
                <w:sz w:val="24"/>
                <w:szCs w:val="24"/>
              </w:rPr>
              <w:t>crisis</w:t>
            </w:r>
            <w:r w:rsidRPr="00AB670E" w:rsidDel="00703A67">
              <w:rPr>
                <w:rFonts w:ascii="Times New Roman" w:hAnsi="Times New Roman"/>
                <w:noProof/>
                <w:sz w:val="24"/>
                <w:szCs w:val="24"/>
              </w:rPr>
              <w:t>, linked to the transparency obligation</w:t>
            </w:r>
            <w:r w:rsidRPr="00AB670E">
              <w:rPr>
                <w:rFonts w:ascii="Times New Roman" w:hAnsi="Times New Roman"/>
                <w:noProof/>
                <w:sz w:val="24"/>
                <w:szCs w:val="24"/>
              </w:rPr>
              <w:t>.</w:t>
            </w:r>
            <w:r w:rsidR="00D74966" w:rsidRPr="00AB670E">
              <w:rPr>
                <w:rFonts w:ascii="Times New Roman" w:hAnsi="Times New Roman"/>
                <w:noProof/>
                <w:sz w:val="24"/>
                <w:szCs w:val="24"/>
              </w:rPr>
              <w:t xml:space="preserve"> However</w:t>
            </w:r>
            <w:r w:rsidR="009403DF" w:rsidRPr="00AB670E">
              <w:rPr>
                <w:rFonts w:ascii="Times New Roman" w:hAnsi="Times New Roman"/>
                <w:noProof/>
                <w:sz w:val="24"/>
                <w:szCs w:val="24"/>
              </w:rPr>
              <w:t>,</w:t>
            </w:r>
            <w:r w:rsidR="00D74966" w:rsidRPr="00AB670E">
              <w:rPr>
                <w:rFonts w:ascii="Times New Roman" w:hAnsi="Times New Roman"/>
                <w:noProof/>
                <w:sz w:val="24"/>
                <w:szCs w:val="24"/>
              </w:rPr>
              <w:t xml:space="preserve"> </w:t>
            </w:r>
            <w:r w:rsidR="00DF5467" w:rsidRPr="00AB670E">
              <w:rPr>
                <w:rFonts w:ascii="Times New Roman" w:hAnsi="Times New Roman"/>
                <w:noProof/>
                <w:sz w:val="24"/>
                <w:szCs w:val="24"/>
              </w:rPr>
              <w:t xml:space="preserve">the </w:t>
            </w:r>
            <w:r w:rsidR="00D74966" w:rsidRPr="00AB670E">
              <w:rPr>
                <w:rFonts w:ascii="Times New Roman" w:hAnsi="Times New Roman"/>
                <w:noProof/>
                <w:sz w:val="24"/>
                <w:szCs w:val="24"/>
              </w:rPr>
              <w:t>benefits of a centralised procedure at EU level would outweigh these costs.</w:t>
            </w:r>
          </w:p>
        </w:tc>
      </w:tr>
      <w:tr w:rsidR="00ED39C4" w:rsidRPr="00DF5467" w14:paraId="3599920B" w14:textId="77777777" w:rsidTr="00035755">
        <w:tc>
          <w:tcPr>
            <w:tcW w:w="9322" w:type="dxa"/>
            <w:tcBorders>
              <w:bottom w:val="single" w:sz="4" w:space="0" w:color="auto"/>
            </w:tcBorders>
            <w:shd w:val="clear" w:color="auto" w:fill="E6E6E6"/>
          </w:tcPr>
          <w:p w14:paraId="5B17A81F" w14:textId="77777777" w:rsidR="00ED39C4" w:rsidRPr="00DF5467" w:rsidRDefault="00ED39C4" w:rsidP="00AB670E">
            <w:pPr>
              <w:keepNext/>
              <w:spacing w:before="120" w:after="120"/>
              <w:jc w:val="both"/>
              <w:rPr>
                <w:noProof/>
                <w:sz w:val="24"/>
                <w:szCs w:val="24"/>
              </w:rPr>
            </w:pPr>
            <w:r w:rsidRPr="00DF5467">
              <w:rPr>
                <w:b/>
                <w:noProof/>
                <w:sz w:val="24"/>
                <w:szCs w:val="24"/>
              </w:rPr>
              <w:t>Will there be other significant impacts?</w:t>
            </w:r>
            <w:r w:rsidRPr="00DF5467">
              <w:rPr>
                <w:noProof/>
                <w:sz w:val="24"/>
                <w:szCs w:val="24"/>
              </w:rPr>
              <w:t xml:space="preserve"> </w:t>
            </w:r>
          </w:p>
        </w:tc>
      </w:tr>
      <w:tr w:rsidR="00ED39C4" w:rsidRPr="00DF5467" w14:paraId="76AC3652" w14:textId="77777777" w:rsidTr="00035755">
        <w:tc>
          <w:tcPr>
            <w:tcW w:w="9322" w:type="dxa"/>
            <w:tcBorders>
              <w:bottom w:val="single" w:sz="4" w:space="0" w:color="auto"/>
            </w:tcBorders>
            <w:shd w:val="clear" w:color="auto" w:fill="auto"/>
          </w:tcPr>
          <w:p w14:paraId="5F846F3C" w14:textId="624D2DBB" w:rsidR="00ED39C4" w:rsidRPr="00DF5467" w:rsidRDefault="00ED39C4" w:rsidP="00AB670E">
            <w:pPr>
              <w:spacing w:before="120" w:after="120"/>
              <w:jc w:val="both"/>
              <w:rPr>
                <w:noProof/>
                <w:sz w:val="24"/>
                <w:szCs w:val="24"/>
              </w:rPr>
            </w:pPr>
            <w:r w:rsidRPr="00DF5467">
              <w:rPr>
                <w:noProof/>
                <w:sz w:val="24"/>
                <w:szCs w:val="24"/>
              </w:rPr>
              <w:t>There are no other significant impacts expected.</w:t>
            </w:r>
          </w:p>
        </w:tc>
      </w:tr>
      <w:tr w:rsidR="00ED39C4" w:rsidRPr="00DF5467" w14:paraId="5001E4F2" w14:textId="77777777" w:rsidTr="00035755">
        <w:tc>
          <w:tcPr>
            <w:tcW w:w="9322" w:type="dxa"/>
            <w:tcBorders>
              <w:bottom w:val="single" w:sz="4" w:space="0" w:color="auto"/>
            </w:tcBorders>
            <w:shd w:val="clear" w:color="auto" w:fill="C0C0C0"/>
          </w:tcPr>
          <w:p w14:paraId="47ACECB6" w14:textId="77777777" w:rsidR="00ED39C4" w:rsidRPr="00DF5467" w:rsidRDefault="00ED39C4" w:rsidP="00035755">
            <w:pPr>
              <w:spacing w:before="60" w:after="60"/>
              <w:jc w:val="center"/>
              <w:rPr>
                <w:b/>
                <w:noProof/>
                <w:sz w:val="24"/>
                <w:szCs w:val="24"/>
              </w:rPr>
            </w:pPr>
            <w:r w:rsidRPr="00DF5467">
              <w:rPr>
                <w:b/>
                <w:noProof/>
                <w:sz w:val="24"/>
                <w:szCs w:val="24"/>
              </w:rPr>
              <w:t>D. Follow-up</w:t>
            </w:r>
          </w:p>
        </w:tc>
      </w:tr>
      <w:tr w:rsidR="00ED39C4" w:rsidRPr="00DF5467" w14:paraId="1C7AC41F" w14:textId="77777777" w:rsidTr="00035755">
        <w:tc>
          <w:tcPr>
            <w:tcW w:w="9322" w:type="dxa"/>
            <w:tcBorders>
              <w:bottom w:val="single" w:sz="4" w:space="0" w:color="auto"/>
            </w:tcBorders>
            <w:shd w:val="clear" w:color="auto" w:fill="E6E6E6"/>
          </w:tcPr>
          <w:p w14:paraId="73B90827" w14:textId="77777777" w:rsidR="00ED39C4" w:rsidRPr="00DF5467" w:rsidRDefault="00ED39C4" w:rsidP="00AB670E">
            <w:pPr>
              <w:spacing w:before="120" w:after="120"/>
              <w:jc w:val="both"/>
              <w:rPr>
                <w:noProof/>
                <w:sz w:val="24"/>
                <w:szCs w:val="24"/>
              </w:rPr>
            </w:pPr>
            <w:r w:rsidRPr="00DF5467">
              <w:rPr>
                <w:b/>
                <w:noProof/>
                <w:sz w:val="24"/>
                <w:szCs w:val="24"/>
              </w:rPr>
              <w:t xml:space="preserve">When will the policy be reviewed? </w:t>
            </w:r>
          </w:p>
        </w:tc>
      </w:tr>
      <w:tr w:rsidR="00ED39C4" w:rsidRPr="00DF5467" w14:paraId="3DE048DE" w14:textId="77777777" w:rsidTr="00035755">
        <w:tc>
          <w:tcPr>
            <w:tcW w:w="9322" w:type="dxa"/>
            <w:tcBorders>
              <w:bottom w:val="single" w:sz="4" w:space="0" w:color="auto"/>
            </w:tcBorders>
            <w:shd w:val="clear" w:color="auto" w:fill="auto"/>
          </w:tcPr>
          <w:p w14:paraId="2CC287CB" w14:textId="59CB003E" w:rsidR="005D586D" w:rsidRPr="00DF5467" w:rsidRDefault="6A4B40D6" w:rsidP="00785322">
            <w:pPr>
              <w:spacing w:before="120" w:after="120"/>
              <w:jc w:val="both"/>
              <w:rPr>
                <w:noProof/>
                <w:sz w:val="24"/>
                <w:szCs w:val="24"/>
                <w:highlight w:val="yellow"/>
              </w:rPr>
            </w:pPr>
            <w:r w:rsidRPr="00DF5467">
              <w:rPr>
                <w:noProof/>
                <w:sz w:val="24"/>
                <w:szCs w:val="24"/>
              </w:rPr>
              <w:t xml:space="preserve">The </w:t>
            </w:r>
            <w:r w:rsidR="5F27F078" w:rsidRPr="00DF5467">
              <w:rPr>
                <w:noProof/>
                <w:sz w:val="24"/>
                <w:szCs w:val="24"/>
              </w:rPr>
              <w:t>f</w:t>
            </w:r>
            <w:r w:rsidR="453F3B2A" w:rsidRPr="00DF5467">
              <w:rPr>
                <w:noProof/>
                <w:sz w:val="24"/>
                <w:szCs w:val="24"/>
              </w:rPr>
              <w:t>irst</w:t>
            </w:r>
            <w:r w:rsidR="00317245" w:rsidRPr="00DF5467">
              <w:rPr>
                <w:noProof/>
                <w:sz w:val="24"/>
                <w:szCs w:val="24"/>
              </w:rPr>
              <w:t xml:space="preserve"> evaluation report should be done </w:t>
            </w:r>
            <w:bookmarkStart w:id="5" w:name="_Hlk123748017"/>
            <w:r w:rsidR="00785322">
              <w:rPr>
                <w:noProof/>
                <w:sz w:val="24"/>
                <w:szCs w:val="24"/>
              </w:rPr>
              <w:t>5</w:t>
            </w:r>
            <w:r w:rsidR="00317245" w:rsidRPr="00DF5467">
              <w:rPr>
                <w:noProof/>
                <w:sz w:val="24"/>
                <w:szCs w:val="24"/>
              </w:rPr>
              <w:t xml:space="preserve"> years </w:t>
            </w:r>
            <w:bookmarkEnd w:id="5"/>
            <w:r w:rsidR="00D74966" w:rsidRPr="00DF5467">
              <w:rPr>
                <w:noProof/>
                <w:sz w:val="24"/>
                <w:szCs w:val="24"/>
              </w:rPr>
              <w:t xml:space="preserve">after the granting of the first EU-level </w:t>
            </w:r>
            <w:r w:rsidR="00DC40E1" w:rsidRPr="00DF5467">
              <w:rPr>
                <w:noProof/>
                <w:sz w:val="24"/>
                <w:szCs w:val="24"/>
              </w:rPr>
              <w:t>compulsory licen</w:t>
            </w:r>
            <w:r w:rsidR="00DF5467" w:rsidRPr="00DF5467">
              <w:rPr>
                <w:noProof/>
                <w:sz w:val="24"/>
                <w:szCs w:val="24"/>
              </w:rPr>
              <w:t>ce</w:t>
            </w:r>
            <w:r w:rsidR="00D74966" w:rsidRPr="00AB670E">
              <w:rPr>
                <w:noProof/>
                <w:sz w:val="24"/>
                <w:szCs w:val="24"/>
              </w:rPr>
              <w:t>.</w:t>
            </w:r>
          </w:p>
        </w:tc>
      </w:tr>
    </w:tbl>
    <w:p w14:paraId="3607F5E9" w14:textId="77777777" w:rsidR="008D435D" w:rsidRPr="00DF5467" w:rsidRDefault="00EA6DFA" w:rsidP="00DA4580">
      <w:pPr>
        <w:rPr>
          <w:rFonts w:ascii="Times New Roman" w:hAnsi="Times New Roman" w:cs="Times New Roman"/>
          <w:noProof/>
          <w:sz w:val="24"/>
          <w:szCs w:val="24"/>
        </w:rPr>
      </w:pPr>
    </w:p>
    <w:sectPr w:rsidR="008D435D" w:rsidRPr="00DF5467" w:rsidSect="0026613F">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6029" w14:textId="77777777" w:rsidR="006E1735" w:rsidRDefault="006E1735" w:rsidP="00FE5FD3">
      <w:pPr>
        <w:spacing w:after="0" w:line="240" w:lineRule="auto"/>
      </w:pPr>
      <w:r>
        <w:separator/>
      </w:r>
    </w:p>
  </w:endnote>
  <w:endnote w:type="continuationSeparator" w:id="0">
    <w:p w14:paraId="5B1288E6" w14:textId="77777777" w:rsidR="006E1735" w:rsidRDefault="006E1735" w:rsidP="00FE5FD3">
      <w:pPr>
        <w:spacing w:after="0" w:line="240" w:lineRule="auto"/>
      </w:pPr>
      <w:r>
        <w:continuationSeparator/>
      </w:r>
    </w:p>
  </w:endnote>
  <w:endnote w:type="continuationNotice" w:id="1">
    <w:p w14:paraId="2AAE7933" w14:textId="77777777" w:rsidR="006E1735" w:rsidRDefault="006E1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6C24" w14:textId="77777777" w:rsidR="00EA6DFA" w:rsidRDefault="00EA6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EA6DFA" w:rsidRPr="00D94637" w14:paraId="18F5F8D3" w14:textId="77777777" w:rsidTr="00EA6DFA">
      <w:trPr>
        <w:jc w:val="center"/>
      </w:trPr>
      <w:tc>
        <w:tcPr>
          <w:tcW w:w="5000" w:type="pct"/>
          <w:gridSpan w:val="7"/>
          <w:shd w:val="clear" w:color="auto" w:fill="auto"/>
          <w:tcMar>
            <w:top w:w="57" w:type="dxa"/>
          </w:tcMar>
        </w:tcPr>
        <w:p w14:paraId="381BAE2E" w14:textId="77777777" w:rsidR="00EA6DFA" w:rsidRPr="00D94637" w:rsidRDefault="00EA6DFA" w:rsidP="00D94637">
          <w:pPr>
            <w:pStyle w:val="FooterText"/>
            <w:pBdr>
              <w:top w:val="single" w:sz="4" w:space="1" w:color="auto"/>
            </w:pBdr>
            <w:spacing w:before="200"/>
            <w:rPr>
              <w:sz w:val="2"/>
              <w:szCs w:val="2"/>
            </w:rPr>
          </w:pPr>
          <w:bookmarkStart w:id="2" w:name="FOOTER_STANDARD"/>
        </w:p>
      </w:tc>
    </w:tr>
    <w:tr w:rsidR="00EA6DFA" w:rsidRPr="00B310DC" w14:paraId="3C41CD35" w14:textId="77777777" w:rsidTr="00EA6DFA">
      <w:trPr>
        <w:jc w:val="center"/>
      </w:trPr>
      <w:tc>
        <w:tcPr>
          <w:tcW w:w="2500" w:type="pct"/>
          <w:gridSpan w:val="2"/>
          <w:shd w:val="clear" w:color="auto" w:fill="auto"/>
          <w:tcMar>
            <w:top w:w="0" w:type="dxa"/>
          </w:tcMar>
        </w:tcPr>
        <w:p w14:paraId="2F576F86" w14:textId="03FFEA9A" w:rsidR="00EA6DFA" w:rsidRPr="00AD7BF2" w:rsidRDefault="00EA6DFA" w:rsidP="004F54B2">
          <w:pPr>
            <w:pStyle w:val="FooterText"/>
          </w:pPr>
          <w:r>
            <w:t>8901/23</w:t>
          </w:r>
          <w:r w:rsidRPr="002511D8">
            <w:t xml:space="preserve"> </w:t>
          </w:r>
          <w:r>
            <w:t>ADD 5</w:t>
          </w:r>
        </w:p>
      </w:tc>
      <w:tc>
        <w:tcPr>
          <w:tcW w:w="625" w:type="pct"/>
          <w:shd w:val="clear" w:color="auto" w:fill="auto"/>
          <w:tcMar>
            <w:top w:w="0" w:type="dxa"/>
          </w:tcMar>
        </w:tcPr>
        <w:p w14:paraId="485E3C59" w14:textId="77777777" w:rsidR="00EA6DFA" w:rsidRPr="00AD7BF2" w:rsidRDefault="00EA6DFA" w:rsidP="00D94637">
          <w:pPr>
            <w:pStyle w:val="FooterText"/>
            <w:jc w:val="center"/>
          </w:pPr>
        </w:p>
      </w:tc>
      <w:tc>
        <w:tcPr>
          <w:tcW w:w="1286" w:type="pct"/>
          <w:gridSpan w:val="3"/>
          <w:shd w:val="clear" w:color="auto" w:fill="auto"/>
          <w:tcMar>
            <w:top w:w="0" w:type="dxa"/>
          </w:tcMar>
        </w:tcPr>
        <w:p w14:paraId="623E05E9" w14:textId="2F8B56E4" w:rsidR="00EA6DFA" w:rsidRPr="002511D8" w:rsidRDefault="00EA6DFA" w:rsidP="00D94637">
          <w:pPr>
            <w:pStyle w:val="FooterText"/>
            <w:jc w:val="center"/>
          </w:pPr>
          <w:r>
            <w:t>BM/ps</w:t>
          </w:r>
        </w:p>
      </w:tc>
      <w:tc>
        <w:tcPr>
          <w:tcW w:w="589" w:type="pct"/>
          <w:shd w:val="clear" w:color="auto" w:fill="auto"/>
          <w:tcMar>
            <w:top w:w="0" w:type="dxa"/>
          </w:tcMar>
        </w:tcPr>
        <w:p w14:paraId="0075A4D9" w14:textId="0E97E110" w:rsidR="00EA6DFA" w:rsidRPr="00B310DC" w:rsidRDefault="00EA6DFA"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EA6DFA" w:rsidRPr="00D94637" w14:paraId="4269300B" w14:textId="77777777" w:rsidTr="00EA6DFA">
      <w:trPr>
        <w:jc w:val="center"/>
      </w:trPr>
      <w:tc>
        <w:tcPr>
          <w:tcW w:w="1774" w:type="pct"/>
          <w:shd w:val="clear" w:color="auto" w:fill="auto"/>
        </w:tcPr>
        <w:p w14:paraId="436A42D2" w14:textId="3048A963" w:rsidR="00EA6DFA" w:rsidRPr="00AD7BF2" w:rsidRDefault="00EA6DFA" w:rsidP="00D94637">
          <w:pPr>
            <w:pStyle w:val="FooterText"/>
            <w:spacing w:before="40"/>
          </w:pPr>
        </w:p>
      </w:tc>
      <w:tc>
        <w:tcPr>
          <w:tcW w:w="1455" w:type="pct"/>
          <w:gridSpan w:val="3"/>
          <w:shd w:val="clear" w:color="auto" w:fill="auto"/>
        </w:tcPr>
        <w:p w14:paraId="5E924C0D" w14:textId="4CC7E863" w:rsidR="00EA6DFA" w:rsidRPr="00AD7BF2" w:rsidRDefault="00EA6DFA" w:rsidP="00D204D6">
          <w:pPr>
            <w:pStyle w:val="FooterText"/>
            <w:spacing w:before="40"/>
            <w:jc w:val="center"/>
          </w:pPr>
          <w:r>
            <w:t>COMPET.1</w:t>
          </w:r>
        </w:p>
      </w:tc>
      <w:tc>
        <w:tcPr>
          <w:tcW w:w="742" w:type="pct"/>
          <w:shd w:val="clear" w:color="auto" w:fill="auto"/>
        </w:tcPr>
        <w:p w14:paraId="2D7C7FCA" w14:textId="3B5CF108" w:rsidR="00EA6DFA" w:rsidRPr="00D94637" w:rsidRDefault="00EA6DFA" w:rsidP="002F0099">
          <w:pPr>
            <w:pStyle w:val="FooterText"/>
            <w:jc w:val="center"/>
            <w:rPr>
              <w:b/>
              <w:position w:val="-4"/>
              <w:sz w:val="36"/>
            </w:rPr>
          </w:pPr>
        </w:p>
      </w:tc>
      <w:tc>
        <w:tcPr>
          <w:tcW w:w="1029" w:type="pct"/>
          <w:gridSpan w:val="2"/>
          <w:shd w:val="clear" w:color="auto" w:fill="auto"/>
        </w:tcPr>
        <w:p w14:paraId="1C3F45E5" w14:textId="46B83D2A" w:rsidR="00EA6DFA" w:rsidRPr="000310C2" w:rsidRDefault="00EA6DFA" w:rsidP="00D94637">
          <w:pPr>
            <w:pStyle w:val="FooterText"/>
            <w:jc w:val="right"/>
            <w:rPr>
              <w:spacing w:val="-20"/>
              <w:sz w:val="16"/>
            </w:rPr>
          </w:pPr>
          <w:r>
            <w:rPr>
              <w:b/>
              <w:spacing w:val="-20"/>
              <w:position w:val="-4"/>
              <w:sz w:val="36"/>
            </w:rPr>
            <w:t>EN</w:t>
          </w:r>
        </w:p>
      </w:tc>
    </w:tr>
    <w:bookmarkEnd w:id="2"/>
  </w:tbl>
  <w:p w14:paraId="74A22ED1" w14:textId="0D88CAA7" w:rsidR="00200B91" w:rsidRPr="00EA6DFA" w:rsidRDefault="00200B91" w:rsidP="00EA6DFA">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EA6DFA" w:rsidRPr="00D94637" w14:paraId="4A47088E" w14:textId="77777777" w:rsidTr="00EA6DFA">
      <w:trPr>
        <w:jc w:val="center"/>
      </w:trPr>
      <w:tc>
        <w:tcPr>
          <w:tcW w:w="5000" w:type="pct"/>
          <w:gridSpan w:val="7"/>
          <w:shd w:val="clear" w:color="auto" w:fill="auto"/>
          <w:tcMar>
            <w:top w:w="57" w:type="dxa"/>
          </w:tcMar>
        </w:tcPr>
        <w:p w14:paraId="6FAC9117" w14:textId="77777777" w:rsidR="00EA6DFA" w:rsidRPr="00D94637" w:rsidRDefault="00EA6DFA" w:rsidP="00D94637">
          <w:pPr>
            <w:pStyle w:val="FooterText"/>
            <w:pBdr>
              <w:top w:val="single" w:sz="4" w:space="1" w:color="auto"/>
            </w:pBdr>
            <w:spacing w:before="200"/>
            <w:rPr>
              <w:sz w:val="2"/>
              <w:szCs w:val="2"/>
            </w:rPr>
          </w:pPr>
        </w:p>
      </w:tc>
    </w:tr>
    <w:tr w:rsidR="00EA6DFA" w:rsidRPr="00B310DC" w14:paraId="4BF0F41D" w14:textId="77777777" w:rsidTr="00EA6DFA">
      <w:trPr>
        <w:jc w:val="center"/>
      </w:trPr>
      <w:tc>
        <w:tcPr>
          <w:tcW w:w="2500" w:type="pct"/>
          <w:gridSpan w:val="2"/>
          <w:shd w:val="clear" w:color="auto" w:fill="auto"/>
          <w:tcMar>
            <w:top w:w="0" w:type="dxa"/>
          </w:tcMar>
        </w:tcPr>
        <w:p w14:paraId="22200A54" w14:textId="25AA5B47" w:rsidR="00EA6DFA" w:rsidRPr="00AD7BF2" w:rsidRDefault="00EA6DFA" w:rsidP="004F54B2">
          <w:pPr>
            <w:pStyle w:val="FooterText"/>
          </w:pPr>
          <w:r>
            <w:t>8901/23</w:t>
          </w:r>
          <w:r w:rsidRPr="002511D8">
            <w:t xml:space="preserve"> </w:t>
          </w:r>
          <w:r>
            <w:t>ADD 5</w:t>
          </w:r>
        </w:p>
      </w:tc>
      <w:tc>
        <w:tcPr>
          <w:tcW w:w="625" w:type="pct"/>
          <w:shd w:val="clear" w:color="auto" w:fill="auto"/>
          <w:tcMar>
            <w:top w:w="0" w:type="dxa"/>
          </w:tcMar>
        </w:tcPr>
        <w:p w14:paraId="4238EAB8" w14:textId="77777777" w:rsidR="00EA6DFA" w:rsidRPr="00AD7BF2" w:rsidRDefault="00EA6DFA" w:rsidP="00D94637">
          <w:pPr>
            <w:pStyle w:val="FooterText"/>
            <w:jc w:val="center"/>
          </w:pPr>
        </w:p>
      </w:tc>
      <w:tc>
        <w:tcPr>
          <w:tcW w:w="1286" w:type="pct"/>
          <w:gridSpan w:val="3"/>
          <w:shd w:val="clear" w:color="auto" w:fill="auto"/>
          <w:tcMar>
            <w:top w:w="0" w:type="dxa"/>
          </w:tcMar>
        </w:tcPr>
        <w:p w14:paraId="1C916325" w14:textId="0002F02B" w:rsidR="00EA6DFA" w:rsidRPr="002511D8" w:rsidRDefault="00EA6DFA" w:rsidP="00D94637">
          <w:pPr>
            <w:pStyle w:val="FooterText"/>
            <w:jc w:val="center"/>
          </w:pPr>
          <w:r>
            <w:t>BM/ps</w:t>
          </w:r>
        </w:p>
      </w:tc>
      <w:tc>
        <w:tcPr>
          <w:tcW w:w="589" w:type="pct"/>
          <w:shd w:val="clear" w:color="auto" w:fill="auto"/>
          <w:tcMar>
            <w:top w:w="0" w:type="dxa"/>
          </w:tcMar>
        </w:tcPr>
        <w:p w14:paraId="1095552A" w14:textId="6537CFB3" w:rsidR="00EA6DFA" w:rsidRPr="00B310DC" w:rsidRDefault="00EA6DFA" w:rsidP="00D94637">
          <w:pPr>
            <w:pStyle w:val="FooterText"/>
            <w:jc w:val="right"/>
          </w:pPr>
        </w:p>
      </w:tc>
    </w:tr>
    <w:tr w:rsidR="00EA6DFA" w:rsidRPr="00D94637" w14:paraId="385EA67F" w14:textId="77777777" w:rsidTr="00EA6DFA">
      <w:trPr>
        <w:jc w:val="center"/>
      </w:trPr>
      <w:tc>
        <w:tcPr>
          <w:tcW w:w="1774" w:type="pct"/>
          <w:shd w:val="clear" w:color="auto" w:fill="auto"/>
        </w:tcPr>
        <w:p w14:paraId="75D1DDCA" w14:textId="01B13F8C" w:rsidR="00EA6DFA" w:rsidRPr="00AD7BF2" w:rsidRDefault="00EA6DFA" w:rsidP="00D94637">
          <w:pPr>
            <w:pStyle w:val="FooterText"/>
            <w:spacing w:before="40"/>
          </w:pPr>
        </w:p>
      </w:tc>
      <w:tc>
        <w:tcPr>
          <w:tcW w:w="1455" w:type="pct"/>
          <w:gridSpan w:val="3"/>
          <w:shd w:val="clear" w:color="auto" w:fill="auto"/>
        </w:tcPr>
        <w:p w14:paraId="0F3685BF" w14:textId="6F1AFFF5" w:rsidR="00EA6DFA" w:rsidRPr="00AD7BF2" w:rsidRDefault="00EA6DFA" w:rsidP="00D204D6">
          <w:pPr>
            <w:pStyle w:val="FooterText"/>
            <w:spacing w:before="40"/>
            <w:jc w:val="center"/>
          </w:pPr>
          <w:r>
            <w:t>COMPET.1</w:t>
          </w:r>
        </w:p>
      </w:tc>
      <w:tc>
        <w:tcPr>
          <w:tcW w:w="742" w:type="pct"/>
          <w:shd w:val="clear" w:color="auto" w:fill="auto"/>
        </w:tcPr>
        <w:p w14:paraId="39B5B180" w14:textId="0DCAA290" w:rsidR="00EA6DFA" w:rsidRPr="00D94637" w:rsidRDefault="00EA6DFA" w:rsidP="002F0099">
          <w:pPr>
            <w:pStyle w:val="FooterText"/>
            <w:jc w:val="center"/>
            <w:rPr>
              <w:b/>
              <w:position w:val="-4"/>
              <w:sz w:val="36"/>
            </w:rPr>
          </w:pPr>
        </w:p>
      </w:tc>
      <w:tc>
        <w:tcPr>
          <w:tcW w:w="1029" w:type="pct"/>
          <w:gridSpan w:val="2"/>
          <w:shd w:val="clear" w:color="auto" w:fill="auto"/>
        </w:tcPr>
        <w:p w14:paraId="0A674F6C" w14:textId="131EF101" w:rsidR="00EA6DFA" w:rsidRPr="000310C2" w:rsidRDefault="00EA6DFA" w:rsidP="00D94637">
          <w:pPr>
            <w:pStyle w:val="FooterText"/>
            <w:jc w:val="right"/>
            <w:rPr>
              <w:spacing w:val="-20"/>
              <w:sz w:val="16"/>
            </w:rPr>
          </w:pPr>
          <w:r>
            <w:rPr>
              <w:b/>
              <w:spacing w:val="-20"/>
              <w:position w:val="-4"/>
              <w:sz w:val="36"/>
            </w:rPr>
            <w:t>EN</w:t>
          </w:r>
        </w:p>
      </w:tc>
    </w:tr>
  </w:tbl>
  <w:p w14:paraId="41B97118" w14:textId="77777777" w:rsidR="001D5AEC" w:rsidRPr="00EA6DFA" w:rsidRDefault="001D5AEC" w:rsidP="00EA6DFA">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C9B" w14:textId="77777777" w:rsidR="00B47EBB" w:rsidRPr="001D5AEC" w:rsidRDefault="00B47EBB" w:rsidP="001D5A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23A8" w14:textId="77777777" w:rsidR="00B47EBB" w:rsidRPr="001D5AEC" w:rsidRDefault="00B47EBB" w:rsidP="001D5AEC">
    <w:pPr>
      <w:pStyle w:val="FooterCoverPage"/>
      <w:rPr>
        <w:rFonts w:ascii="Arial" w:hAnsi="Arial" w:cs="Arial"/>
        <w:b/>
        <w:sz w:val="48"/>
      </w:rPr>
    </w:pPr>
    <w:r w:rsidRPr="001D5AEC">
      <w:rPr>
        <w:rFonts w:ascii="Arial" w:hAnsi="Arial" w:cs="Arial"/>
        <w:b/>
        <w:sz w:val="48"/>
      </w:rPr>
      <w:t>EN</w:t>
    </w:r>
    <w:r w:rsidRPr="001D5AEC">
      <w:rPr>
        <w:rFonts w:ascii="Arial" w:hAnsi="Arial" w:cs="Arial"/>
        <w:b/>
        <w:sz w:val="48"/>
      </w:rPr>
      <w:tab/>
    </w:r>
    <w:r w:rsidRPr="001D5AEC">
      <w:rPr>
        <w:rFonts w:ascii="Arial" w:hAnsi="Arial" w:cs="Arial"/>
        <w:b/>
        <w:sz w:val="48"/>
      </w:rPr>
      <w:tab/>
    </w:r>
    <w:r w:rsidRPr="001D5AEC">
      <w:tab/>
    </w:r>
    <w:r w:rsidRPr="001D5AEC">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209F" w14:textId="77777777" w:rsidR="00B47EBB" w:rsidRPr="001D5AEC" w:rsidRDefault="00B47EBB" w:rsidP="001D5AEC">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89EC" w14:textId="77777777" w:rsidR="0026613F" w:rsidRDefault="00EA6DF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100745"/>
      <w:docPartObj>
        <w:docPartGallery w:val="Page Numbers (Bottom of Page)"/>
        <w:docPartUnique/>
      </w:docPartObj>
    </w:sdtPr>
    <w:sdtEndPr>
      <w:rPr>
        <w:noProof/>
      </w:rPr>
    </w:sdtEndPr>
    <w:sdtContent>
      <w:p w14:paraId="3C68E5C8" w14:textId="68036F1C" w:rsidR="0026613F" w:rsidRDefault="005B5533">
        <w:pPr>
          <w:pStyle w:val="Footer"/>
          <w:jc w:val="center"/>
        </w:pPr>
        <w:r>
          <w:fldChar w:fldCharType="begin"/>
        </w:r>
        <w:r>
          <w:instrText xml:space="preserve"> PAGE   \* MERGEFORMAT </w:instrText>
        </w:r>
        <w:r>
          <w:fldChar w:fldCharType="separate"/>
        </w:r>
        <w:r w:rsidR="001D5AEC">
          <w:rPr>
            <w:noProof/>
          </w:rPr>
          <w:t>1</w:t>
        </w:r>
        <w:r>
          <w:rPr>
            <w:noProof/>
          </w:rPr>
          <w:fldChar w:fldCharType="end"/>
        </w:r>
      </w:p>
    </w:sdtContent>
  </w:sdt>
  <w:p w14:paraId="1F43F197" w14:textId="77777777" w:rsidR="0026613F" w:rsidRDefault="00EA6DF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3130" w14:textId="77777777" w:rsidR="0026613F" w:rsidRDefault="00EA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B9E6" w14:textId="77777777" w:rsidR="006E1735" w:rsidRDefault="006E1735" w:rsidP="00FE5FD3">
      <w:pPr>
        <w:spacing w:after="0" w:line="240" w:lineRule="auto"/>
      </w:pPr>
      <w:r>
        <w:separator/>
      </w:r>
    </w:p>
  </w:footnote>
  <w:footnote w:type="continuationSeparator" w:id="0">
    <w:p w14:paraId="01E4C79D" w14:textId="77777777" w:rsidR="006E1735" w:rsidRDefault="006E1735" w:rsidP="00FE5FD3">
      <w:pPr>
        <w:spacing w:after="0" w:line="240" w:lineRule="auto"/>
      </w:pPr>
      <w:r>
        <w:continuationSeparator/>
      </w:r>
    </w:p>
  </w:footnote>
  <w:footnote w:type="continuationNotice" w:id="1">
    <w:p w14:paraId="340948EC" w14:textId="77777777" w:rsidR="006E1735" w:rsidRDefault="006E1735">
      <w:pPr>
        <w:spacing w:after="0" w:line="240" w:lineRule="auto"/>
      </w:pPr>
    </w:p>
  </w:footnote>
  <w:footnote w:id="2">
    <w:p w14:paraId="2CF5CEDB" w14:textId="77777777" w:rsidR="0059764E" w:rsidRPr="00226DAB" w:rsidRDefault="0059764E" w:rsidP="00725F30">
      <w:pPr>
        <w:pStyle w:val="FootnoteText"/>
        <w:jc w:val="both"/>
        <w:rPr>
          <w:rFonts w:ascii="Times New Roman" w:hAnsi="Times New Roman" w:cs="Times New Roman"/>
        </w:rPr>
      </w:pPr>
      <w:r w:rsidRPr="00725F30">
        <w:rPr>
          <w:rStyle w:val="FootnoteReference"/>
          <w:rFonts w:ascii="Times New Roman" w:hAnsi="Times New Roman" w:cs="Times New Roman"/>
        </w:rPr>
        <w:footnoteRef/>
      </w:r>
      <w:r w:rsidRPr="00725F30">
        <w:rPr>
          <w:rFonts w:ascii="Times New Roman" w:hAnsi="Times New Roman" w:cs="Times New Roman"/>
        </w:rPr>
        <w:t xml:space="preserve"> IP action plan, </w:t>
      </w:r>
      <w:hyperlink r:id="rId1" w:history="1">
        <w:r w:rsidRPr="00725F30">
          <w:rPr>
            <w:rStyle w:val="Hyperlink"/>
            <w:rFonts w:ascii="Times New Roman" w:hAnsi="Times New Roman" w:cs="Times New Roman"/>
          </w:rPr>
          <w:t>COM(2020) 760 final, 25.11.2020</w:t>
        </w:r>
      </w:hyperlink>
      <w:r w:rsidRPr="00226DAB">
        <w:rPr>
          <w:rFonts w:ascii="Times New Roman" w:hAnsi="Times New Roman" w:cs="Times New Roman"/>
        </w:rPr>
        <w:t>.</w:t>
      </w:r>
    </w:p>
  </w:footnote>
  <w:footnote w:id="3">
    <w:p w14:paraId="2D71BAAB" w14:textId="528A6B54" w:rsidR="0059764E" w:rsidRPr="00725F30" w:rsidRDefault="0059764E" w:rsidP="00226DAB">
      <w:pPr>
        <w:pStyle w:val="FootnoteText"/>
        <w:jc w:val="both"/>
        <w:rPr>
          <w:rFonts w:ascii="Times New Roman" w:hAnsi="Times New Roman" w:cs="Times New Roman"/>
        </w:rPr>
      </w:pPr>
      <w:r w:rsidRPr="00226DAB">
        <w:rPr>
          <w:rStyle w:val="FootnoteReference"/>
          <w:rFonts w:ascii="Times New Roman" w:hAnsi="Times New Roman" w:cs="Times New Roman"/>
        </w:rPr>
        <w:footnoteRef/>
      </w:r>
      <w:r w:rsidRPr="00226DAB">
        <w:rPr>
          <w:rFonts w:ascii="Times New Roman" w:hAnsi="Times New Roman" w:cs="Times New Roman"/>
        </w:rPr>
        <w:t xml:space="preserve"> The resolution </w:t>
      </w:r>
      <w:r w:rsidRPr="00226DAB">
        <w:rPr>
          <w:rFonts w:ascii="Times New Roman" w:hAnsi="Times New Roman" w:cs="Times New Roman"/>
          <w:lang w:val="en-IE"/>
        </w:rPr>
        <w:t xml:space="preserve">on the </w:t>
      </w:r>
      <w:r w:rsidR="00EF7132" w:rsidRPr="00725F30">
        <w:rPr>
          <w:rFonts w:ascii="Times New Roman" w:hAnsi="Times New Roman" w:cs="Times New Roman"/>
          <w:lang w:val="en-IE"/>
        </w:rPr>
        <w:t>IP</w:t>
      </w:r>
      <w:r w:rsidRPr="00725F30">
        <w:rPr>
          <w:rFonts w:ascii="Times New Roman" w:hAnsi="Times New Roman" w:cs="Times New Roman"/>
          <w:lang w:val="en-IE"/>
        </w:rPr>
        <w:t xml:space="preserve"> action plan to support the EU’s recovery and resilience (2021/2007(INI)).</w:t>
      </w:r>
    </w:p>
  </w:footnote>
  <w:footnote w:id="4">
    <w:p w14:paraId="7F12F8B3" w14:textId="6398B800" w:rsidR="0059764E" w:rsidRPr="00226DAB" w:rsidRDefault="0059764E" w:rsidP="00226DAB">
      <w:pPr>
        <w:pStyle w:val="FootnoteText"/>
        <w:jc w:val="both"/>
        <w:rPr>
          <w:rFonts w:ascii="Times New Roman" w:hAnsi="Times New Roman" w:cs="Times New Roman"/>
        </w:rPr>
      </w:pPr>
      <w:r w:rsidRPr="00226DAB">
        <w:rPr>
          <w:rStyle w:val="FootnoteReference"/>
          <w:rFonts w:ascii="Times New Roman" w:hAnsi="Times New Roman" w:cs="Times New Roman"/>
        </w:rPr>
        <w:footnoteRef/>
      </w:r>
      <w:r w:rsidRPr="00226DAB">
        <w:rPr>
          <w:rFonts w:ascii="Times New Roman" w:hAnsi="Times New Roman" w:cs="Times New Roman"/>
        </w:rPr>
        <w:t xml:space="preserve"> </w:t>
      </w:r>
      <w:r w:rsidRPr="00226DAB">
        <w:rPr>
          <w:rFonts w:ascii="Times New Roman" w:hAnsi="Times New Roman" w:cs="Times New Roman"/>
          <w:lang w:val="en-IE"/>
        </w:rPr>
        <w:t>Council conclusions of 18 June 2021</w:t>
      </w:r>
      <w:r w:rsidR="00E4360B" w:rsidRPr="00226DAB">
        <w:rPr>
          <w:rFonts w:ascii="Times New Roman" w:hAnsi="Times New Roman" w:cs="Times New Roman"/>
          <w:lang w:val="en-IE"/>
        </w:rPr>
        <w:t>.</w:t>
      </w:r>
      <w:r w:rsidRPr="00226DAB">
        <w:rPr>
          <w:rFonts w:ascii="Times New Roman" w:hAnsi="Times New Roman" w:cs="Times New Roman"/>
          <w:lang w:val="en-IE"/>
        </w:rPr>
        <w:t xml:space="preserve"> </w:t>
      </w:r>
    </w:p>
  </w:footnote>
  <w:footnote w:id="5">
    <w:p w14:paraId="66969C52" w14:textId="76738D58" w:rsidR="00561D47" w:rsidRPr="00226CCA" w:rsidRDefault="00561D47" w:rsidP="00226CCA">
      <w:pPr>
        <w:shd w:val="clear" w:color="auto" w:fill="FFFFFF"/>
        <w:spacing w:after="0" w:line="240" w:lineRule="auto"/>
        <w:jc w:val="both"/>
        <w:outlineLvl w:val="0"/>
        <w:rPr>
          <w:rFonts w:eastAsia="Times New Roman"/>
          <w:color w:val="404040"/>
          <w:kern w:val="36"/>
          <w:lang w:val="en-IE" w:eastAsia="en-IE"/>
        </w:rPr>
      </w:pPr>
      <w:r w:rsidRPr="00725F30">
        <w:rPr>
          <w:rStyle w:val="FootnoteReference"/>
          <w:rFonts w:ascii="Times New Roman" w:hAnsi="Times New Roman" w:cs="Times New Roman"/>
          <w:sz w:val="20"/>
          <w:szCs w:val="20"/>
        </w:rPr>
        <w:footnoteRef/>
      </w:r>
      <w:r w:rsidRPr="00725F30">
        <w:rPr>
          <w:rFonts w:ascii="Times New Roman" w:hAnsi="Times New Roman" w:cs="Times New Roman"/>
          <w:sz w:val="20"/>
          <w:szCs w:val="20"/>
        </w:rPr>
        <w:t xml:space="preserve"> </w:t>
      </w:r>
      <w:hyperlink r:id="rId2" w:history="1">
        <w:r w:rsidR="00725F30" w:rsidRPr="00226CCA">
          <w:rPr>
            <w:rStyle w:val="Hyperlink"/>
            <w:rFonts w:ascii="Times New Roman" w:eastAsia="Times New Roman" w:hAnsi="Times New Roman" w:cs="Times New Roman"/>
            <w:kern w:val="36"/>
            <w:sz w:val="20"/>
            <w:szCs w:val="20"/>
            <w:lang w:eastAsia="en-IE"/>
          </w:rPr>
          <w:t>Proposal</w:t>
        </w:r>
      </w:hyperlink>
      <w:r w:rsidR="00725F30" w:rsidRPr="00226CCA">
        <w:rPr>
          <w:rFonts w:ascii="Times New Roman" w:eastAsia="Times New Roman" w:hAnsi="Times New Roman" w:cs="Times New Roman"/>
          <w:kern w:val="36"/>
          <w:sz w:val="20"/>
          <w:szCs w:val="20"/>
          <w:lang w:val="en-IE" w:eastAsia="en-IE"/>
        </w:rPr>
        <w:t xml:space="preserve"> for a regulation of the European Parliament and of the Council establishing a Single Market emergency instrument </w:t>
      </w:r>
      <w:r w:rsidR="00A71ED9">
        <w:rPr>
          <w:rFonts w:ascii="Times New Roman" w:eastAsia="Times New Roman" w:hAnsi="Times New Roman" w:cs="Times New Roman"/>
          <w:kern w:val="36"/>
          <w:sz w:val="20"/>
          <w:szCs w:val="20"/>
          <w:lang w:val="en-IE" w:eastAsia="en-IE"/>
        </w:rPr>
        <w:t xml:space="preserve">(SMEI) </w:t>
      </w:r>
      <w:r w:rsidR="00725F30" w:rsidRPr="00226CCA">
        <w:rPr>
          <w:rFonts w:ascii="Times New Roman" w:eastAsia="Times New Roman" w:hAnsi="Times New Roman" w:cs="Times New Roman"/>
          <w:kern w:val="36"/>
          <w:sz w:val="20"/>
          <w:szCs w:val="20"/>
          <w:lang w:val="en-IE" w:eastAsia="en-IE"/>
        </w:rPr>
        <w:t xml:space="preserve">and repealing Council Regulation No (EC) 2679/98, </w:t>
      </w:r>
      <w:hyperlink r:id="rId3" w:history="1">
        <w:r w:rsidR="00E4360B" w:rsidRPr="00226CCA">
          <w:rPr>
            <w:rStyle w:val="Hyperlink"/>
            <w:rFonts w:ascii="Times New Roman" w:hAnsi="Times New Roman" w:cs="Times New Roman"/>
            <w:sz w:val="20"/>
            <w:szCs w:val="20"/>
          </w:rPr>
          <w:t>Regulation</w:t>
        </w:r>
      </w:hyperlink>
      <w:r w:rsidR="00E4360B" w:rsidRPr="00226CCA">
        <w:rPr>
          <w:rFonts w:ascii="Times New Roman" w:hAnsi="Times New Roman" w:cs="Times New Roman"/>
          <w:sz w:val="20"/>
          <w:szCs w:val="20"/>
        </w:rPr>
        <w:t xml:space="preserve"> (EU) 2022/2371 of 23 November 2022 on serious cross-border threats to health and repealing Decision No 1082/2013/EU and </w:t>
      </w:r>
      <w:hyperlink r:id="rId4" w:history="1">
        <w:r w:rsidR="00E4360B" w:rsidRPr="00226CCA">
          <w:rPr>
            <w:rStyle w:val="Hyperlink"/>
            <w:rFonts w:ascii="Times New Roman" w:hAnsi="Times New Roman" w:cs="Times New Roman"/>
            <w:sz w:val="20"/>
            <w:szCs w:val="20"/>
          </w:rPr>
          <w:t>Council Regulation</w:t>
        </w:r>
      </w:hyperlink>
      <w:r w:rsidR="00E4360B" w:rsidRPr="00226CCA">
        <w:rPr>
          <w:rFonts w:ascii="Times New Roman" w:hAnsi="Times New Roman" w:cs="Times New Roman"/>
          <w:color w:val="333333"/>
          <w:sz w:val="20"/>
          <w:szCs w:val="20"/>
          <w:shd w:val="clear" w:color="auto" w:fill="FFFFFF"/>
        </w:rPr>
        <w:t xml:space="preserve"> </w:t>
      </w:r>
      <w:r w:rsidR="00E4360B" w:rsidRPr="00226CCA">
        <w:rPr>
          <w:rFonts w:ascii="Times New Roman" w:hAnsi="Times New Roman" w:cs="Times New Roman"/>
          <w:sz w:val="20"/>
          <w:szCs w:val="20"/>
          <w:shd w:val="clear" w:color="auto" w:fill="FFFFFF"/>
        </w:rPr>
        <w:t>(EU) 2022/2372 of 24 October 2022 on a framework of measures for ensuring the supply of crisis-relevant medical countermeasures in the event of a public health emergency at Union level</w:t>
      </w:r>
      <w:r w:rsidR="00E4360B" w:rsidDel="00E4360B">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809E" w14:textId="77777777" w:rsidR="00EA6DFA" w:rsidRDefault="00EA6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C52C" w14:textId="689D00A4" w:rsidR="001D5AEC" w:rsidRPr="00EA6DFA" w:rsidRDefault="00EA6DFA" w:rsidP="00EA6DFA">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74EE" w14:textId="40AE7C39" w:rsidR="001D5AEC" w:rsidRPr="00EA6DFA" w:rsidRDefault="00EA6DFA" w:rsidP="00EA6DFA">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FF40" w14:textId="77777777" w:rsidR="00B47EBB" w:rsidRPr="001D5AEC" w:rsidRDefault="00B47EBB" w:rsidP="001D5A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4177" w14:textId="77777777" w:rsidR="00B47EBB" w:rsidRPr="001D5AEC" w:rsidRDefault="00B47EBB" w:rsidP="001D5AEC">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E59B" w14:textId="77777777" w:rsidR="00B47EBB" w:rsidRPr="001D5AEC" w:rsidRDefault="00B47EBB" w:rsidP="001D5AEC">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BCCB" w14:textId="77777777" w:rsidR="0026613F" w:rsidRDefault="00EA6D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881C" w14:textId="77777777" w:rsidR="0026613F" w:rsidRDefault="00EA6D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2B9" w14:textId="77777777" w:rsidR="0026613F" w:rsidRDefault="00EA6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B38"/>
    <w:multiLevelType w:val="hybridMultilevel"/>
    <w:tmpl w:val="802E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8685B"/>
    <w:multiLevelType w:val="hybridMultilevel"/>
    <w:tmpl w:val="70CA9924"/>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663927"/>
    <w:multiLevelType w:val="hybridMultilevel"/>
    <w:tmpl w:val="2616614C"/>
    <w:lvl w:ilvl="0" w:tplc="228A529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86C3C5B"/>
    <w:multiLevelType w:val="hybridMultilevel"/>
    <w:tmpl w:val="39B2A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6C5426"/>
    <w:multiLevelType w:val="hybridMultilevel"/>
    <w:tmpl w:val="02AE1F02"/>
    <w:lvl w:ilvl="0" w:tplc="2B26AFCE">
      <w:start w:val="13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7E0434AB"/>
    <w:multiLevelType w:val="hybridMultilevel"/>
    <w:tmpl w:val="9A0C62EE"/>
    <w:lvl w:ilvl="0" w:tplc="C780EB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57575840">
    <w:abstractNumId w:val="0"/>
  </w:num>
  <w:num w:numId="2" w16cid:durableId="589046915">
    <w:abstractNumId w:val="1"/>
  </w:num>
  <w:num w:numId="3" w16cid:durableId="1882286652">
    <w:abstractNumId w:val="3"/>
  </w:num>
  <w:num w:numId="4" w16cid:durableId="1196961308">
    <w:abstractNumId w:val="4"/>
  </w:num>
  <w:num w:numId="5" w16cid:durableId="1274551725">
    <w:abstractNumId w:val="5"/>
  </w:num>
  <w:num w:numId="6" w16cid:durableId="120949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8.2&quot; technicalblockguid=&quot;522477764618977762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3-05-02&lt;/text&gt;_x000d__x000a_  &lt;/metadata&gt;_x000d__x000a_  &lt;metadata key=&quot;md_Prefix&quot;&gt;_x000d__x000a_    &lt;text&gt;&lt;/text&gt;_x000d__x000a_  &lt;/metadata&gt;_x000d__x000a_  &lt;metadata key=&quot;md_DocumentNumber&quot;&gt;_x000d__x000a_    &lt;text&gt;8901&lt;/text&gt;_x000d__x000a_  &lt;/metadata&gt;_x000d__x000a_  &lt;metadata key=&quot;md_YearDocumentNumber&quot;&gt;_x000d__x000a_    &lt;text&gt;2023&lt;/text&gt;_x000d__x000a_  &lt;/metadata&gt;_x000d__x000a_  &lt;metadata key=&quot;md_Suffixes&quot;&gt;_x000d__x000a_    &lt;text&gt;ADD 5&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58&lt;/text&gt;_x000d__x000a_      &lt;text&gt;PHARM 69&lt;/text&gt;_x000d__x000a_      &lt;text&gt;COMPET 387&lt;/text&gt;_x000d__x000a_      &lt;text&gt;MI 355&lt;/text&gt;_x000d__x000a_      &lt;text&gt;IND 209&lt;/text&gt;_x000d__x000a_      &lt;text&gt;IA 91&lt;/text&gt;_x000d__x000a_      &lt;text&gt;CODEC 75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3/012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3-04-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SWD(2023) 122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MMISSION STAFF WORKING DOCUMENT EXECUTIVE SUMMARY OF THE IMPACT ASSESSMENT REPORT Accompanying the document Proposal for a Regulation of the European Parliament and of the Council on compulsory licensing for crisis management and amending Regulation (EC) 816/2006&quot;&gt;&amp;lt;FlowDocument FontFamily=&quot;Segoe UI&quot; FontSize=&quot;12&quot; PagePadding=&quot;2,2,2,2&quot; AllowDrop=&quot;False&quot; xmlns=&quot;http://schemas.microsoft.com/winfx/2006/xaml/presentation&quot;&amp;gt;&amp;lt;Paragraph&amp;gt;COMMISSION STAFF WORKING DOCUMENT EXECUTIVE SUMMARY OF THE IMPACT ASSESSMENT REPORT Accompanying the document Proposal for a Regulation of the European Parliament and of the Council on compulsory licensing for crisis management and amending Regulation (EC) 816/2006&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BM/ps&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COMMISSION STAFF WORKING DOCUMENT_x000d__x000a__x000d__x000a_EXECUTIVE SUMMARY OF THE IMPACT ASSESSMENT REPORT_x000d__x000a_&lt;/text&gt;_x000d__x000a_  &lt;/metadata&gt;_x000d__x000a_  &lt;metadata key=&quot;md_SourceDocTitle&quot;&gt;_x000d__x000a_    &lt;text&gt;Accompanying the document _x000d__x000a_Proposal for a Regulation of the European Parliament and of the Council _x000d__x000a_on compulsory licensing for crisis management and amending Regulation (EC) 816/2006 _x000d__x000a__x000d__x000a__x000d__x000a__x000d__x000a_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LW_ACCOMPAGNANT.CP" w:val="Accompanying the document"/>
    <w:docVar w:name="LW_CORRIGENDUM" w:val="&lt;UNUSED&gt;"/>
    <w:docVar w:name="LW_COVERPAGE_EXISTS" w:val="True"/>
    <w:docVar w:name="LW_COVERPAGE_GUID" w:val="AE7F2BDD-B9FE-43ED-978D-72B71874D5B7"/>
    <w:docVar w:name="LW_COVERPAGE_TYPE" w:val="1"/>
    <w:docVar w:name="LW_CROSSREFERENCE" w:val="{COM(2023) 224 final} - {SEC(2023) 173 final} - {SWD(2023) 120 final} - {SWD(2023) 121 final}"/>
    <w:docVar w:name="LW_DocType" w:val="NORMAL"/>
    <w:docVar w:name="LW_EMISSION" w:val="27.4.2023"/>
    <w:docVar w:name="LW_EMISSION_ISODATE" w:val="2023-04-2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compulsory licensing for crisis management and amending Regulation (EC) 816/2006 _x000d__x000d__x000d__x000d__x000b_"/>
    <w:docVar w:name="LW_PART_NBR" w:val="1"/>
    <w:docVar w:name="LW_PART_NBR_TOTAL" w:val="1"/>
    <w:docVar w:name="LW_REF.INST.NEW" w:val="SWD"/>
    <w:docVar w:name="LW_REF.INST.NEW_ADOPTED" w:val="final"/>
    <w:docVar w:name="LW_REF.INST.NEW_TEXT" w:val="(2023) 1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 Regulation of the European Parliament and of the Council"/>
    <w:docVar w:name="LwApiVersions" w:val="LW4CoDe 1.23.2.0; LW 8.0, Build 20211117"/>
  </w:docVars>
  <w:rsids>
    <w:rsidRoot w:val="00FE5FD3"/>
    <w:rsid w:val="00020E68"/>
    <w:rsid w:val="0002181A"/>
    <w:rsid w:val="00022939"/>
    <w:rsid w:val="00025C17"/>
    <w:rsid w:val="00030727"/>
    <w:rsid w:val="0003376C"/>
    <w:rsid w:val="000431A6"/>
    <w:rsid w:val="00045564"/>
    <w:rsid w:val="00046B0F"/>
    <w:rsid w:val="00051FFF"/>
    <w:rsid w:val="00055E53"/>
    <w:rsid w:val="000668BE"/>
    <w:rsid w:val="00073A08"/>
    <w:rsid w:val="000810C7"/>
    <w:rsid w:val="000975EE"/>
    <w:rsid w:val="00097D6C"/>
    <w:rsid w:val="000A0244"/>
    <w:rsid w:val="000A2567"/>
    <w:rsid w:val="000A2D25"/>
    <w:rsid w:val="000A720D"/>
    <w:rsid w:val="000C196C"/>
    <w:rsid w:val="000D2304"/>
    <w:rsid w:val="000D2C6B"/>
    <w:rsid w:val="000D57B6"/>
    <w:rsid w:val="000E0501"/>
    <w:rsid w:val="000E13ED"/>
    <w:rsid w:val="000E37A7"/>
    <w:rsid w:val="000F2830"/>
    <w:rsid w:val="000F32E4"/>
    <w:rsid w:val="000F469F"/>
    <w:rsid w:val="000F5111"/>
    <w:rsid w:val="000F6A3C"/>
    <w:rsid w:val="00111E08"/>
    <w:rsid w:val="00112D69"/>
    <w:rsid w:val="0012043B"/>
    <w:rsid w:val="00131920"/>
    <w:rsid w:val="001330E3"/>
    <w:rsid w:val="0013606D"/>
    <w:rsid w:val="00137E0D"/>
    <w:rsid w:val="00142FA6"/>
    <w:rsid w:val="00150681"/>
    <w:rsid w:val="001562D3"/>
    <w:rsid w:val="001568FA"/>
    <w:rsid w:val="00161EE9"/>
    <w:rsid w:val="001702D7"/>
    <w:rsid w:val="00170ECA"/>
    <w:rsid w:val="0019344B"/>
    <w:rsid w:val="0019384F"/>
    <w:rsid w:val="00196F0B"/>
    <w:rsid w:val="001A39C0"/>
    <w:rsid w:val="001A43A7"/>
    <w:rsid w:val="001A7509"/>
    <w:rsid w:val="001B03ED"/>
    <w:rsid w:val="001C4600"/>
    <w:rsid w:val="001D5AEC"/>
    <w:rsid w:val="001E104B"/>
    <w:rsid w:val="001E6493"/>
    <w:rsid w:val="00200524"/>
    <w:rsid w:val="00200B91"/>
    <w:rsid w:val="0020353B"/>
    <w:rsid w:val="002043D7"/>
    <w:rsid w:val="0020501C"/>
    <w:rsid w:val="002067A7"/>
    <w:rsid w:val="0021723D"/>
    <w:rsid w:val="00226CCA"/>
    <w:rsid w:val="00226DAB"/>
    <w:rsid w:val="002301F9"/>
    <w:rsid w:val="002336DA"/>
    <w:rsid w:val="00233A53"/>
    <w:rsid w:val="00245982"/>
    <w:rsid w:val="00271691"/>
    <w:rsid w:val="0028798E"/>
    <w:rsid w:val="002906B2"/>
    <w:rsid w:val="00296238"/>
    <w:rsid w:val="002A1C41"/>
    <w:rsid w:val="002A408F"/>
    <w:rsid w:val="002A4933"/>
    <w:rsid w:val="002A50D1"/>
    <w:rsid w:val="002A53AC"/>
    <w:rsid w:val="002B0E3E"/>
    <w:rsid w:val="002B3660"/>
    <w:rsid w:val="002B4627"/>
    <w:rsid w:val="002C1F57"/>
    <w:rsid w:val="002C2E18"/>
    <w:rsid w:val="002C61EC"/>
    <w:rsid w:val="002C7C43"/>
    <w:rsid w:val="002D6C5F"/>
    <w:rsid w:val="002E1207"/>
    <w:rsid w:val="002E1541"/>
    <w:rsid w:val="002F754B"/>
    <w:rsid w:val="003036AD"/>
    <w:rsid w:val="003166BD"/>
    <w:rsid w:val="00317245"/>
    <w:rsid w:val="00321CF5"/>
    <w:rsid w:val="00322B67"/>
    <w:rsid w:val="003248CF"/>
    <w:rsid w:val="00325A24"/>
    <w:rsid w:val="00330DA1"/>
    <w:rsid w:val="0033410C"/>
    <w:rsid w:val="00356A01"/>
    <w:rsid w:val="0037285C"/>
    <w:rsid w:val="0037432B"/>
    <w:rsid w:val="00390B47"/>
    <w:rsid w:val="003A6BF1"/>
    <w:rsid w:val="003D09B4"/>
    <w:rsid w:val="003E6D44"/>
    <w:rsid w:val="003E7D11"/>
    <w:rsid w:val="003F03FF"/>
    <w:rsid w:val="003F35E0"/>
    <w:rsid w:val="003F5C5A"/>
    <w:rsid w:val="00405033"/>
    <w:rsid w:val="00416672"/>
    <w:rsid w:val="004315F3"/>
    <w:rsid w:val="004325B0"/>
    <w:rsid w:val="00445A91"/>
    <w:rsid w:val="00454756"/>
    <w:rsid w:val="004610F7"/>
    <w:rsid w:val="00462276"/>
    <w:rsid w:val="004645E5"/>
    <w:rsid w:val="004658CC"/>
    <w:rsid w:val="00471D26"/>
    <w:rsid w:val="004750C0"/>
    <w:rsid w:val="00490816"/>
    <w:rsid w:val="004957FA"/>
    <w:rsid w:val="004A44AB"/>
    <w:rsid w:val="004A6BFA"/>
    <w:rsid w:val="004C6059"/>
    <w:rsid w:val="004C6C2B"/>
    <w:rsid w:val="004D4946"/>
    <w:rsid w:val="004D61CA"/>
    <w:rsid w:val="005017CD"/>
    <w:rsid w:val="005067AE"/>
    <w:rsid w:val="005113F2"/>
    <w:rsid w:val="005143BC"/>
    <w:rsid w:val="00514DF9"/>
    <w:rsid w:val="00516E87"/>
    <w:rsid w:val="00517FDC"/>
    <w:rsid w:val="00521CCD"/>
    <w:rsid w:val="00526EF2"/>
    <w:rsid w:val="0053174A"/>
    <w:rsid w:val="005427CC"/>
    <w:rsid w:val="00543750"/>
    <w:rsid w:val="00555F39"/>
    <w:rsid w:val="00561D47"/>
    <w:rsid w:val="00565143"/>
    <w:rsid w:val="00573D2B"/>
    <w:rsid w:val="005769B3"/>
    <w:rsid w:val="005824ED"/>
    <w:rsid w:val="005844E7"/>
    <w:rsid w:val="00586ADA"/>
    <w:rsid w:val="00586BEA"/>
    <w:rsid w:val="00587FE6"/>
    <w:rsid w:val="0059669E"/>
    <w:rsid w:val="00596D5F"/>
    <w:rsid w:val="0059764E"/>
    <w:rsid w:val="00597831"/>
    <w:rsid w:val="005A1E38"/>
    <w:rsid w:val="005A5B3E"/>
    <w:rsid w:val="005A7E5A"/>
    <w:rsid w:val="005B06CF"/>
    <w:rsid w:val="005B5533"/>
    <w:rsid w:val="005C165C"/>
    <w:rsid w:val="005C298C"/>
    <w:rsid w:val="005C4535"/>
    <w:rsid w:val="005D586D"/>
    <w:rsid w:val="005D628B"/>
    <w:rsid w:val="005E4141"/>
    <w:rsid w:val="005E4D8B"/>
    <w:rsid w:val="005E65B1"/>
    <w:rsid w:val="00605472"/>
    <w:rsid w:val="006106FA"/>
    <w:rsid w:val="00631654"/>
    <w:rsid w:val="0063522F"/>
    <w:rsid w:val="00646584"/>
    <w:rsid w:val="00650A29"/>
    <w:rsid w:val="006526AE"/>
    <w:rsid w:val="0065586E"/>
    <w:rsid w:val="00660CDC"/>
    <w:rsid w:val="00677068"/>
    <w:rsid w:val="00690720"/>
    <w:rsid w:val="00693574"/>
    <w:rsid w:val="00694AF7"/>
    <w:rsid w:val="00696E3A"/>
    <w:rsid w:val="006A4B06"/>
    <w:rsid w:val="006A6D9B"/>
    <w:rsid w:val="006B1034"/>
    <w:rsid w:val="006B340B"/>
    <w:rsid w:val="006B45C9"/>
    <w:rsid w:val="006C21FF"/>
    <w:rsid w:val="006C50B1"/>
    <w:rsid w:val="006E1735"/>
    <w:rsid w:val="006E3B9D"/>
    <w:rsid w:val="006E756A"/>
    <w:rsid w:val="006F2A3D"/>
    <w:rsid w:val="006F3C9A"/>
    <w:rsid w:val="00703DA5"/>
    <w:rsid w:val="00714C92"/>
    <w:rsid w:val="007167A0"/>
    <w:rsid w:val="00724987"/>
    <w:rsid w:val="00724AD7"/>
    <w:rsid w:val="00725F30"/>
    <w:rsid w:val="00731472"/>
    <w:rsid w:val="00731B8A"/>
    <w:rsid w:val="00739430"/>
    <w:rsid w:val="00743EF5"/>
    <w:rsid w:val="00745491"/>
    <w:rsid w:val="00746B7A"/>
    <w:rsid w:val="007507CE"/>
    <w:rsid w:val="0075461D"/>
    <w:rsid w:val="00756E34"/>
    <w:rsid w:val="00757CA3"/>
    <w:rsid w:val="007605F4"/>
    <w:rsid w:val="007620CC"/>
    <w:rsid w:val="0077263B"/>
    <w:rsid w:val="00772754"/>
    <w:rsid w:val="00773077"/>
    <w:rsid w:val="00775840"/>
    <w:rsid w:val="00785322"/>
    <w:rsid w:val="0079609B"/>
    <w:rsid w:val="00796786"/>
    <w:rsid w:val="007977D4"/>
    <w:rsid w:val="007A5E0E"/>
    <w:rsid w:val="007A67A9"/>
    <w:rsid w:val="007B0589"/>
    <w:rsid w:val="007B1F5B"/>
    <w:rsid w:val="007B7079"/>
    <w:rsid w:val="007C47E9"/>
    <w:rsid w:val="007C4A26"/>
    <w:rsid w:val="007D0937"/>
    <w:rsid w:val="007D23AE"/>
    <w:rsid w:val="007F0193"/>
    <w:rsid w:val="008072E0"/>
    <w:rsid w:val="008138D7"/>
    <w:rsid w:val="00815229"/>
    <w:rsid w:val="008202DD"/>
    <w:rsid w:val="00821143"/>
    <w:rsid w:val="00830FAC"/>
    <w:rsid w:val="008337D0"/>
    <w:rsid w:val="00855AF0"/>
    <w:rsid w:val="008638AC"/>
    <w:rsid w:val="00865243"/>
    <w:rsid w:val="00866CF5"/>
    <w:rsid w:val="00877531"/>
    <w:rsid w:val="00881943"/>
    <w:rsid w:val="00883D34"/>
    <w:rsid w:val="00887A85"/>
    <w:rsid w:val="0089021B"/>
    <w:rsid w:val="00895DCE"/>
    <w:rsid w:val="008974A1"/>
    <w:rsid w:val="008B133C"/>
    <w:rsid w:val="008B271C"/>
    <w:rsid w:val="008C7B2E"/>
    <w:rsid w:val="008F168E"/>
    <w:rsid w:val="00905045"/>
    <w:rsid w:val="00911AF8"/>
    <w:rsid w:val="00912290"/>
    <w:rsid w:val="009335F2"/>
    <w:rsid w:val="009403DF"/>
    <w:rsid w:val="00942B4D"/>
    <w:rsid w:val="0095486A"/>
    <w:rsid w:val="00962CA3"/>
    <w:rsid w:val="00970336"/>
    <w:rsid w:val="009747B9"/>
    <w:rsid w:val="0098273B"/>
    <w:rsid w:val="00986FE2"/>
    <w:rsid w:val="009916B8"/>
    <w:rsid w:val="009B2F58"/>
    <w:rsid w:val="009B4C8E"/>
    <w:rsid w:val="009C3E62"/>
    <w:rsid w:val="009D0E39"/>
    <w:rsid w:val="009E0766"/>
    <w:rsid w:val="009F325A"/>
    <w:rsid w:val="00A057B8"/>
    <w:rsid w:val="00A05D91"/>
    <w:rsid w:val="00A07219"/>
    <w:rsid w:val="00A075DE"/>
    <w:rsid w:val="00A0781D"/>
    <w:rsid w:val="00A100E8"/>
    <w:rsid w:val="00A10444"/>
    <w:rsid w:val="00A21349"/>
    <w:rsid w:val="00A25518"/>
    <w:rsid w:val="00A262E0"/>
    <w:rsid w:val="00A30941"/>
    <w:rsid w:val="00A6165B"/>
    <w:rsid w:val="00A655D1"/>
    <w:rsid w:val="00A6615F"/>
    <w:rsid w:val="00A66DD2"/>
    <w:rsid w:val="00A71ED9"/>
    <w:rsid w:val="00A80447"/>
    <w:rsid w:val="00A8169C"/>
    <w:rsid w:val="00A81E2B"/>
    <w:rsid w:val="00A8578A"/>
    <w:rsid w:val="00A86E6D"/>
    <w:rsid w:val="00A918C4"/>
    <w:rsid w:val="00A9199E"/>
    <w:rsid w:val="00AB670E"/>
    <w:rsid w:val="00AC0690"/>
    <w:rsid w:val="00AC31F5"/>
    <w:rsid w:val="00AD00C6"/>
    <w:rsid w:val="00AD2FDB"/>
    <w:rsid w:val="00AE61B8"/>
    <w:rsid w:val="00AE704D"/>
    <w:rsid w:val="00AE7323"/>
    <w:rsid w:val="00AF37A1"/>
    <w:rsid w:val="00B06A14"/>
    <w:rsid w:val="00B14895"/>
    <w:rsid w:val="00B17BA5"/>
    <w:rsid w:val="00B2010A"/>
    <w:rsid w:val="00B21751"/>
    <w:rsid w:val="00B30C99"/>
    <w:rsid w:val="00B31C3E"/>
    <w:rsid w:val="00B421AA"/>
    <w:rsid w:val="00B4397C"/>
    <w:rsid w:val="00B45A19"/>
    <w:rsid w:val="00B46463"/>
    <w:rsid w:val="00B47EBB"/>
    <w:rsid w:val="00B55966"/>
    <w:rsid w:val="00B56C10"/>
    <w:rsid w:val="00B57F2B"/>
    <w:rsid w:val="00B6464B"/>
    <w:rsid w:val="00B64D8E"/>
    <w:rsid w:val="00B67816"/>
    <w:rsid w:val="00B77299"/>
    <w:rsid w:val="00B77C17"/>
    <w:rsid w:val="00B807CE"/>
    <w:rsid w:val="00B83C62"/>
    <w:rsid w:val="00B8676C"/>
    <w:rsid w:val="00B93489"/>
    <w:rsid w:val="00BA0873"/>
    <w:rsid w:val="00BA4522"/>
    <w:rsid w:val="00BD0FAD"/>
    <w:rsid w:val="00BE4747"/>
    <w:rsid w:val="00BE7A53"/>
    <w:rsid w:val="00BF5CA3"/>
    <w:rsid w:val="00C13143"/>
    <w:rsid w:val="00C13809"/>
    <w:rsid w:val="00C20B67"/>
    <w:rsid w:val="00C24656"/>
    <w:rsid w:val="00C31E56"/>
    <w:rsid w:val="00C41406"/>
    <w:rsid w:val="00C44EF0"/>
    <w:rsid w:val="00C46B92"/>
    <w:rsid w:val="00C50157"/>
    <w:rsid w:val="00C5039E"/>
    <w:rsid w:val="00C55329"/>
    <w:rsid w:val="00C56D46"/>
    <w:rsid w:val="00C65D86"/>
    <w:rsid w:val="00C71758"/>
    <w:rsid w:val="00C7522F"/>
    <w:rsid w:val="00C8023C"/>
    <w:rsid w:val="00C8729B"/>
    <w:rsid w:val="00C87E02"/>
    <w:rsid w:val="00C92758"/>
    <w:rsid w:val="00C97E17"/>
    <w:rsid w:val="00CA11C0"/>
    <w:rsid w:val="00CA46E7"/>
    <w:rsid w:val="00CA6E8A"/>
    <w:rsid w:val="00CB0547"/>
    <w:rsid w:val="00CB3753"/>
    <w:rsid w:val="00CC3891"/>
    <w:rsid w:val="00CC3F16"/>
    <w:rsid w:val="00CC6D3A"/>
    <w:rsid w:val="00CD2C02"/>
    <w:rsid w:val="00CE03EE"/>
    <w:rsid w:val="00D11104"/>
    <w:rsid w:val="00D14787"/>
    <w:rsid w:val="00D14C1C"/>
    <w:rsid w:val="00D15935"/>
    <w:rsid w:val="00D16DB4"/>
    <w:rsid w:val="00D2305D"/>
    <w:rsid w:val="00D33E12"/>
    <w:rsid w:val="00D35666"/>
    <w:rsid w:val="00D42B5A"/>
    <w:rsid w:val="00D57395"/>
    <w:rsid w:val="00D57C2A"/>
    <w:rsid w:val="00D66065"/>
    <w:rsid w:val="00D66AD4"/>
    <w:rsid w:val="00D74966"/>
    <w:rsid w:val="00D8180B"/>
    <w:rsid w:val="00D9635C"/>
    <w:rsid w:val="00DA1D53"/>
    <w:rsid w:val="00DA2767"/>
    <w:rsid w:val="00DA4374"/>
    <w:rsid w:val="00DA4580"/>
    <w:rsid w:val="00DA55D4"/>
    <w:rsid w:val="00DB017B"/>
    <w:rsid w:val="00DB0473"/>
    <w:rsid w:val="00DC065E"/>
    <w:rsid w:val="00DC40E1"/>
    <w:rsid w:val="00DC6839"/>
    <w:rsid w:val="00DD1B59"/>
    <w:rsid w:val="00DD3765"/>
    <w:rsid w:val="00DE549D"/>
    <w:rsid w:val="00DF1388"/>
    <w:rsid w:val="00DF240C"/>
    <w:rsid w:val="00DF2738"/>
    <w:rsid w:val="00DF5467"/>
    <w:rsid w:val="00DF6BA5"/>
    <w:rsid w:val="00E040A2"/>
    <w:rsid w:val="00E0690D"/>
    <w:rsid w:val="00E15638"/>
    <w:rsid w:val="00E23F00"/>
    <w:rsid w:val="00E30C5C"/>
    <w:rsid w:val="00E42F71"/>
    <w:rsid w:val="00E4360B"/>
    <w:rsid w:val="00E46CCA"/>
    <w:rsid w:val="00E51C9C"/>
    <w:rsid w:val="00E555D0"/>
    <w:rsid w:val="00E5596C"/>
    <w:rsid w:val="00E73000"/>
    <w:rsid w:val="00E758DA"/>
    <w:rsid w:val="00E76875"/>
    <w:rsid w:val="00E82B41"/>
    <w:rsid w:val="00E84332"/>
    <w:rsid w:val="00E87A3A"/>
    <w:rsid w:val="00E937A4"/>
    <w:rsid w:val="00E951DB"/>
    <w:rsid w:val="00E97B9F"/>
    <w:rsid w:val="00EA0D0C"/>
    <w:rsid w:val="00EA3787"/>
    <w:rsid w:val="00EA6DFA"/>
    <w:rsid w:val="00EB6FDE"/>
    <w:rsid w:val="00EC054C"/>
    <w:rsid w:val="00EC6789"/>
    <w:rsid w:val="00EC7A84"/>
    <w:rsid w:val="00ED029B"/>
    <w:rsid w:val="00ED08B4"/>
    <w:rsid w:val="00ED39C4"/>
    <w:rsid w:val="00ED43DF"/>
    <w:rsid w:val="00EE117A"/>
    <w:rsid w:val="00EE29EB"/>
    <w:rsid w:val="00EF7132"/>
    <w:rsid w:val="00F0631D"/>
    <w:rsid w:val="00F06BBD"/>
    <w:rsid w:val="00F136D1"/>
    <w:rsid w:val="00F160D5"/>
    <w:rsid w:val="00F1654E"/>
    <w:rsid w:val="00F17E86"/>
    <w:rsid w:val="00F22763"/>
    <w:rsid w:val="00F70291"/>
    <w:rsid w:val="00F70DA9"/>
    <w:rsid w:val="00F940CC"/>
    <w:rsid w:val="00FA4B84"/>
    <w:rsid w:val="00FB3844"/>
    <w:rsid w:val="00FB5D3B"/>
    <w:rsid w:val="00FD1761"/>
    <w:rsid w:val="00FE3454"/>
    <w:rsid w:val="00FE5A65"/>
    <w:rsid w:val="00FE5FD3"/>
    <w:rsid w:val="00FF48CF"/>
    <w:rsid w:val="012F6239"/>
    <w:rsid w:val="0160FD34"/>
    <w:rsid w:val="01A626F4"/>
    <w:rsid w:val="01DD6EE1"/>
    <w:rsid w:val="02BE626B"/>
    <w:rsid w:val="03AC3F19"/>
    <w:rsid w:val="04990398"/>
    <w:rsid w:val="05024BCB"/>
    <w:rsid w:val="057DDAA6"/>
    <w:rsid w:val="063A62A4"/>
    <w:rsid w:val="07461F04"/>
    <w:rsid w:val="08454B04"/>
    <w:rsid w:val="0983710E"/>
    <w:rsid w:val="0A2037F2"/>
    <w:rsid w:val="0A483E41"/>
    <w:rsid w:val="0B1B82C9"/>
    <w:rsid w:val="0B5D47F2"/>
    <w:rsid w:val="0B809281"/>
    <w:rsid w:val="0BD530B0"/>
    <w:rsid w:val="0CA9A63C"/>
    <w:rsid w:val="0D49AD05"/>
    <w:rsid w:val="0E2C3414"/>
    <w:rsid w:val="0E3760E0"/>
    <w:rsid w:val="0E8AED4B"/>
    <w:rsid w:val="0EA95551"/>
    <w:rsid w:val="0ED685A4"/>
    <w:rsid w:val="0ED74FED"/>
    <w:rsid w:val="1024E296"/>
    <w:rsid w:val="1036E033"/>
    <w:rsid w:val="103E3546"/>
    <w:rsid w:val="1153DDEB"/>
    <w:rsid w:val="116C71EC"/>
    <w:rsid w:val="12016154"/>
    <w:rsid w:val="120D8EEE"/>
    <w:rsid w:val="141EADBF"/>
    <w:rsid w:val="146FE13C"/>
    <w:rsid w:val="15979834"/>
    <w:rsid w:val="16667906"/>
    <w:rsid w:val="1694813E"/>
    <w:rsid w:val="1736422D"/>
    <w:rsid w:val="1753BECB"/>
    <w:rsid w:val="17A2EA80"/>
    <w:rsid w:val="17AD86FE"/>
    <w:rsid w:val="17E5E470"/>
    <w:rsid w:val="18C8EA9E"/>
    <w:rsid w:val="18F0BD21"/>
    <w:rsid w:val="192886BD"/>
    <w:rsid w:val="1A02D275"/>
    <w:rsid w:val="1A82A8B9"/>
    <w:rsid w:val="1C3AA42E"/>
    <w:rsid w:val="1CB3160A"/>
    <w:rsid w:val="1D4FDCEE"/>
    <w:rsid w:val="1E9773C7"/>
    <w:rsid w:val="1F75358B"/>
    <w:rsid w:val="1F97570B"/>
    <w:rsid w:val="20AB2CE6"/>
    <w:rsid w:val="20EA942F"/>
    <w:rsid w:val="20ECEAB1"/>
    <w:rsid w:val="212F8B1E"/>
    <w:rsid w:val="216705DC"/>
    <w:rsid w:val="22C2386F"/>
    <w:rsid w:val="22F91877"/>
    <w:rsid w:val="237B7129"/>
    <w:rsid w:val="23976256"/>
    <w:rsid w:val="247032B1"/>
    <w:rsid w:val="252F84E8"/>
    <w:rsid w:val="25A3C88B"/>
    <w:rsid w:val="25B4525F"/>
    <w:rsid w:val="26107872"/>
    <w:rsid w:val="275404FF"/>
    <w:rsid w:val="27EA1C85"/>
    <w:rsid w:val="28219743"/>
    <w:rsid w:val="28E33C4D"/>
    <w:rsid w:val="29C4263A"/>
    <w:rsid w:val="2A0A623E"/>
    <w:rsid w:val="2A0C5976"/>
    <w:rsid w:val="2A406516"/>
    <w:rsid w:val="2A46D9A5"/>
    <w:rsid w:val="2A98350B"/>
    <w:rsid w:val="2B020A20"/>
    <w:rsid w:val="2B664F8F"/>
    <w:rsid w:val="2CBA10FF"/>
    <w:rsid w:val="2CFD0F42"/>
    <w:rsid w:val="2D1328F1"/>
    <w:rsid w:val="2DABF3C6"/>
    <w:rsid w:val="30A13DC8"/>
    <w:rsid w:val="30AD7009"/>
    <w:rsid w:val="320FEB86"/>
    <w:rsid w:val="32DF7384"/>
    <w:rsid w:val="33904B4D"/>
    <w:rsid w:val="33CB8F49"/>
    <w:rsid w:val="33E3CD8F"/>
    <w:rsid w:val="348A85AE"/>
    <w:rsid w:val="34B6A67C"/>
    <w:rsid w:val="34E09C1F"/>
    <w:rsid w:val="3505A9F1"/>
    <w:rsid w:val="367B0895"/>
    <w:rsid w:val="37B09A4E"/>
    <w:rsid w:val="38B40481"/>
    <w:rsid w:val="39409F41"/>
    <w:rsid w:val="3982B67D"/>
    <w:rsid w:val="39A495AE"/>
    <w:rsid w:val="39E69745"/>
    <w:rsid w:val="3A31AE3D"/>
    <w:rsid w:val="3AE2AC65"/>
    <w:rsid w:val="3B94305B"/>
    <w:rsid w:val="3BFD826D"/>
    <w:rsid w:val="3D6D14BA"/>
    <w:rsid w:val="3E141064"/>
    <w:rsid w:val="3EF77773"/>
    <w:rsid w:val="3F3480DC"/>
    <w:rsid w:val="3F3F70A1"/>
    <w:rsid w:val="40366D84"/>
    <w:rsid w:val="414BB126"/>
    <w:rsid w:val="422CADE8"/>
    <w:rsid w:val="424BD6FF"/>
    <w:rsid w:val="427BC9D9"/>
    <w:rsid w:val="42C2032E"/>
    <w:rsid w:val="431BD664"/>
    <w:rsid w:val="434F4132"/>
    <w:rsid w:val="448351E8"/>
    <w:rsid w:val="448B243D"/>
    <w:rsid w:val="44B19C14"/>
    <w:rsid w:val="452BD049"/>
    <w:rsid w:val="453F3B2A"/>
    <w:rsid w:val="456D11EB"/>
    <w:rsid w:val="458F8894"/>
    <w:rsid w:val="45EEC20C"/>
    <w:rsid w:val="466AD7CE"/>
    <w:rsid w:val="46ECEDCB"/>
    <w:rsid w:val="48819AEF"/>
    <w:rsid w:val="4883A5AE"/>
    <w:rsid w:val="49066866"/>
    <w:rsid w:val="4956C30B"/>
    <w:rsid w:val="49B75E03"/>
    <w:rsid w:val="4A09D299"/>
    <w:rsid w:val="4A50F497"/>
    <w:rsid w:val="4BEE9236"/>
    <w:rsid w:val="4CD4AECF"/>
    <w:rsid w:val="4CD849A3"/>
    <w:rsid w:val="4D163C41"/>
    <w:rsid w:val="4D7E4AEE"/>
    <w:rsid w:val="4D927B1D"/>
    <w:rsid w:val="4DEA4B12"/>
    <w:rsid w:val="4E707F30"/>
    <w:rsid w:val="4EA4C7D3"/>
    <w:rsid w:val="4EFAFEA5"/>
    <w:rsid w:val="503D834B"/>
    <w:rsid w:val="510BB8CF"/>
    <w:rsid w:val="5223F446"/>
    <w:rsid w:val="5224BE8F"/>
    <w:rsid w:val="52392B2C"/>
    <w:rsid w:val="52E331D3"/>
    <w:rsid w:val="538A695E"/>
    <w:rsid w:val="54D1D9FB"/>
    <w:rsid w:val="55CED67F"/>
    <w:rsid w:val="55DB275E"/>
    <w:rsid w:val="59732398"/>
    <w:rsid w:val="59BE28A4"/>
    <w:rsid w:val="5AC2D9CD"/>
    <w:rsid w:val="5B5FA0B1"/>
    <w:rsid w:val="5B76CFD5"/>
    <w:rsid w:val="5D175C4A"/>
    <w:rsid w:val="5D7E6E84"/>
    <w:rsid w:val="5EEA0E87"/>
    <w:rsid w:val="5F22E014"/>
    <w:rsid w:val="5F27F078"/>
    <w:rsid w:val="5F6D16AC"/>
    <w:rsid w:val="5F786A84"/>
    <w:rsid w:val="612EF423"/>
    <w:rsid w:val="61AA85E2"/>
    <w:rsid w:val="625A80D6"/>
    <w:rsid w:val="63017B95"/>
    <w:rsid w:val="63F408FC"/>
    <w:rsid w:val="6423645E"/>
    <w:rsid w:val="64E17902"/>
    <w:rsid w:val="64E1D7A2"/>
    <w:rsid w:val="65922198"/>
    <w:rsid w:val="65A1F532"/>
    <w:rsid w:val="65C26ED1"/>
    <w:rsid w:val="66B28AFD"/>
    <w:rsid w:val="66CE21EA"/>
    <w:rsid w:val="673E1385"/>
    <w:rsid w:val="68B7A00E"/>
    <w:rsid w:val="68ED57D5"/>
    <w:rsid w:val="69236D61"/>
    <w:rsid w:val="69E5EA00"/>
    <w:rsid w:val="69F9DA12"/>
    <w:rsid w:val="6A3F03D2"/>
    <w:rsid w:val="6A4B40D6"/>
    <w:rsid w:val="6A69D645"/>
    <w:rsid w:val="6A6D491A"/>
    <w:rsid w:val="6A74E74A"/>
    <w:rsid w:val="6AF6B462"/>
    <w:rsid w:val="6B573F49"/>
    <w:rsid w:val="6B9AC415"/>
    <w:rsid w:val="6BA1F473"/>
    <w:rsid w:val="6C3E1D83"/>
    <w:rsid w:val="6C43AD29"/>
    <w:rsid w:val="6CEC1F3E"/>
    <w:rsid w:val="7092F1EA"/>
    <w:rsid w:val="70B7D089"/>
    <w:rsid w:val="70CC97B7"/>
    <w:rsid w:val="710596DD"/>
    <w:rsid w:val="71695E9B"/>
    <w:rsid w:val="716E768A"/>
    <w:rsid w:val="71FCCC9B"/>
    <w:rsid w:val="727C0C7D"/>
    <w:rsid w:val="72E64523"/>
    <w:rsid w:val="7343357F"/>
    <w:rsid w:val="73B839F8"/>
    <w:rsid w:val="759880F6"/>
    <w:rsid w:val="759EA719"/>
    <w:rsid w:val="75EE9064"/>
    <w:rsid w:val="77B25227"/>
    <w:rsid w:val="77F605C5"/>
    <w:rsid w:val="78FA5CB3"/>
    <w:rsid w:val="79263126"/>
    <w:rsid w:val="79610002"/>
    <w:rsid w:val="79FDC6E6"/>
    <w:rsid w:val="7A42BDD5"/>
    <w:rsid w:val="7BD17B98"/>
    <w:rsid w:val="7D69C8FF"/>
    <w:rsid w:val="7EC9B0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56E20B5"/>
  <w15:chartTrackingRefBased/>
  <w15:docId w15:val="{320120E9-55F7-4163-8401-BEC049B8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ED39C4"/>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0A72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47EBB"/>
    <w:rPr>
      <w:color w:val="0000FF"/>
      <w:bdr w:val="none" w:sz="0" w:space="0" w:color="auto"/>
      <w:shd w:val="clear" w:color="auto" w:fill="auto"/>
    </w:rPr>
  </w:style>
  <w:style w:type="paragraph" w:customStyle="1" w:styleId="Pagedecouverture">
    <w:name w:val="Page de couverture"/>
    <w:basedOn w:val="Normal"/>
    <w:next w:val="Normal"/>
    <w:rsid w:val="00FE5FD3"/>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FE5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FD3"/>
    <w:rPr>
      <w:lang w:val="en-IE"/>
    </w:rPr>
  </w:style>
  <w:style w:type="paragraph" w:styleId="Footer">
    <w:name w:val="footer"/>
    <w:basedOn w:val="Normal"/>
    <w:link w:val="FooterChar"/>
    <w:uiPriority w:val="99"/>
    <w:unhideWhenUsed/>
    <w:rsid w:val="00FE5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FD3"/>
    <w:rPr>
      <w:lang w:val="en-IE"/>
    </w:rPr>
  </w:style>
  <w:style w:type="paragraph" w:customStyle="1" w:styleId="FooterCoverPage">
    <w:name w:val="Footer Cover Page"/>
    <w:basedOn w:val="Normal"/>
    <w:link w:val="FooterCoverPageChar"/>
    <w:rsid w:val="00FE5FD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E5FD3"/>
    <w:rPr>
      <w:rFonts w:ascii="Times New Roman" w:hAnsi="Times New Roman" w:cs="Times New Roman"/>
      <w:sz w:val="24"/>
    </w:rPr>
  </w:style>
  <w:style w:type="paragraph" w:customStyle="1" w:styleId="FooterSensitivity">
    <w:name w:val="Footer Sensitivity"/>
    <w:basedOn w:val="Normal"/>
    <w:link w:val="FooterSensitivityChar"/>
    <w:rsid w:val="00FE5FD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E5FD3"/>
    <w:rPr>
      <w:rFonts w:ascii="Times New Roman" w:hAnsi="Times New Roman" w:cs="Times New Roman"/>
      <w:b/>
      <w:sz w:val="32"/>
    </w:rPr>
  </w:style>
  <w:style w:type="paragraph" w:customStyle="1" w:styleId="HeaderCoverPage">
    <w:name w:val="Header Cover Page"/>
    <w:basedOn w:val="Normal"/>
    <w:link w:val="HeaderCoverPageChar"/>
    <w:rsid w:val="00FE5FD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E5FD3"/>
    <w:rPr>
      <w:rFonts w:ascii="Times New Roman" w:hAnsi="Times New Roman" w:cs="Times New Roman"/>
      <w:sz w:val="24"/>
    </w:rPr>
  </w:style>
  <w:style w:type="paragraph" w:customStyle="1" w:styleId="HeaderSensitivity">
    <w:name w:val="Header Sensitivity"/>
    <w:basedOn w:val="Normal"/>
    <w:link w:val="HeaderSensitivityChar"/>
    <w:rsid w:val="00FE5FD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E5FD3"/>
    <w:rPr>
      <w:rFonts w:ascii="Times New Roman" w:hAnsi="Times New Roman" w:cs="Times New Roman"/>
      <w:b/>
      <w:sz w:val="32"/>
    </w:rPr>
  </w:style>
  <w:style w:type="paragraph" w:customStyle="1" w:styleId="HeaderSensitivityRight">
    <w:name w:val="Header Sensitivity Right"/>
    <w:basedOn w:val="Normal"/>
    <w:link w:val="HeaderSensitivityRightChar"/>
    <w:rsid w:val="00FE5FD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E5FD3"/>
    <w:rPr>
      <w:rFonts w:ascii="Times New Roman" w:hAnsi="Times New Roman" w:cs="Times New Roman"/>
      <w:sz w:val="28"/>
    </w:rPr>
  </w:style>
  <w:style w:type="character" w:customStyle="1" w:styleId="Heading2Char">
    <w:name w:val="Heading 2 Char"/>
    <w:basedOn w:val="DefaultParagraphFont"/>
    <w:link w:val="Heading2"/>
    <w:uiPriority w:val="9"/>
    <w:rsid w:val="00ED39C4"/>
    <w:rPr>
      <w:rFonts w:ascii="Times New Roman" w:eastAsia="Times New Roman" w:hAnsi="Times New Roman" w:cs="Times New Roman"/>
      <w:b/>
      <w:sz w:val="24"/>
      <w:szCs w:val="20"/>
    </w:rPr>
  </w:style>
  <w:style w:type="table" w:styleId="TableGrid">
    <w:name w:val="Table Grid"/>
    <w:aliases w:val="Document Table,CV1,HTG,Deloitte,Standard table format,Simple table,Table Grid IDEA,Table Format 1,TabelEcorys,Tabela Renova"/>
    <w:basedOn w:val="TableNormal"/>
    <w:uiPriority w:val="39"/>
    <w:rsid w:val="00ED39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9C4"/>
    <w:pPr>
      <w:ind w:left="720"/>
      <w:contextualSpacing/>
    </w:pPr>
  </w:style>
  <w:style w:type="character" w:customStyle="1" w:styleId="BodyChar">
    <w:name w:val="Body Char"/>
    <w:aliases w:val="Body Text Char1 Char,Body Text Char Char Char,Body Text Char2 Char Char Char,Body Text Char1 Char Char Char Char,Body Text Char Char Char Char Char Char,Body Text Char2 Char Char Char Char Char Char,Bod Char,bt Char"/>
    <w:link w:val="Body"/>
    <w:uiPriority w:val="99"/>
    <w:locked/>
    <w:rsid w:val="00ED39C4"/>
    <w:rPr>
      <w:rFonts w:ascii="Verdana" w:eastAsia="Times New Roman" w:hAnsi="Verdana" w:cs="Times New Roman"/>
      <w:sz w:val="18"/>
      <w:szCs w:val="20"/>
    </w:rPr>
  </w:style>
  <w:style w:type="paragraph" w:customStyle="1" w:styleId="Body">
    <w:name w:val="Body"/>
    <w:basedOn w:val="Normal"/>
    <w:link w:val="BodyChar"/>
    <w:uiPriority w:val="99"/>
    <w:qFormat/>
    <w:rsid w:val="00ED39C4"/>
    <w:pPr>
      <w:spacing w:after="240" w:line="240" w:lineRule="auto"/>
      <w:jc w:val="both"/>
    </w:pPr>
    <w:rPr>
      <w:rFonts w:ascii="Verdana" w:eastAsia="Times New Roman" w:hAnsi="Verdana" w:cs="Times New Roman"/>
      <w:sz w:val="18"/>
      <w:szCs w:val="20"/>
    </w:rPr>
  </w:style>
  <w:style w:type="paragraph" w:customStyle="1" w:styleId="Text2">
    <w:name w:val="Text 2"/>
    <w:basedOn w:val="Normal"/>
    <w:rsid w:val="00ED39C4"/>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1">
    <w:name w:val="Text 1"/>
    <w:basedOn w:val="Normal"/>
    <w:rsid w:val="00ED39C4"/>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31C3E"/>
    <w:rPr>
      <w:sz w:val="16"/>
      <w:szCs w:val="16"/>
    </w:rPr>
  </w:style>
  <w:style w:type="paragraph" w:styleId="CommentText">
    <w:name w:val="annotation text"/>
    <w:basedOn w:val="Normal"/>
    <w:link w:val="CommentTextChar"/>
    <w:uiPriority w:val="99"/>
    <w:semiHidden/>
    <w:unhideWhenUsed/>
    <w:rsid w:val="00B31C3E"/>
    <w:pPr>
      <w:spacing w:line="240" w:lineRule="auto"/>
    </w:pPr>
    <w:rPr>
      <w:sz w:val="20"/>
      <w:szCs w:val="20"/>
    </w:rPr>
  </w:style>
  <w:style w:type="character" w:customStyle="1" w:styleId="CommentTextChar">
    <w:name w:val="Comment Text Char"/>
    <w:basedOn w:val="DefaultParagraphFont"/>
    <w:link w:val="CommentText"/>
    <w:uiPriority w:val="99"/>
    <w:semiHidden/>
    <w:rsid w:val="00B31C3E"/>
    <w:rPr>
      <w:sz w:val="20"/>
      <w:szCs w:val="20"/>
      <w:lang w:val="en-IE"/>
    </w:rPr>
  </w:style>
  <w:style w:type="paragraph" w:styleId="CommentSubject">
    <w:name w:val="annotation subject"/>
    <w:basedOn w:val="CommentText"/>
    <w:next w:val="CommentText"/>
    <w:link w:val="CommentSubjectChar"/>
    <w:uiPriority w:val="99"/>
    <w:semiHidden/>
    <w:unhideWhenUsed/>
    <w:rsid w:val="00B31C3E"/>
    <w:rPr>
      <w:b/>
      <w:bCs/>
    </w:rPr>
  </w:style>
  <w:style w:type="character" w:customStyle="1" w:styleId="CommentSubjectChar">
    <w:name w:val="Comment Subject Char"/>
    <w:basedOn w:val="CommentTextChar"/>
    <w:link w:val="CommentSubject"/>
    <w:uiPriority w:val="99"/>
    <w:semiHidden/>
    <w:rsid w:val="00B31C3E"/>
    <w:rPr>
      <w:b/>
      <w:bCs/>
      <w:sz w:val="20"/>
      <w:szCs w:val="20"/>
      <w:lang w:val="en-IE"/>
    </w:rPr>
  </w:style>
  <w:style w:type="paragraph" w:styleId="BalloonText">
    <w:name w:val="Balloon Text"/>
    <w:basedOn w:val="Normal"/>
    <w:link w:val="BalloonTextChar"/>
    <w:uiPriority w:val="99"/>
    <w:semiHidden/>
    <w:unhideWhenUsed/>
    <w:rsid w:val="00B31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C3E"/>
    <w:rPr>
      <w:rFonts w:ascii="Segoe UI" w:hAnsi="Segoe UI" w:cs="Segoe UI"/>
      <w:sz w:val="18"/>
      <w:szCs w:val="18"/>
      <w:lang w:val="en-I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020E68"/>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020E68"/>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020E68"/>
    <w:rPr>
      <w:vertAlign w:val="superscript"/>
    </w:rPr>
  </w:style>
  <w:style w:type="character" w:styleId="Hyperlink">
    <w:name w:val="Hyperlink"/>
    <w:basedOn w:val="DefaultParagraphFont"/>
    <w:uiPriority w:val="99"/>
    <w:unhideWhenUsed/>
    <w:rsid w:val="00020E68"/>
    <w:rPr>
      <w:color w:val="0000FF" w:themeColor="hyperlink"/>
      <w:u w:val="single"/>
    </w:rPr>
  </w:style>
  <w:style w:type="character" w:customStyle="1" w:styleId="Heading3Char">
    <w:name w:val="Heading 3 Char"/>
    <w:basedOn w:val="DefaultParagraphFont"/>
    <w:link w:val="Heading3"/>
    <w:uiPriority w:val="9"/>
    <w:rsid w:val="000A720D"/>
    <w:rPr>
      <w:rFonts w:asciiTheme="majorHAnsi" w:eastAsiaTheme="majorEastAsia" w:hAnsiTheme="majorHAnsi" w:cstheme="majorBidi"/>
      <w:color w:val="243F60" w:themeColor="accent1" w:themeShade="7F"/>
      <w:sz w:val="24"/>
      <w:szCs w:val="24"/>
    </w:rPr>
  </w:style>
  <w:style w:type="paragraph" w:styleId="Caption">
    <w:name w:val="caption"/>
    <w:aliases w:val="Source"/>
    <w:basedOn w:val="Normal"/>
    <w:next w:val="Normal"/>
    <w:uiPriority w:val="35"/>
    <w:unhideWhenUsed/>
    <w:qFormat/>
    <w:rsid w:val="00CB3753"/>
    <w:pPr>
      <w:spacing w:line="240" w:lineRule="auto"/>
      <w:jc w:val="both"/>
    </w:pPr>
    <w:rPr>
      <w:rFonts w:ascii="Times New Roman" w:hAnsi="Times New Roman"/>
      <w:i/>
      <w:iCs/>
      <w:color w:val="1F497D" w:themeColor="text2"/>
      <w:sz w:val="18"/>
      <w:szCs w:val="18"/>
      <w:lang w:val="en-IE"/>
    </w:rPr>
  </w:style>
  <w:style w:type="paragraph" w:customStyle="1" w:styleId="CharCharChar1">
    <w:name w:val="Char Char Char1"/>
    <w:basedOn w:val="Normal"/>
    <w:link w:val="FootnoteReference"/>
    <w:uiPriority w:val="99"/>
    <w:rsid w:val="0059764E"/>
    <w:pPr>
      <w:spacing w:after="160" w:line="240" w:lineRule="exact"/>
      <w:jc w:val="both"/>
    </w:pPr>
    <w:rPr>
      <w:vertAlign w:val="superscript"/>
    </w:rPr>
  </w:style>
  <w:style w:type="character" w:customStyle="1" w:styleId="normaltextrun">
    <w:name w:val="normaltextrun"/>
    <w:basedOn w:val="DefaultParagraphFont"/>
    <w:rsid w:val="00A655D1"/>
  </w:style>
  <w:style w:type="character" w:customStyle="1" w:styleId="eop">
    <w:name w:val="eop"/>
    <w:basedOn w:val="DefaultParagraphFont"/>
    <w:rsid w:val="00A655D1"/>
  </w:style>
  <w:style w:type="paragraph" w:customStyle="1" w:styleId="Size10">
    <w:name w:val="Size 10"/>
    <w:basedOn w:val="Normal"/>
    <w:autoRedefine/>
    <w:qFormat/>
    <w:rsid w:val="00586ADA"/>
    <w:pPr>
      <w:spacing w:before="120" w:after="120" w:line="240" w:lineRule="auto"/>
      <w:ind w:right="-147"/>
    </w:pPr>
    <w:rPr>
      <w:rFonts w:ascii="Times New Roman" w:eastAsia="Times New Roman" w:hAnsi="Times New Roman" w:cs="Times New Roman"/>
      <w:sz w:val="16"/>
      <w:szCs w:val="16"/>
      <w:lang w:val="en-IE" w:eastAsia="en-GB"/>
    </w:rPr>
  </w:style>
  <w:style w:type="paragraph" w:customStyle="1" w:styleId="Bullets">
    <w:name w:val="Bullets"/>
    <w:basedOn w:val="Normal"/>
    <w:autoRedefine/>
    <w:qFormat/>
    <w:rsid w:val="008F168E"/>
    <w:pPr>
      <w:spacing w:before="120" w:after="160" w:line="240" w:lineRule="auto"/>
      <w:jc w:val="both"/>
    </w:pPr>
    <w:rPr>
      <w:rFonts w:ascii="Times New Roman" w:eastAsiaTheme="minorEastAsia" w:hAnsi="Times New Roman" w:cs="Calibri"/>
      <w:color w:val="000000" w:themeColor="text1"/>
      <w:sz w:val="24"/>
      <w:szCs w:val="24"/>
      <w:lang w:val="en-IE" w:eastAsia="en-GB"/>
    </w:rPr>
  </w:style>
  <w:style w:type="paragraph" w:styleId="Revision">
    <w:name w:val="Revision"/>
    <w:hidden/>
    <w:uiPriority w:val="99"/>
    <w:semiHidden/>
    <w:rsid w:val="00200524"/>
    <w:pPr>
      <w:spacing w:after="0" w:line="240" w:lineRule="auto"/>
    </w:pPr>
  </w:style>
  <w:style w:type="paragraph" w:customStyle="1" w:styleId="TechnicalBlock">
    <w:name w:val="Technical Block"/>
    <w:basedOn w:val="Normal"/>
    <w:link w:val="TechnicalBlockChar"/>
    <w:rsid w:val="00B47EBB"/>
    <w:pPr>
      <w:spacing w:after="240" w:line="240" w:lineRule="auto"/>
      <w:jc w:val="center"/>
    </w:pPr>
  </w:style>
  <w:style w:type="character" w:customStyle="1" w:styleId="TechnicalBlockChar">
    <w:name w:val="Technical Block Char"/>
    <w:basedOn w:val="DefaultParagraphFont"/>
    <w:link w:val="TechnicalBlock"/>
    <w:rsid w:val="00B47EBB"/>
  </w:style>
  <w:style w:type="paragraph" w:customStyle="1" w:styleId="EntText">
    <w:name w:val="EntText"/>
    <w:basedOn w:val="Normal"/>
    <w:rsid w:val="00B47EBB"/>
    <w:pPr>
      <w:spacing w:before="120" w:after="120" w:line="360" w:lineRule="auto"/>
    </w:pPr>
    <w:rPr>
      <w:rFonts w:ascii="Times New Roman" w:hAnsi="Times New Roman" w:cs="Times New Roman"/>
      <w:sz w:val="24"/>
    </w:rPr>
  </w:style>
  <w:style w:type="paragraph" w:customStyle="1" w:styleId="Lignefinal">
    <w:name w:val="Ligne final"/>
    <w:basedOn w:val="Normal"/>
    <w:next w:val="Normal"/>
    <w:rsid w:val="00B47EBB"/>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pj">
    <w:name w:val="p.j."/>
    <w:basedOn w:val="Normal"/>
    <w:link w:val="pjChar"/>
    <w:rsid w:val="00B47EBB"/>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B47EBB"/>
    <w:rPr>
      <w:rFonts w:ascii="Times New Roman" w:hAnsi="Times New Roman" w:cs="Times New Roman"/>
      <w:sz w:val="24"/>
    </w:rPr>
  </w:style>
  <w:style w:type="paragraph" w:customStyle="1" w:styleId="nbbordered">
    <w:name w:val="nb bordered"/>
    <w:basedOn w:val="Normal"/>
    <w:link w:val="nbborderedChar"/>
    <w:rsid w:val="00B47EBB"/>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B47EBB"/>
    <w:rPr>
      <w:rFonts w:ascii="Times New Roman" w:hAnsi="Times New Roman" w:cs="Times New Roman"/>
      <w:b/>
      <w:sz w:val="24"/>
    </w:rPr>
  </w:style>
  <w:style w:type="paragraph" w:customStyle="1" w:styleId="HeaderCouncil">
    <w:name w:val="Header Council"/>
    <w:basedOn w:val="Normal"/>
    <w:link w:val="HeaderCouncilChar"/>
    <w:rsid w:val="00B47EBB"/>
    <w:pPr>
      <w:spacing w:after="0"/>
    </w:pPr>
    <w:rPr>
      <w:noProof/>
      <w:sz w:val="2"/>
    </w:rPr>
  </w:style>
  <w:style w:type="character" w:customStyle="1" w:styleId="HeaderCouncilChar">
    <w:name w:val="Header Council Char"/>
    <w:basedOn w:val="DefaultParagraphFont"/>
    <w:link w:val="HeaderCouncil"/>
    <w:rsid w:val="00B47EBB"/>
    <w:rPr>
      <w:noProof/>
      <w:sz w:val="2"/>
    </w:rPr>
  </w:style>
  <w:style w:type="paragraph" w:customStyle="1" w:styleId="HeaderCouncilLarge">
    <w:name w:val="Header Council Large"/>
    <w:basedOn w:val="Normal"/>
    <w:link w:val="HeaderCouncilLargeChar"/>
    <w:rsid w:val="00B47EBB"/>
    <w:pPr>
      <w:spacing w:after="440"/>
    </w:pPr>
    <w:rPr>
      <w:noProof/>
      <w:sz w:val="2"/>
    </w:rPr>
  </w:style>
  <w:style w:type="character" w:customStyle="1" w:styleId="HeaderCouncilLargeChar">
    <w:name w:val="Header Council Large Char"/>
    <w:basedOn w:val="DefaultParagraphFont"/>
    <w:link w:val="HeaderCouncilLarge"/>
    <w:rsid w:val="00B47EBB"/>
    <w:rPr>
      <w:noProof/>
      <w:sz w:val="2"/>
    </w:rPr>
  </w:style>
  <w:style w:type="paragraph" w:customStyle="1" w:styleId="FooterCouncil">
    <w:name w:val="Footer Council"/>
    <w:basedOn w:val="Normal"/>
    <w:link w:val="FooterCouncilChar"/>
    <w:rsid w:val="00B47EBB"/>
    <w:pPr>
      <w:spacing w:after="0"/>
    </w:pPr>
    <w:rPr>
      <w:noProof/>
      <w:sz w:val="2"/>
    </w:rPr>
  </w:style>
  <w:style w:type="character" w:customStyle="1" w:styleId="FooterCouncilChar">
    <w:name w:val="Footer Council Char"/>
    <w:basedOn w:val="DefaultParagraphFont"/>
    <w:link w:val="FooterCouncil"/>
    <w:rsid w:val="00B47EBB"/>
    <w:rPr>
      <w:noProof/>
      <w:sz w:val="2"/>
    </w:rPr>
  </w:style>
  <w:style w:type="paragraph" w:customStyle="1" w:styleId="FooterText">
    <w:name w:val="Footer Text"/>
    <w:basedOn w:val="Normal"/>
    <w:rsid w:val="00B47EBB"/>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47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uriserv%3AOJ.L_.2022.314.01.0026.01.ENG&amp;toc=OJ%3AL%3A2022%3A314%3AFULL" TargetMode="External"/><Relationship Id="rId2" Type="http://schemas.openxmlformats.org/officeDocument/2006/relationships/hyperlink" Target="https://single-market-economy.ec.europa.eu/document/d1d0b38a-cec8-479d-be70-1ffae7e227a5_en" TargetMode="External"/><Relationship Id="rId1" Type="http://schemas.openxmlformats.org/officeDocument/2006/relationships/hyperlink" Target="https://ec.europa.eu/info/law/better-regulation/have-your-say/initiatives/13357-Intellectual-property-revised-framework-for-compulsory-licensing-of-patents_en" TargetMode="External"/><Relationship Id="rId4" Type="http://schemas.openxmlformats.org/officeDocument/2006/relationships/hyperlink" Target="https://eur-lex.europa.eu/legal-content/EN/TXT/?uri=uriserv%3AOJ.L_.2022.314.01.0064.01.ENG&amp;toc=OJ%3AL%3A2022%3A314%3A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546a3fa5d06bb39af713db6eafd48c77">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d8c1c16c95bee8ca1bb337ade6301789"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8383D-4E73-4F12-B12B-F7A7A0A1471F}">
  <ds:schemaRefs>
    <ds:schemaRef ds:uri="http://schemas.openxmlformats.org/officeDocument/2006/bibliography"/>
  </ds:schemaRefs>
</ds:datastoreItem>
</file>

<file path=customXml/itemProps2.xml><?xml version="1.0" encoding="utf-8"?>
<ds:datastoreItem xmlns:ds="http://schemas.openxmlformats.org/officeDocument/2006/customXml" ds:itemID="{2E8EBA7F-5CC7-4014-A75D-BCC13F75E222}">
  <ds:schemaRefs>
    <ds:schemaRef ds:uri="649a3744-67ba-4428-9383-97c147116b33"/>
    <ds:schemaRef ds:uri="baa91863-e5db-4a1d-b91e-ce2bc5f994ad"/>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56FB43-33A8-4961-8C4A-67538D1DA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51B38-0069-4D80-B684-57C9CBAC3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2449</Words>
  <Characters>13571</Characters>
  <Application>Microsoft Office Word</Application>
  <DocSecurity>0</DocSecurity>
  <Lines>230</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SATUE GRACIA Victoria Patricia</dc:creator>
  <cp:keywords/>
  <dc:description/>
  <cp:lastModifiedBy>SATUE GRACIA Victoria Patricia</cp:lastModifiedBy>
  <cp:revision>4</cp:revision>
  <dcterms:created xsi:type="dcterms:W3CDTF">2023-04-28T16:33:00Z</dcterms:created>
  <dcterms:modified xsi:type="dcterms:W3CDTF">2023-05-02T07:37:00Z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DocuWrite 4.8.2, Build 20230330</vt:lpwstr>
  </property>
  <property fmtid="{D5CDD505-2E9C-101B-9397-08002B2CF9AE}" pid="8" name="Created using">
    <vt:lpwstr>DocuWrite 4.8.2, Build 20230330</vt:lpwstr>
  </property>
  <property fmtid="{D5CDD505-2E9C-101B-9397-08002B2CF9AE}" pid="9" name="ContentTypeId">
    <vt:lpwstr>0x0101001AA6129E18B5014D93539A03DB770646</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2022-09-02T09:09:14Z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5da35c1d-5a19-4504-9ca1-4808e753dd9e</vt:lpwstr>
  </property>
  <property fmtid="{D5CDD505-2E9C-101B-9397-08002B2CF9AE}" pid="16" name="MSIP_Label_6bd9ddd1-4d20-43f6-abfa-fc3c07406f94_ContentBits">
    <vt:lpwstr>0</vt:lpwstr>
  </property>
  <property fmtid="{D5CDD505-2E9C-101B-9397-08002B2CF9AE}" pid="17" name="MSIP_Label_b1df41d6-74a9-4a97-809c-213cd32520cc_Enabled">
    <vt:lpwstr>true</vt:lpwstr>
  </property>
  <property fmtid="{D5CDD505-2E9C-101B-9397-08002B2CF9AE}" pid="18" name="MSIP_Label_b1df41d6-74a9-4a97-809c-213cd32520cc_SetDate">
    <vt:lpwstr>2023-04-28T16:33:19Z</vt:lpwstr>
  </property>
  <property fmtid="{D5CDD505-2E9C-101B-9397-08002B2CF9AE}" pid="19" name="MSIP_Label_b1df41d6-74a9-4a97-809c-213cd32520cc_Method">
    <vt:lpwstr>Privileged</vt:lpwstr>
  </property>
  <property fmtid="{D5CDD505-2E9C-101B-9397-08002B2CF9AE}" pid="20" name="MSIP_Label_b1df41d6-74a9-4a97-809c-213cd32520cc_Name">
    <vt:lpwstr>GSCEU - NON PUBLIC Label</vt:lpwstr>
  </property>
  <property fmtid="{D5CDD505-2E9C-101B-9397-08002B2CF9AE}" pid="21" name="MSIP_Label_b1df41d6-74a9-4a97-809c-213cd32520cc_SiteId">
    <vt:lpwstr>03ad1c97-0a4d-4e82-8f93-27291a6a0767</vt:lpwstr>
  </property>
  <property fmtid="{D5CDD505-2E9C-101B-9397-08002B2CF9AE}" pid="22" name="MSIP_Label_b1df41d6-74a9-4a97-809c-213cd32520cc_ActionId">
    <vt:lpwstr>abf6f729-9eef-43cd-9aaf-b155c2b10bf3</vt:lpwstr>
  </property>
  <property fmtid="{D5CDD505-2E9C-101B-9397-08002B2CF9AE}" pid="23" name="MSIP_Label_b1df41d6-74a9-4a97-809c-213cd32520cc_ContentBits">
    <vt:lpwstr>0</vt:lpwstr>
  </property>
</Properties>
</file>