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CA4D" w14:textId="45AE62CE" w:rsidR="003A3206" w:rsidRPr="002A1336" w:rsidRDefault="002A1336" w:rsidP="002A1336">
      <w:pPr>
        <w:pStyle w:val="TechnicalBlock"/>
        <w:ind w:left="-1134" w:right="-1134"/>
      </w:pPr>
      <w:bookmarkStart w:id="0" w:name="LW_BM_COVERPAGE"/>
      <w:bookmarkStart w:id="1" w:name="DW_BM_COVERPAGE"/>
      <w:r>
        <w:pict w14:anchorId="144C1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ocument Cover Page.&#10;Document Number: 8901/23 ADD 5.&#10;Subject Codes: PI 58 PHARM 69 COMPET 387 MI 355 IND 209 IA 91 CODEC 751.&#10;Heading: SPREMNI DOPIS.&#10;Originator: za generalno sekretarko Evropske komisije: direktorica Martine DEPREZ.&#10;Recipient: Thérèse BLANCHET, generalna sekretarka Sveta Evropske unije.&#10;Subject: DELOVNI DOKUMENT SLUŽB KOMISIJE POVZETEK POROČILA O OCENI UČINKA Spremni dokument Predlog uredbe Evropskega parlamenta in Sveta o prisilnem licenciranju za krizno upravljanje in spremembi Uredbe (ES) št. 816/2006.&#10;Commission Document Number: SWD(2023) 122 final.&#10;Preceeding Document Number: Not Set.&#10;Location: Bruselj.&#10;Date: 2. maj 2023.&#10;Interinstitutional Files: 2023/0129(COD).&#10;Institutional Framework: Svet Evropske unije.&#10;Language: SL.&#10;Distribution Code: PUBLIC.&#10;GUID: 5062185632420695151_0" style="width:568.9pt;height:438.1pt">
            <v:imagedata r:id="rId11" o:title=""/>
          </v:shape>
        </w:pict>
      </w:r>
      <w:bookmarkEnd w:id="1"/>
    </w:p>
    <w:p w14:paraId="61A60605" w14:textId="219A6706" w:rsidR="003A3206" w:rsidRDefault="003A3206" w:rsidP="002A1336">
      <w:pPr>
        <w:pStyle w:val="EntText"/>
        <w:spacing w:before="480"/>
      </w:pPr>
      <w:r w:rsidRPr="003A3206">
        <w:t xml:space="preserve">Delegacije prejmejo priloženi dokument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2A1336" w:rsidRPr="002A1336">
        <w:instrText>SWD(2023) 122 final</w:instrText>
      </w:r>
      <w:r>
        <w:instrText xml:space="preserve">" </w:instrText>
      </w:r>
      <w:r>
        <w:fldChar w:fldCharType="separate"/>
      </w:r>
      <w:r w:rsidR="002A1336" w:rsidRPr="002A1336">
        <w:t>SWD(2023) 122 final</w:t>
      </w:r>
      <w:r>
        <w:fldChar w:fldCharType="end"/>
      </w:r>
      <w:r w:rsidRPr="003A3206">
        <w:t>.</w:t>
      </w:r>
    </w:p>
    <w:p w14:paraId="2ED6E433" w14:textId="77777777" w:rsidR="003A3206" w:rsidRDefault="003A3206" w:rsidP="003A3206">
      <w:pPr>
        <w:pStyle w:val="Lignefinal"/>
      </w:pPr>
    </w:p>
    <w:p w14:paraId="6ED163B0" w14:textId="3FBD529E" w:rsidR="003A3206" w:rsidRDefault="003A3206" w:rsidP="002A1336">
      <w:pPr>
        <w:pStyle w:val="pj"/>
        <w:spacing w:before="120"/>
      </w:pPr>
      <w:r w:rsidRPr="003A3206">
        <w:t xml:space="preserve">Priloga: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2A1336" w:rsidRPr="002A1336">
        <w:instrText>SWD(2023) 122 final</w:instrText>
      </w:r>
      <w:r>
        <w:instrText xml:space="preserve">" </w:instrText>
      </w:r>
      <w:r>
        <w:fldChar w:fldCharType="separate"/>
      </w:r>
      <w:r w:rsidR="002A1336" w:rsidRPr="002A1336">
        <w:t>SWD(2023) 122 final</w:t>
      </w:r>
      <w:r>
        <w:fldChar w:fldCharType="end"/>
      </w:r>
    </w:p>
    <w:p w14:paraId="5F4274E9" w14:textId="77777777" w:rsidR="003A3206" w:rsidRDefault="003A3206" w:rsidP="003A3206">
      <w:pPr>
        <w:rPr>
          <w:noProof/>
        </w:rPr>
        <w:sectPr w:rsidR="003A3206" w:rsidSect="003A3206">
          <w:headerReference w:type="even" r:id="rId12"/>
          <w:headerReference w:type="default" r:id="rId13"/>
          <w:footerReference w:type="even" r:id="rId14"/>
          <w:footerReference w:type="default" r:id="rId15"/>
          <w:headerReference w:type="first" r:id="rId16"/>
          <w:footerReference w:type="first" r:id="rId17"/>
          <w:pgSz w:w="11906" w:h="16838"/>
          <w:pgMar w:top="624" w:right="1134" w:bottom="1134" w:left="1134" w:header="567" w:footer="567" w:gutter="0"/>
          <w:pgNumType w:start="0"/>
          <w:cols w:space="720"/>
          <w:titlePg/>
          <w:docGrid w:linePitch="360"/>
        </w:sectPr>
      </w:pPr>
    </w:p>
    <w:p w14:paraId="0033EAD4" w14:textId="432EF1F1" w:rsidR="00FE5FD3" w:rsidRPr="00DF5467" w:rsidRDefault="002A1336" w:rsidP="00E57391">
      <w:pPr>
        <w:pStyle w:val="Pagedecouverture"/>
        <w:rPr>
          <w:noProof/>
        </w:rPr>
      </w:pPr>
      <w:r>
        <w:rPr>
          <w:noProof/>
        </w:rPr>
        <w:lastRenderedPageBreak/>
        <w:pict w14:anchorId="254587F7">
          <v:shape id="_x0000_i1026" type="#_x0000_t75" alt="BEB7E973-99D4-47DA-885D-4E52FA68A9F3" style="width:455.3pt;height:411.7pt">
            <v:imagedata r:id="rId18" o:title=""/>
          </v:shape>
        </w:pict>
      </w:r>
    </w:p>
    <w:bookmarkEnd w:id="0"/>
    <w:p w14:paraId="2C2E3C7E" w14:textId="77777777" w:rsidR="00B421AA" w:rsidRPr="00DF5467" w:rsidRDefault="00B421AA" w:rsidP="00B421AA">
      <w:pPr>
        <w:rPr>
          <w:noProof/>
        </w:rPr>
        <w:sectPr w:rsidR="00B421AA" w:rsidRPr="00DF5467" w:rsidSect="00E57391">
          <w:headerReference w:type="even" r:id="rId19"/>
          <w:headerReference w:type="default" r:id="rId20"/>
          <w:footerReference w:type="even" r:id="rId21"/>
          <w:footerReference w:type="default" r:id="rId22"/>
          <w:headerReference w:type="first" r:id="rId23"/>
          <w:footerReference w:type="first" r:id="rId24"/>
          <w:pgSz w:w="11906" w:h="16838"/>
          <w:pgMar w:top="1134" w:right="1417" w:bottom="1134" w:left="1417" w:header="709" w:footer="709" w:gutter="0"/>
          <w:pgNumType w:start="0"/>
          <w:cols w:space="720"/>
          <w:docGrid w:linePitch="360"/>
        </w:sectPr>
      </w:pPr>
    </w:p>
    <w:tbl>
      <w:tblPr>
        <w:tblStyle w:val="TableGrid"/>
        <w:tblW w:w="9322" w:type="dxa"/>
        <w:tblLook w:val="01E0" w:firstRow="1" w:lastRow="1" w:firstColumn="1" w:lastColumn="1" w:noHBand="0" w:noVBand="0"/>
      </w:tblPr>
      <w:tblGrid>
        <w:gridCol w:w="9322"/>
      </w:tblGrid>
      <w:tr w:rsidR="00ED39C4" w:rsidRPr="00DF5467" w14:paraId="68484E37" w14:textId="77777777" w:rsidTr="00035755">
        <w:tc>
          <w:tcPr>
            <w:tcW w:w="9322" w:type="dxa"/>
            <w:tcBorders>
              <w:bottom w:val="single" w:sz="4" w:space="0" w:color="auto"/>
            </w:tcBorders>
            <w:shd w:val="clear" w:color="auto" w:fill="CCCCCC"/>
          </w:tcPr>
          <w:p w14:paraId="255FD3AD" w14:textId="49CA43C7" w:rsidR="00ED39C4" w:rsidRPr="00DF5467" w:rsidRDefault="00ED39C4" w:rsidP="00035755">
            <w:pPr>
              <w:spacing w:before="60" w:after="60"/>
              <w:jc w:val="center"/>
              <w:rPr>
                <w:b/>
                <w:noProof/>
                <w:sz w:val="24"/>
              </w:rPr>
            </w:pPr>
            <w:r>
              <w:rPr>
                <w:b/>
                <w:noProof/>
                <w:sz w:val="24"/>
              </w:rPr>
              <w:lastRenderedPageBreak/>
              <w:t>Povzetek</w:t>
            </w:r>
          </w:p>
        </w:tc>
      </w:tr>
      <w:tr w:rsidR="00ED39C4" w:rsidRPr="002A1336" w14:paraId="0A77E1FD" w14:textId="77777777" w:rsidTr="00035755">
        <w:tc>
          <w:tcPr>
            <w:tcW w:w="9322" w:type="dxa"/>
            <w:tcBorders>
              <w:top w:val="single" w:sz="4" w:space="0" w:color="auto"/>
              <w:left w:val="single" w:sz="4" w:space="0" w:color="auto"/>
              <w:bottom w:val="single" w:sz="4" w:space="0" w:color="auto"/>
              <w:right w:val="single" w:sz="4" w:space="0" w:color="auto"/>
            </w:tcBorders>
            <w:shd w:val="clear" w:color="auto" w:fill="4F81BD" w:themeFill="accent1"/>
          </w:tcPr>
          <w:p w14:paraId="38ED80ED" w14:textId="4CA73E61" w:rsidR="00ED39C4" w:rsidRPr="003A3206" w:rsidRDefault="00C71758" w:rsidP="00C71758">
            <w:pPr>
              <w:spacing w:before="120" w:after="120"/>
              <w:jc w:val="both"/>
              <w:rPr>
                <w:b/>
                <w:noProof/>
                <w:sz w:val="24"/>
                <w:lang w:val="pl-PL"/>
              </w:rPr>
            </w:pPr>
            <w:r w:rsidRPr="003A3206">
              <w:rPr>
                <w:noProof/>
                <w:color w:val="FFFFFF" w:themeColor="background1"/>
                <w:sz w:val="24"/>
                <w:lang w:val="pl-PL"/>
              </w:rPr>
              <w:t>Ocena učinka o prisilnem licenciranju za krizno upravljanje.</w:t>
            </w:r>
          </w:p>
        </w:tc>
      </w:tr>
      <w:tr w:rsidR="00ED39C4" w:rsidRPr="00DF5467" w14:paraId="15B65469" w14:textId="77777777" w:rsidTr="00035755">
        <w:tc>
          <w:tcPr>
            <w:tcW w:w="9322" w:type="dxa"/>
            <w:tcBorders>
              <w:bottom w:val="single" w:sz="4" w:space="0" w:color="auto"/>
            </w:tcBorders>
            <w:shd w:val="clear" w:color="auto" w:fill="CCCCCC"/>
          </w:tcPr>
          <w:p w14:paraId="34254AE0" w14:textId="77777777" w:rsidR="00ED39C4" w:rsidRPr="00DF5467" w:rsidRDefault="00ED39C4" w:rsidP="00035755">
            <w:pPr>
              <w:spacing w:before="60" w:after="60"/>
              <w:jc w:val="center"/>
              <w:rPr>
                <w:b/>
                <w:noProof/>
                <w:sz w:val="24"/>
              </w:rPr>
            </w:pPr>
            <w:r>
              <w:rPr>
                <w:b/>
                <w:noProof/>
                <w:sz w:val="24"/>
              </w:rPr>
              <w:t>A. Nujnost ukrepanja</w:t>
            </w:r>
          </w:p>
        </w:tc>
      </w:tr>
      <w:tr w:rsidR="00ED39C4" w:rsidRPr="002A1336" w14:paraId="02697D91" w14:textId="77777777" w:rsidTr="00035755">
        <w:tc>
          <w:tcPr>
            <w:tcW w:w="9322" w:type="dxa"/>
            <w:tcBorders>
              <w:bottom w:val="single" w:sz="4" w:space="0" w:color="auto"/>
            </w:tcBorders>
            <w:shd w:val="clear" w:color="auto" w:fill="E0E0E0"/>
          </w:tcPr>
          <w:p w14:paraId="0ED0FC3E" w14:textId="77777777" w:rsidR="00ED39C4" w:rsidRPr="004122E6" w:rsidRDefault="00ED39C4" w:rsidP="00035755">
            <w:pPr>
              <w:spacing w:before="60" w:after="60"/>
              <w:jc w:val="both"/>
              <w:rPr>
                <w:noProof/>
                <w:sz w:val="24"/>
                <w:lang w:val="sl-SI"/>
              </w:rPr>
            </w:pPr>
            <w:r w:rsidRPr="004122E6">
              <w:rPr>
                <w:b/>
                <w:noProof/>
                <w:sz w:val="24"/>
                <w:lang w:val="sl-SI"/>
              </w:rPr>
              <w:t xml:space="preserve">Zakaj? V čem je težava, ki se obravnava? </w:t>
            </w:r>
          </w:p>
        </w:tc>
      </w:tr>
      <w:tr w:rsidR="00ED39C4" w:rsidRPr="002A1336" w14:paraId="7F5116DA" w14:textId="77777777" w:rsidTr="00035755">
        <w:tc>
          <w:tcPr>
            <w:tcW w:w="9322" w:type="dxa"/>
            <w:tcBorders>
              <w:bottom w:val="single" w:sz="4" w:space="0" w:color="auto"/>
            </w:tcBorders>
            <w:shd w:val="clear" w:color="auto" w:fill="auto"/>
          </w:tcPr>
          <w:p w14:paraId="5B0D6FD1" w14:textId="01756202" w:rsidR="00DC40E1" w:rsidRPr="004122E6" w:rsidRDefault="00B93489" w:rsidP="003E7D11">
            <w:pPr>
              <w:spacing w:before="120"/>
              <w:jc w:val="both"/>
              <w:rPr>
                <w:noProof/>
                <w:sz w:val="24"/>
                <w:lang w:val="sl-SI"/>
              </w:rPr>
            </w:pPr>
            <w:r w:rsidRPr="004122E6">
              <w:rPr>
                <w:noProof/>
                <w:sz w:val="24"/>
                <w:lang w:val="sl-SI"/>
              </w:rPr>
              <w:t xml:space="preserve">Med krizo zaradi COVID-19 je potekala razprava o vlogi pravic intelektualne lastnine pri zagotavljanju dostopa do življenjsko pomembnih izdelkov. Čeprav so se pojavile zahteve po opustitvi pravic intelektualne lastnine, je EU menila, da je že na voljo druga rešitev, če prostovoljni sporazumi ne bi bili uspešni. </w:t>
            </w:r>
          </w:p>
          <w:p w14:paraId="00129941" w14:textId="628AA31D" w:rsidR="00DC40E1" w:rsidRPr="004122E6" w:rsidRDefault="006B340B" w:rsidP="003E7D11">
            <w:pPr>
              <w:spacing w:before="120"/>
              <w:jc w:val="both"/>
              <w:rPr>
                <w:noProof/>
                <w:sz w:val="24"/>
                <w:lang w:val="sl-SI"/>
              </w:rPr>
            </w:pPr>
            <w:r w:rsidRPr="004122E6">
              <w:rPr>
                <w:noProof/>
                <w:sz w:val="24"/>
                <w:lang w:val="sl-SI"/>
              </w:rPr>
              <w:t xml:space="preserve">Sporazum TRIPS predvideva možnost, da se v določenih okoliščinah podeli prisilna licenca. Prisilna licenca patentov je dovoljenje, ki ga država podeli subjektu, ki ni imetnik patenta, za uporabo patentiranega izuma brez soglasja imetnika patenta. </w:t>
            </w:r>
          </w:p>
          <w:p w14:paraId="4C84FD72" w14:textId="67DD30CC" w:rsidR="00DC40E1" w:rsidRPr="004122E6" w:rsidRDefault="0059764E" w:rsidP="003E7D11">
            <w:pPr>
              <w:spacing w:before="120"/>
              <w:jc w:val="both"/>
              <w:rPr>
                <w:noProof/>
                <w:sz w:val="24"/>
                <w:lang w:val="sl-SI"/>
              </w:rPr>
            </w:pPr>
            <w:r w:rsidRPr="004122E6">
              <w:rPr>
                <w:noProof/>
                <w:sz w:val="24"/>
                <w:lang w:val="sl-SI"/>
              </w:rPr>
              <w:t>Komisija je v svojem akcijskem načrtu za pravice intelektualne lastnine</w:t>
            </w:r>
            <w:r w:rsidRPr="004122E6">
              <w:rPr>
                <w:rStyle w:val="FootnoteReference"/>
                <w:noProof/>
                <w:sz w:val="24"/>
                <w:lang w:val="sl-SI"/>
              </w:rPr>
              <w:footnoteReference w:id="2"/>
            </w:r>
            <w:r w:rsidRPr="004122E6">
              <w:rPr>
                <w:noProof/>
                <w:sz w:val="24"/>
                <w:lang w:val="sl-SI"/>
              </w:rPr>
              <w:t xml:space="preserve"> iz leta 2020 poudarila, „da [je] potrebno zagotoviti, da so vzpostavljeni učinkoviti sistemi za izdajanje prisilnih licenc“. Evropski parlament je v resoluciji iz novembra 2021</w:t>
            </w:r>
            <w:r w:rsidRPr="004122E6">
              <w:rPr>
                <w:rStyle w:val="FootnoteReference"/>
                <w:noProof/>
                <w:sz w:val="24"/>
                <w:lang w:val="sl-SI"/>
              </w:rPr>
              <w:footnoteReference w:id="3"/>
            </w:r>
            <w:r w:rsidRPr="004122E6">
              <w:rPr>
                <w:noProof/>
                <w:sz w:val="24"/>
                <w:lang w:val="sl-SI"/>
              </w:rPr>
              <w:t xml:space="preserve"> Komisijo pozval, naj „analizira in preuči možnosti za zagotovitev učinkovitosti in boljšega usklajevanja prisilnega licenciranja v EU“. </w:t>
            </w:r>
          </w:p>
          <w:p w14:paraId="51C45E6F" w14:textId="01214E76" w:rsidR="00561D47" w:rsidRPr="004122E6" w:rsidRDefault="00DC40E1" w:rsidP="0075461D">
            <w:pPr>
              <w:spacing w:before="120" w:after="120"/>
              <w:jc w:val="both"/>
              <w:rPr>
                <w:noProof/>
                <w:sz w:val="24"/>
                <w:lang w:val="sl-SI"/>
              </w:rPr>
            </w:pPr>
            <w:r w:rsidRPr="004122E6">
              <w:rPr>
                <w:noProof/>
                <w:sz w:val="24"/>
                <w:lang w:val="sl-SI"/>
              </w:rPr>
              <w:t>Svet</w:t>
            </w:r>
            <w:r w:rsidRPr="004122E6">
              <w:rPr>
                <w:rStyle w:val="FootnoteReference"/>
                <w:noProof/>
                <w:sz w:val="24"/>
                <w:lang w:val="sl-SI"/>
              </w:rPr>
              <w:footnoteReference w:id="4"/>
            </w:r>
            <w:r w:rsidRPr="004122E6">
              <w:rPr>
                <w:noProof/>
                <w:sz w:val="24"/>
                <w:lang w:val="sl-SI"/>
              </w:rPr>
              <w:t xml:space="preserve"> je potrdil, da je EU pripravljena razpravljati o prožnosti prisilnega licenciranja za domači trg in za izvoz. Komisija je vzporedno predstavila predloge za zagotovitev odpornosti EU in dobro delujočih dobavnih verig na enotnem trgu in v tujini</w:t>
            </w:r>
            <w:r w:rsidRPr="004122E6">
              <w:rPr>
                <w:rStyle w:val="FootnoteReference"/>
                <w:noProof/>
                <w:sz w:val="24"/>
                <w:lang w:val="sl-SI"/>
              </w:rPr>
              <w:footnoteReference w:id="5"/>
            </w:r>
            <w:r w:rsidRPr="004122E6">
              <w:rPr>
                <w:noProof/>
                <w:sz w:val="24"/>
                <w:lang w:val="sl-SI"/>
              </w:rPr>
              <w:t>. Pobuda, opisana v tem dokumentu, je glede na to, da je enotni trg patentov s prihajajočo uvedbo enotnega patenta vse bliže dokončnemu oblikovanju, na stičišču različnih kriznih instrumentov EU ter mednarodnih obveznosti in razprav o pravicah intelektualne lastnine in prisilnem licenciranju.</w:t>
            </w:r>
          </w:p>
          <w:p w14:paraId="19267829" w14:textId="49C9BD3F" w:rsidR="00DC40E1" w:rsidRPr="004122E6" w:rsidRDefault="00561D47" w:rsidP="0075461D">
            <w:pPr>
              <w:pStyle w:val="Heading3"/>
              <w:spacing w:before="0" w:after="120"/>
              <w:jc w:val="both"/>
              <w:outlineLvl w:val="2"/>
              <w:rPr>
                <w:rFonts w:ascii="Times New Roman" w:hAnsi="Times New Roman" w:cs="Times New Roman"/>
                <w:noProof/>
                <w:lang w:val="sl-SI"/>
              </w:rPr>
            </w:pPr>
            <w:r w:rsidRPr="004122E6">
              <w:rPr>
                <w:rFonts w:ascii="Times New Roman" w:hAnsi="Times New Roman"/>
                <w:noProof/>
                <w:lang w:val="sl-SI"/>
              </w:rPr>
              <w:t xml:space="preserve">Za sedanja pravila EU o prisilnem licenciranju so značilni neustrezna ozemeljska pokritost ter neusklajeni nacionalni postopki in odločanje. To je še posebej problematično zaradi čezmejnih vrednostnih verig, ki vse bolj prevladujejo na enotnem trgu EU. </w:t>
            </w:r>
          </w:p>
          <w:p w14:paraId="51EEAC92" w14:textId="07AD30CE" w:rsidR="00561D47" w:rsidRPr="004122E6" w:rsidRDefault="00561D47" w:rsidP="0075461D">
            <w:pPr>
              <w:pStyle w:val="Heading3"/>
              <w:spacing w:before="0" w:after="120"/>
              <w:jc w:val="both"/>
              <w:outlineLvl w:val="2"/>
              <w:rPr>
                <w:rFonts w:ascii="Times New Roman" w:hAnsi="Times New Roman" w:cs="Times New Roman"/>
                <w:noProof/>
                <w:lang w:val="sl-SI"/>
              </w:rPr>
            </w:pPr>
            <w:r w:rsidRPr="004122E6">
              <w:rPr>
                <w:rFonts w:ascii="Times New Roman" w:hAnsi="Times New Roman"/>
                <w:noProof/>
                <w:lang w:val="sl-SI"/>
              </w:rPr>
              <w:t>To je posledica:</w:t>
            </w:r>
          </w:p>
          <w:p w14:paraId="7A485F88" w14:textId="2FD5B06E" w:rsidR="00561D47" w:rsidRPr="004122E6" w:rsidRDefault="00BA0873" w:rsidP="0075461D">
            <w:pPr>
              <w:pStyle w:val="Heading3"/>
              <w:spacing w:before="0" w:after="120"/>
              <w:jc w:val="both"/>
              <w:outlineLvl w:val="2"/>
              <w:rPr>
                <w:rFonts w:ascii="Times New Roman" w:hAnsi="Times New Roman" w:cs="Times New Roman"/>
                <w:noProof/>
                <w:lang w:val="sl-SI"/>
              </w:rPr>
            </w:pPr>
            <w:r w:rsidRPr="004122E6">
              <w:rPr>
                <w:rFonts w:ascii="Times New Roman" w:hAnsi="Times New Roman"/>
                <w:noProof/>
                <w:lang w:val="sl-SI"/>
              </w:rPr>
              <w:t xml:space="preserve">(1) </w:t>
            </w:r>
            <w:bookmarkStart w:id="3" w:name="_Ref120002338"/>
            <w:r w:rsidRPr="004122E6">
              <w:rPr>
                <w:rFonts w:ascii="Times New Roman" w:hAnsi="Times New Roman"/>
                <w:noProof/>
                <w:lang w:val="sl-SI"/>
              </w:rPr>
              <w:t>različnih nacionalnih sistemov prisilnega licenciranja</w:t>
            </w:r>
            <w:bookmarkEnd w:id="3"/>
            <w:r w:rsidRPr="004122E6">
              <w:rPr>
                <w:rFonts w:ascii="Times New Roman" w:hAnsi="Times New Roman"/>
                <w:noProof/>
                <w:lang w:val="sl-SI"/>
              </w:rPr>
              <w:t>: prisilno licenciranje je v različnih državah članicah EU dovoljeno v okviru različnih postopkov in pod različnimi pogoji;</w:t>
            </w:r>
          </w:p>
          <w:p w14:paraId="7E50A6BA" w14:textId="412002D7" w:rsidR="00561D47" w:rsidRPr="004122E6" w:rsidRDefault="00BA0873" w:rsidP="0075461D">
            <w:pPr>
              <w:pStyle w:val="Heading3"/>
              <w:spacing w:before="0" w:after="120"/>
              <w:jc w:val="both"/>
              <w:outlineLvl w:val="2"/>
              <w:rPr>
                <w:rFonts w:ascii="Times New Roman" w:hAnsi="Times New Roman" w:cs="Times New Roman"/>
                <w:noProof/>
                <w:lang w:val="sl-SI"/>
              </w:rPr>
            </w:pPr>
            <w:r w:rsidRPr="004122E6">
              <w:rPr>
                <w:rFonts w:ascii="Times New Roman" w:hAnsi="Times New Roman"/>
                <w:noProof/>
                <w:lang w:val="sl-SI"/>
              </w:rPr>
              <w:t>(2) neustreznega ozemeljskega dosega prisilnega licenciranja: kljub prožnosti, ki obstaja na mednarodni ravni, je prisilno licenciranje v EU namenjeno izključno oskrbi nacionalnih ozemelj, kar pomeni, da trenutno ni enotnega trga in prostega pretoka blaga za izdelke s prisilno licenco;</w:t>
            </w:r>
          </w:p>
          <w:p w14:paraId="328A50F8" w14:textId="6805999E" w:rsidR="00E758DA" w:rsidRPr="004122E6" w:rsidRDefault="00BA0873" w:rsidP="0075461D">
            <w:pPr>
              <w:pStyle w:val="Heading3"/>
              <w:spacing w:before="0" w:after="120"/>
              <w:jc w:val="both"/>
              <w:outlineLvl w:val="2"/>
              <w:rPr>
                <w:rFonts w:ascii="Times New Roman" w:hAnsi="Times New Roman" w:cs="Times New Roman"/>
                <w:noProof/>
                <w:lang w:val="sl-SI"/>
              </w:rPr>
            </w:pPr>
            <w:r w:rsidRPr="004122E6">
              <w:rPr>
                <w:rFonts w:ascii="Times New Roman" w:hAnsi="Times New Roman"/>
                <w:noProof/>
                <w:lang w:val="sl-SI"/>
              </w:rPr>
              <w:t>(3) neobstoja namenskih forumov za obravnavo prisilnega licenciranja, ki bi lahko okrepilo odpornost EU v kriznih razmerah: sedanji sistem prisilnega licenciranja, ki bi lahko dopolnjeval in podpiral sposobnost EU za soočanje s krizo, se zdi nepovezan s kriznimi instrumenti</w:t>
            </w:r>
            <w:r w:rsidR="00892D38">
              <w:rPr>
                <w:rFonts w:ascii="Times New Roman" w:hAnsi="Times New Roman"/>
                <w:noProof/>
                <w:lang w:val="sl-SI"/>
              </w:rPr>
              <w:t xml:space="preserve"> </w:t>
            </w:r>
            <w:r w:rsidRPr="004122E6">
              <w:rPr>
                <w:rFonts w:ascii="Times New Roman" w:hAnsi="Times New Roman"/>
                <w:noProof/>
                <w:lang w:val="sl-SI"/>
              </w:rPr>
              <w:t xml:space="preserve">EU. </w:t>
            </w:r>
            <w:r w:rsidRPr="004122E6">
              <w:rPr>
                <w:noProof/>
                <w:lang w:val="sl-SI"/>
              </w:rPr>
              <w:t xml:space="preserve"> </w:t>
            </w:r>
            <w:r w:rsidRPr="004122E6">
              <w:rPr>
                <w:noProof/>
                <w:lang w:val="sl-SI"/>
              </w:rPr>
              <w:cr/>
            </w:r>
            <w:r w:rsidRPr="004122E6">
              <w:rPr>
                <w:noProof/>
                <w:lang w:val="sl-SI"/>
              </w:rPr>
              <w:br/>
            </w:r>
            <w:r w:rsidRPr="004122E6">
              <w:rPr>
                <w:rFonts w:ascii="Times New Roman" w:hAnsi="Times New Roman"/>
                <w:noProof/>
                <w:lang w:val="sl-SI"/>
              </w:rPr>
              <w:t xml:space="preserve">Poleg tega ni usklajevanja na ravni EU, če bi več držav EU želelo uskladiti svoje ukrepe za nacionalno prisilno licenciranje. Zato bi država EU s proizvodnimi zmogljivostmi težko proizvajala blago za pomoč drugi državi EU ali izdala prisilno licenco za proizvodni postopek, ki zajema več držav EU. </w:t>
            </w:r>
          </w:p>
        </w:tc>
      </w:tr>
      <w:tr w:rsidR="00ED39C4" w:rsidRPr="002A1336" w14:paraId="7F3FC855" w14:textId="77777777" w:rsidTr="00035755">
        <w:tc>
          <w:tcPr>
            <w:tcW w:w="9322" w:type="dxa"/>
            <w:tcBorders>
              <w:bottom w:val="single" w:sz="4" w:space="0" w:color="auto"/>
            </w:tcBorders>
            <w:shd w:val="clear" w:color="auto" w:fill="E6E6E6"/>
          </w:tcPr>
          <w:p w14:paraId="64E6A473" w14:textId="77777777" w:rsidR="00ED39C4" w:rsidRPr="004122E6" w:rsidRDefault="00ED39C4" w:rsidP="00035755">
            <w:pPr>
              <w:spacing w:before="60" w:after="60"/>
              <w:jc w:val="both"/>
              <w:rPr>
                <w:noProof/>
                <w:sz w:val="24"/>
                <w:lang w:val="sl-SI"/>
              </w:rPr>
            </w:pPr>
            <w:r w:rsidRPr="004122E6">
              <w:rPr>
                <w:b/>
                <w:noProof/>
                <w:sz w:val="24"/>
                <w:lang w:val="sl-SI"/>
              </w:rPr>
              <w:t xml:space="preserve">Kaj naj bi prinesla ta pobuda? </w:t>
            </w:r>
          </w:p>
        </w:tc>
      </w:tr>
      <w:tr w:rsidR="00ED39C4" w:rsidRPr="002A1336" w14:paraId="10E54822" w14:textId="77777777" w:rsidTr="00035755">
        <w:tc>
          <w:tcPr>
            <w:tcW w:w="9322" w:type="dxa"/>
            <w:tcBorders>
              <w:bottom w:val="single" w:sz="4" w:space="0" w:color="auto"/>
            </w:tcBorders>
            <w:shd w:val="clear" w:color="auto" w:fill="auto"/>
          </w:tcPr>
          <w:p w14:paraId="52B3DB21" w14:textId="2D4FAAA4" w:rsidR="0013606D" w:rsidRPr="004122E6" w:rsidRDefault="00FB3844" w:rsidP="00196F0B">
            <w:pPr>
              <w:spacing w:before="120" w:after="120"/>
              <w:jc w:val="both"/>
              <w:rPr>
                <w:noProof/>
                <w:sz w:val="24"/>
                <w:lang w:val="sl-SI"/>
              </w:rPr>
            </w:pPr>
            <w:r w:rsidRPr="004122E6">
              <w:rPr>
                <w:noProof/>
                <w:sz w:val="24"/>
                <w:lang w:val="sl-SI"/>
              </w:rPr>
              <w:t xml:space="preserve">Splošni cilj je omogočiti EU, da se pravočasno odzove na krizne razmere z izkoriščanjem celotnega potenciala enotnega trga, in zagotoviti, da so v krizi kritični izdelki in sestavni deli na voljo v vseh državah EU ter nemudoma dobavljeni državljanom in podjetjem EU ali celo državam zunaj EU. </w:t>
            </w:r>
          </w:p>
          <w:p w14:paraId="6D1DEC27" w14:textId="24540CD5" w:rsidR="00271691" w:rsidRPr="004122E6" w:rsidRDefault="00271691" w:rsidP="00196F0B">
            <w:pPr>
              <w:spacing w:after="120"/>
              <w:jc w:val="both"/>
              <w:rPr>
                <w:noProof/>
                <w:sz w:val="24"/>
                <w:lang w:val="sl-SI"/>
              </w:rPr>
            </w:pPr>
            <w:r w:rsidRPr="004122E6">
              <w:rPr>
                <w:noProof/>
                <w:sz w:val="24"/>
                <w:lang w:val="sl-SI"/>
              </w:rPr>
              <w:t>V povezavi s splošnimi cilji in prej opredeljenimi težavami so bili opredeljeni trije posebni cilji:</w:t>
            </w:r>
          </w:p>
          <w:p w14:paraId="2FF989E2" w14:textId="41F866F0" w:rsidR="00271691" w:rsidRPr="004122E6" w:rsidRDefault="00271691" w:rsidP="00196F0B">
            <w:pPr>
              <w:spacing w:after="120"/>
              <w:jc w:val="both"/>
              <w:rPr>
                <w:noProof/>
                <w:sz w:val="24"/>
                <w:lang w:val="sl-SI"/>
              </w:rPr>
            </w:pPr>
            <w:r w:rsidRPr="004122E6">
              <w:rPr>
                <w:noProof/>
                <w:sz w:val="24"/>
                <w:lang w:val="sl-SI"/>
              </w:rPr>
              <w:t>(1) izboljšati ključne značilnosti prisilnega licenciranja, kot so sprožilo, področje uporabe in pogoji za prisilno licenciranje, ter poskrbeti, da bo prisilno licenciranje bolj dosledno orodje za soočanje s krizo v EU;</w:t>
            </w:r>
          </w:p>
          <w:p w14:paraId="3C7F31CD" w14:textId="01E7BD69" w:rsidR="00271691" w:rsidRPr="004122E6" w:rsidRDefault="00271691" w:rsidP="00196F0B">
            <w:pPr>
              <w:spacing w:after="120"/>
              <w:jc w:val="both"/>
              <w:rPr>
                <w:noProof/>
                <w:sz w:val="24"/>
                <w:lang w:val="sl-SI"/>
              </w:rPr>
            </w:pPr>
            <w:r w:rsidRPr="004122E6">
              <w:rPr>
                <w:noProof/>
                <w:sz w:val="24"/>
                <w:lang w:val="sl-SI"/>
              </w:rPr>
              <w:t>(2) zagotoviti, da se bo pri ozemeljskem dosegu prisilne licence, tudi za namene izvoza, lahko upoštevala realnost čezmejnih vrednostnih verig, ki delujejo na enotnem trgu;</w:t>
            </w:r>
          </w:p>
          <w:p w14:paraId="0C616ED3" w14:textId="3E66E7C6" w:rsidR="00ED39C4" w:rsidRPr="004122E6" w:rsidRDefault="00271691" w:rsidP="00196F0B">
            <w:pPr>
              <w:spacing w:after="120"/>
              <w:jc w:val="both"/>
              <w:rPr>
                <w:noProof/>
                <w:sz w:val="24"/>
                <w:lang w:val="sl-SI"/>
              </w:rPr>
            </w:pPr>
            <w:r w:rsidRPr="004122E6">
              <w:rPr>
                <w:noProof/>
                <w:sz w:val="24"/>
                <w:lang w:val="sl-SI"/>
              </w:rPr>
              <w:t xml:space="preserve">(3) podpreti odpornost EU z izboljšanjem usklajevanja, racionalizacijo sprejemanja odločitev in omogočanjem prisilnih licenc za boljše dopolnjevanje ukrepov EU v kriznih razmerah, tudi za namene izvoza v države zunaj EU. Namen tega cilja bi bil tudi zagotoviti ustrezno skladnost med (nacionalnimi) sistemi prisilnega licenciranja in kriznimi instrumenti EU.  </w:t>
            </w:r>
          </w:p>
        </w:tc>
      </w:tr>
      <w:tr w:rsidR="00ED39C4" w:rsidRPr="002A1336" w14:paraId="55B98BC8" w14:textId="77777777" w:rsidTr="00035755">
        <w:tc>
          <w:tcPr>
            <w:tcW w:w="9322" w:type="dxa"/>
            <w:tcBorders>
              <w:bottom w:val="single" w:sz="4" w:space="0" w:color="auto"/>
            </w:tcBorders>
            <w:shd w:val="clear" w:color="auto" w:fill="E6E6E6"/>
          </w:tcPr>
          <w:p w14:paraId="470CEBA9" w14:textId="77777777" w:rsidR="00ED39C4" w:rsidRPr="004122E6" w:rsidRDefault="00ED39C4" w:rsidP="00035755">
            <w:pPr>
              <w:spacing w:before="60" w:after="60"/>
              <w:jc w:val="both"/>
              <w:rPr>
                <w:noProof/>
                <w:sz w:val="24"/>
                <w:lang w:val="sl-SI"/>
              </w:rPr>
            </w:pPr>
            <w:r w:rsidRPr="004122E6">
              <w:rPr>
                <w:b/>
                <w:noProof/>
                <w:sz w:val="24"/>
                <w:lang w:val="sl-SI"/>
              </w:rPr>
              <w:t>Kakšna je dodana vrednost ukrepanja na ravni EU?</w:t>
            </w:r>
            <w:r w:rsidRPr="004122E6">
              <w:rPr>
                <w:noProof/>
                <w:sz w:val="24"/>
                <w:lang w:val="sl-SI"/>
              </w:rPr>
              <w:t xml:space="preserve"> </w:t>
            </w:r>
          </w:p>
        </w:tc>
      </w:tr>
      <w:tr w:rsidR="00ED39C4" w:rsidRPr="002A1336" w14:paraId="4A05F78E" w14:textId="77777777" w:rsidTr="00035755">
        <w:tc>
          <w:tcPr>
            <w:tcW w:w="9322" w:type="dxa"/>
            <w:tcBorders>
              <w:bottom w:val="single" w:sz="4" w:space="0" w:color="auto"/>
            </w:tcBorders>
            <w:shd w:val="clear" w:color="auto" w:fill="auto"/>
          </w:tcPr>
          <w:p w14:paraId="6F23F6AD" w14:textId="367A2880" w:rsidR="00DD3765" w:rsidRPr="004122E6" w:rsidRDefault="00A655D1" w:rsidP="00DD3765">
            <w:pPr>
              <w:spacing w:before="120"/>
              <w:jc w:val="both"/>
              <w:rPr>
                <w:noProof/>
                <w:color w:val="000000" w:themeColor="text1"/>
                <w:sz w:val="24"/>
                <w:lang w:val="sl-SI"/>
              </w:rPr>
            </w:pPr>
            <w:r w:rsidRPr="004122E6">
              <w:rPr>
                <w:noProof/>
                <w:color w:val="000000" w:themeColor="text1"/>
                <w:sz w:val="24"/>
                <w:lang w:val="sl-SI"/>
              </w:rPr>
              <w:t xml:space="preserve">Ukrepanje na ravni EU je upravičeno za zagotavljanje nemotenega delovanja enotnega trga v kriznih razmerah. </w:t>
            </w:r>
          </w:p>
          <w:p w14:paraId="582978A3" w14:textId="1990AD8D" w:rsidR="00ED39C4" w:rsidRPr="004122E6" w:rsidRDefault="00A655D1" w:rsidP="00196F0B">
            <w:pPr>
              <w:spacing w:before="120" w:after="120"/>
              <w:jc w:val="both"/>
              <w:rPr>
                <w:noProof/>
                <w:color w:val="000000" w:themeColor="text1"/>
                <w:sz w:val="24"/>
                <w:lang w:val="sl-SI"/>
              </w:rPr>
            </w:pPr>
            <w:r w:rsidRPr="004122E6">
              <w:rPr>
                <w:noProof/>
                <w:color w:val="000000" w:themeColor="text1"/>
                <w:sz w:val="24"/>
                <w:lang w:val="sl-SI"/>
              </w:rPr>
              <w:t>Trenutno lahko države EU ukrepajo le na nacionalni ravni (tj. s prisilnim licenciranjem na svojem ozemlju). To bi morda zadoščalo za nacionalne krize. Vendar pa ne bo optimalno, če bo imela kriza čezmejno razsežnost, kar je zelo verjetno zaradi razširjenosti dobavnih verig, ki zajemajo več držav na enotnem trgu.</w:t>
            </w:r>
          </w:p>
        </w:tc>
      </w:tr>
      <w:tr w:rsidR="00ED39C4" w:rsidRPr="004122E6" w14:paraId="5781471D" w14:textId="77777777" w:rsidTr="00035755">
        <w:tc>
          <w:tcPr>
            <w:tcW w:w="9322" w:type="dxa"/>
            <w:tcBorders>
              <w:bottom w:val="single" w:sz="4" w:space="0" w:color="auto"/>
            </w:tcBorders>
            <w:shd w:val="clear" w:color="auto" w:fill="CCCCCC"/>
          </w:tcPr>
          <w:p w14:paraId="61F6E377" w14:textId="77777777" w:rsidR="00ED39C4" w:rsidRPr="004122E6" w:rsidRDefault="00ED39C4" w:rsidP="00035755">
            <w:pPr>
              <w:spacing w:before="60" w:after="60"/>
              <w:jc w:val="center"/>
              <w:rPr>
                <w:b/>
                <w:noProof/>
                <w:sz w:val="24"/>
                <w:lang w:val="sl-SI"/>
              </w:rPr>
            </w:pPr>
            <w:r w:rsidRPr="004122E6">
              <w:rPr>
                <w:b/>
                <w:noProof/>
                <w:sz w:val="24"/>
                <w:lang w:val="sl-SI"/>
              </w:rPr>
              <w:t>B. Rešitve</w:t>
            </w:r>
          </w:p>
        </w:tc>
      </w:tr>
      <w:tr w:rsidR="00ED39C4" w:rsidRPr="004122E6" w14:paraId="1C1124CB" w14:textId="77777777" w:rsidTr="00035755">
        <w:tc>
          <w:tcPr>
            <w:tcW w:w="9322" w:type="dxa"/>
            <w:tcBorders>
              <w:bottom w:val="single" w:sz="4" w:space="0" w:color="auto"/>
            </w:tcBorders>
            <w:shd w:val="clear" w:color="auto" w:fill="E6E6E6"/>
          </w:tcPr>
          <w:p w14:paraId="1591F92E" w14:textId="77777777" w:rsidR="00ED39C4" w:rsidRPr="004122E6" w:rsidRDefault="00ED39C4" w:rsidP="00035755">
            <w:pPr>
              <w:spacing w:before="60"/>
              <w:jc w:val="both"/>
              <w:rPr>
                <w:noProof/>
                <w:sz w:val="24"/>
                <w:lang w:val="sl-SI"/>
              </w:rPr>
            </w:pPr>
            <w:r w:rsidRPr="004122E6">
              <w:rPr>
                <w:b/>
                <w:noProof/>
                <w:sz w:val="24"/>
                <w:lang w:val="sl-SI"/>
              </w:rPr>
              <w:t>Katere zakonodajne in nezakonodajne možnosti politike so bile obravnavane? Ali je katera od njih prednostna? Zakaj?</w:t>
            </w:r>
            <w:r w:rsidRPr="004122E6">
              <w:rPr>
                <w:noProof/>
                <w:sz w:val="24"/>
                <w:lang w:val="sl-SI"/>
              </w:rPr>
              <w:t xml:space="preserve"> </w:t>
            </w:r>
          </w:p>
        </w:tc>
      </w:tr>
      <w:tr w:rsidR="00ED39C4" w:rsidRPr="002A1336" w14:paraId="15774AD8" w14:textId="77777777" w:rsidTr="00035755">
        <w:tc>
          <w:tcPr>
            <w:tcW w:w="9322" w:type="dxa"/>
            <w:tcBorders>
              <w:bottom w:val="single" w:sz="4" w:space="0" w:color="auto"/>
            </w:tcBorders>
            <w:shd w:val="clear" w:color="auto" w:fill="auto"/>
          </w:tcPr>
          <w:p w14:paraId="528AD7AA" w14:textId="14D45E57" w:rsidR="000A720D" w:rsidRPr="004122E6" w:rsidRDefault="000A720D" w:rsidP="00196F0B">
            <w:pPr>
              <w:pStyle w:val="ListParagraph"/>
              <w:numPr>
                <w:ilvl w:val="0"/>
                <w:numId w:val="3"/>
              </w:numPr>
              <w:spacing w:before="120" w:after="120"/>
              <w:ind w:left="284" w:hanging="284"/>
              <w:contextualSpacing w:val="0"/>
              <w:jc w:val="both"/>
              <w:rPr>
                <w:b/>
                <w:noProof/>
                <w:sz w:val="24"/>
                <w:lang w:val="sl-SI"/>
              </w:rPr>
            </w:pPr>
            <w:r w:rsidRPr="004122E6">
              <w:rPr>
                <w:noProof/>
                <w:sz w:val="24"/>
                <w:lang w:val="sl-SI"/>
              </w:rPr>
              <w:t xml:space="preserve">Možnost 0: </w:t>
            </w:r>
            <w:r w:rsidRPr="004122E6">
              <w:rPr>
                <w:b/>
                <w:noProof/>
                <w:sz w:val="24"/>
                <w:lang w:val="sl-SI"/>
              </w:rPr>
              <w:t>brez spremembe politike.</w:t>
            </w:r>
          </w:p>
          <w:p w14:paraId="0E90993A" w14:textId="61DDD091" w:rsidR="000A720D" w:rsidRPr="004122E6" w:rsidRDefault="000A720D" w:rsidP="00196F0B">
            <w:pPr>
              <w:pStyle w:val="ListParagraph"/>
              <w:numPr>
                <w:ilvl w:val="0"/>
                <w:numId w:val="3"/>
              </w:numPr>
              <w:spacing w:after="120"/>
              <w:ind w:left="284" w:hanging="284"/>
              <w:contextualSpacing w:val="0"/>
              <w:jc w:val="both"/>
              <w:rPr>
                <w:noProof/>
                <w:sz w:val="24"/>
                <w:lang w:val="sl-SI"/>
              </w:rPr>
            </w:pPr>
            <w:r w:rsidRPr="004122E6">
              <w:rPr>
                <w:noProof/>
                <w:sz w:val="24"/>
                <w:lang w:val="sl-SI"/>
              </w:rPr>
              <w:t xml:space="preserve">Možnost 1: </w:t>
            </w:r>
            <w:r w:rsidRPr="004122E6">
              <w:rPr>
                <w:rStyle w:val="normaltextrun"/>
                <w:b/>
                <w:noProof/>
                <w:sz w:val="24"/>
                <w:lang w:val="sl-SI"/>
              </w:rPr>
              <w:t>priporočilo o prisilnem licenciranju za krizno upravljanje</w:t>
            </w:r>
            <w:r w:rsidRPr="004122E6">
              <w:rPr>
                <w:rStyle w:val="normaltextrun"/>
                <w:noProof/>
                <w:sz w:val="24"/>
                <w:lang w:val="sl-SI"/>
              </w:rPr>
              <w:t>.</w:t>
            </w:r>
            <w:r w:rsidRPr="004122E6">
              <w:rPr>
                <w:noProof/>
                <w:sz w:val="24"/>
                <w:lang w:val="sl-SI"/>
              </w:rPr>
              <w:t xml:space="preserve"> S tem </w:t>
            </w:r>
            <w:r w:rsidRPr="004122E6">
              <w:rPr>
                <w:rStyle w:val="normaltextrun"/>
                <w:noProof/>
                <w:sz w:val="24"/>
                <w:lang w:val="sl-SI"/>
              </w:rPr>
              <w:t>bi se opredelile (i) dobre nacionalne prakse za prisilno licenciranje v okviru kriznega upravljanja in (ii) dobre prakse usklajevanja za povečanje njihove uporabe v vseh državah EU.</w:t>
            </w:r>
          </w:p>
          <w:p w14:paraId="43B773E4" w14:textId="0CA34824" w:rsidR="000A720D" w:rsidRPr="004122E6" w:rsidRDefault="00445A91" w:rsidP="00196F0B">
            <w:pPr>
              <w:pStyle w:val="ListParagraph"/>
              <w:numPr>
                <w:ilvl w:val="0"/>
                <w:numId w:val="3"/>
              </w:numPr>
              <w:spacing w:after="120"/>
              <w:ind w:left="284" w:hanging="284"/>
              <w:contextualSpacing w:val="0"/>
              <w:jc w:val="both"/>
              <w:rPr>
                <w:noProof/>
                <w:sz w:val="24"/>
                <w:lang w:val="sl-SI"/>
              </w:rPr>
            </w:pPr>
            <w:r w:rsidRPr="004122E6">
              <w:rPr>
                <w:noProof/>
                <w:sz w:val="24"/>
                <w:lang w:val="sl-SI"/>
              </w:rPr>
              <w:t xml:space="preserve">Možnost 2: </w:t>
            </w:r>
            <w:r w:rsidRPr="004122E6">
              <w:rPr>
                <w:rStyle w:val="normaltextrun"/>
                <w:b/>
                <w:noProof/>
                <w:sz w:val="24"/>
                <w:lang w:val="sl-SI"/>
              </w:rPr>
              <w:t>harmonizacija nacionalnih zakonov o prisilnem licenciranju za krizno upravljanje</w:t>
            </w:r>
            <w:r w:rsidRPr="004122E6">
              <w:rPr>
                <w:rStyle w:val="normaltextrun"/>
                <w:noProof/>
                <w:sz w:val="24"/>
                <w:lang w:val="sl-SI"/>
              </w:rPr>
              <w:t>.</w:t>
            </w:r>
            <w:r w:rsidRPr="004122E6">
              <w:rPr>
                <w:noProof/>
                <w:sz w:val="24"/>
                <w:lang w:val="sl-SI"/>
              </w:rPr>
              <w:t xml:space="preserve"> Zakonodajna </w:t>
            </w:r>
            <w:r w:rsidRPr="004122E6">
              <w:rPr>
                <w:rStyle w:val="normaltextrun"/>
                <w:noProof/>
                <w:sz w:val="24"/>
                <w:lang w:val="sl-SI"/>
              </w:rPr>
              <w:t>pobuda bi uskladila nacionalne zakonodaje, kar zadeva razloge, področje uporabe, postopek in pogoje za izdajo prisilne licence za krizno upravljanje. Prisilno licenciranje bi ostalo v pristojnosti države EU in bi imelo pretežno nacionalni učinek.</w:t>
            </w:r>
          </w:p>
          <w:p w14:paraId="55826B71" w14:textId="739B5C4C" w:rsidR="00445A91" w:rsidRPr="004122E6" w:rsidRDefault="00445A91" w:rsidP="00B77299">
            <w:pPr>
              <w:pStyle w:val="ListParagraph"/>
              <w:numPr>
                <w:ilvl w:val="0"/>
                <w:numId w:val="3"/>
              </w:numPr>
              <w:spacing w:after="120"/>
              <w:ind w:left="284"/>
              <w:contextualSpacing w:val="0"/>
              <w:rPr>
                <w:noProof/>
                <w:sz w:val="24"/>
                <w:lang w:val="sl-SI"/>
              </w:rPr>
            </w:pPr>
            <w:r w:rsidRPr="004122E6">
              <w:rPr>
                <w:noProof/>
                <w:sz w:val="24"/>
                <w:lang w:val="sl-SI"/>
              </w:rPr>
              <w:t>Možnost 3</w:t>
            </w:r>
            <w:r w:rsidRPr="004122E6">
              <w:rPr>
                <w:rStyle w:val="normaltextrun"/>
                <w:b/>
                <w:noProof/>
                <w:sz w:val="22"/>
                <w:lang w:val="sl-SI"/>
              </w:rPr>
              <w:t xml:space="preserve">: </w:t>
            </w:r>
            <w:r w:rsidRPr="004122E6">
              <w:rPr>
                <w:rStyle w:val="normaltextrun"/>
                <w:b/>
                <w:noProof/>
                <w:sz w:val="24"/>
                <w:lang w:val="sl-SI"/>
              </w:rPr>
              <w:t>harmonizacija in zavezujoč ukrep na ravni EU o prisilnem licenciranju</w:t>
            </w:r>
            <w:r w:rsidRPr="004122E6">
              <w:rPr>
                <w:rStyle w:val="eop"/>
                <w:b/>
                <w:noProof/>
                <w:sz w:val="24"/>
                <w:lang w:val="sl-SI"/>
              </w:rPr>
              <w:t> za krizno upravljanje</w:t>
            </w:r>
            <w:r w:rsidRPr="004122E6">
              <w:rPr>
                <w:noProof/>
                <w:sz w:val="24"/>
                <w:lang w:val="sl-SI"/>
              </w:rPr>
              <w:t xml:space="preserve">. </w:t>
            </w:r>
            <w:r w:rsidRPr="004122E6">
              <w:rPr>
                <w:rStyle w:val="normaltextrun"/>
                <w:noProof/>
                <w:sz w:val="24"/>
                <w:lang w:val="sl-SI"/>
              </w:rPr>
              <w:t xml:space="preserve">Prisilno licenciranje se lahko sproži: </w:t>
            </w:r>
            <w:r w:rsidRPr="004122E6">
              <w:rPr>
                <w:noProof/>
                <w:lang w:val="sl-SI"/>
              </w:rPr>
              <w:t xml:space="preserve"> </w:t>
            </w:r>
            <w:r w:rsidRPr="004122E6">
              <w:rPr>
                <w:noProof/>
                <w:lang w:val="sl-SI"/>
              </w:rPr>
              <w:cr/>
            </w:r>
            <w:r w:rsidRPr="004122E6">
              <w:rPr>
                <w:noProof/>
                <w:lang w:val="sl-SI"/>
              </w:rPr>
              <w:br/>
            </w:r>
            <w:r w:rsidRPr="004122E6">
              <w:rPr>
                <w:rStyle w:val="normaltextrun"/>
                <w:noProof/>
                <w:sz w:val="24"/>
                <w:lang w:val="sl-SI"/>
              </w:rPr>
              <w:t>(i)</w:t>
            </w:r>
            <w:r w:rsidRPr="004122E6">
              <w:rPr>
                <w:noProof/>
                <w:sz w:val="24"/>
                <w:lang w:val="sl-SI"/>
              </w:rPr>
              <w:t xml:space="preserve"> z odločitvijo na ravni EU, s katero se aktivira krizni način ali razglasijo izredne razmere v okviru obstoječega kriznega instrumenta EU (npr. aktivacija načina izrednih razmer v okviru instrumenta za izredne razmere na enotnem trgu);</w:t>
            </w:r>
            <w:r w:rsidRPr="004122E6">
              <w:rPr>
                <w:noProof/>
                <w:lang w:val="sl-SI"/>
              </w:rPr>
              <w:t xml:space="preserve"> </w:t>
            </w:r>
            <w:r w:rsidRPr="004122E6">
              <w:rPr>
                <w:noProof/>
                <w:lang w:val="sl-SI"/>
              </w:rPr>
              <w:cr/>
            </w:r>
            <w:r w:rsidRPr="004122E6">
              <w:rPr>
                <w:noProof/>
                <w:lang w:val="sl-SI"/>
              </w:rPr>
              <w:br/>
            </w:r>
            <w:r w:rsidRPr="004122E6">
              <w:rPr>
                <w:noProof/>
                <w:sz w:val="24"/>
                <w:lang w:val="sl-SI"/>
              </w:rPr>
              <w:t>(ii) na zahtevo, ki jo Komisiji predloži več kot ena država EU, v primeru krize, ki prizadene več držav. Komisija</w:t>
            </w:r>
            <w:r w:rsidRPr="004122E6">
              <w:rPr>
                <w:noProof/>
                <w:lang w:val="sl-SI"/>
              </w:rPr>
              <w:t xml:space="preserve"> ob </w:t>
            </w:r>
            <w:bookmarkStart w:id="4" w:name="_Hlk123809315"/>
            <w:r w:rsidRPr="004122E6">
              <w:rPr>
                <w:noProof/>
                <w:sz w:val="24"/>
                <w:lang w:val="sl-SI"/>
              </w:rPr>
              <w:t>pomoči ustreznega svetovalnega</w:t>
            </w:r>
            <w:bookmarkEnd w:id="4"/>
            <w:r w:rsidRPr="004122E6">
              <w:rPr>
                <w:noProof/>
                <w:lang w:val="sl-SI"/>
              </w:rPr>
              <w:t xml:space="preserve"> </w:t>
            </w:r>
            <w:r w:rsidRPr="004122E6">
              <w:rPr>
                <w:noProof/>
                <w:sz w:val="24"/>
                <w:lang w:val="sl-SI"/>
              </w:rPr>
              <w:t xml:space="preserve">organa sprejme aktivacijski ukrep, ki od ene ali več držav EU zahteva izdajo prisilne licence. </w:t>
            </w:r>
            <w:r w:rsidRPr="004122E6">
              <w:rPr>
                <w:rStyle w:val="normaltextrun"/>
                <w:noProof/>
                <w:sz w:val="24"/>
                <w:lang w:val="sl-SI"/>
              </w:rPr>
              <w:t>Ta možnost bi privedla do več nacionalnih prisilnih licenc, od katerih bi vsaka veljala za ozemlje več držav EU ali za celotno EU.</w:t>
            </w:r>
          </w:p>
          <w:p w14:paraId="401BF654" w14:textId="3A2B1B8C" w:rsidR="00A80447" w:rsidRPr="004122E6" w:rsidRDefault="00F940CC" w:rsidP="005A5B3E">
            <w:pPr>
              <w:pStyle w:val="ListParagraph"/>
              <w:numPr>
                <w:ilvl w:val="0"/>
                <w:numId w:val="3"/>
              </w:numPr>
              <w:spacing w:after="120"/>
              <w:ind w:left="284" w:hanging="284"/>
              <w:contextualSpacing w:val="0"/>
              <w:jc w:val="both"/>
              <w:rPr>
                <w:noProof/>
                <w:sz w:val="24"/>
                <w:lang w:val="sl-SI"/>
              </w:rPr>
            </w:pPr>
            <w:r w:rsidRPr="004122E6">
              <w:rPr>
                <w:noProof/>
                <w:sz w:val="24"/>
                <w:lang w:val="sl-SI"/>
              </w:rPr>
              <w:t xml:space="preserve">Možnost 4: </w:t>
            </w:r>
            <w:r w:rsidRPr="004122E6">
              <w:rPr>
                <w:b/>
                <w:noProof/>
                <w:sz w:val="24"/>
                <w:lang w:val="sl-SI"/>
              </w:rPr>
              <w:t>prisilno licenciranje na ravni EU, ki bi dopolnjevalo obstoječe krizne instrumente EU</w:t>
            </w:r>
            <w:r w:rsidRPr="004122E6">
              <w:rPr>
                <w:noProof/>
                <w:sz w:val="24"/>
                <w:lang w:val="sl-SI"/>
              </w:rPr>
              <w:t xml:space="preserve">: Sprožila bi bila enaka kot pri možnosti 3. Vendar bi Komisija ob pomoči ustreznega svetovalnega organa sprejela aktivacijski ukrep, s katerim bi podelila </w:t>
            </w:r>
            <w:r w:rsidRPr="004122E6">
              <w:rPr>
                <w:rStyle w:val="normaltextrun"/>
                <w:noProof/>
                <w:sz w:val="24"/>
                <w:lang w:val="sl-SI"/>
              </w:rPr>
              <w:t>prisilno licenco</w:t>
            </w:r>
            <w:r w:rsidRPr="004122E6">
              <w:rPr>
                <w:noProof/>
                <w:sz w:val="24"/>
                <w:lang w:val="sl-SI"/>
              </w:rPr>
              <w:t xml:space="preserve">. </w:t>
            </w:r>
            <w:r w:rsidRPr="004122E6">
              <w:rPr>
                <w:rStyle w:val="normaltextrun"/>
                <w:noProof/>
                <w:sz w:val="24"/>
                <w:lang w:val="sl-SI"/>
              </w:rPr>
              <w:t>Pri tej možnosti bi Komisija izdala eno samo prisilno licenco z lastnim postopkom in pogoji, ki bi se uporabljala na ozemlju več držav EU ali celotne EU.</w:t>
            </w:r>
          </w:p>
          <w:p w14:paraId="5DA27FC0" w14:textId="4B9E49FA" w:rsidR="008F168E" w:rsidRPr="004122E6" w:rsidRDefault="00B21751" w:rsidP="00DD3765">
            <w:pPr>
              <w:spacing w:after="120"/>
              <w:jc w:val="both"/>
              <w:rPr>
                <w:b/>
                <w:noProof/>
                <w:sz w:val="24"/>
                <w:lang w:val="sl-SI"/>
              </w:rPr>
            </w:pPr>
            <w:r w:rsidRPr="004122E6">
              <w:rPr>
                <w:noProof/>
                <w:sz w:val="24"/>
                <w:lang w:val="sl-SI"/>
              </w:rPr>
              <w:t xml:space="preserve">Zdi se, da bi bila </w:t>
            </w:r>
            <w:r w:rsidRPr="004122E6">
              <w:rPr>
                <w:b/>
                <w:noProof/>
                <w:sz w:val="24"/>
                <w:lang w:val="sl-SI"/>
              </w:rPr>
              <w:t>možnost 4</w:t>
            </w:r>
            <w:r w:rsidRPr="004122E6">
              <w:rPr>
                <w:noProof/>
                <w:sz w:val="24"/>
                <w:lang w:val="sl-SI"/>
              </w:rPr>
              <w:t xml:space="preserve"> najučinkovitejši in najuspešnejši način za doseganje ciljev te pobude.</w:t>
            </w:r>
            <w:r w:rsidRPr="004122E6">
              <w:rPr>
                <w:b/>
                <w:noProof/>
                <w:sz w:val="24"/>
                <w:lang w:val="sl-SI"/>
              </w:rPr>
              <w:t xml:space="preserve"> </w:t>
            </w:r>
          </w:p>
          <w:p w14:paraId="26E16D04" w14:textId="47FE0151" w:rsidR="008F168E" w:rsidRPr="004122E6" w:rsidRDefault="00F70DA9" w:rsidP="00DD3765">
            <w:pPr>
              <w:spacing w:after="120"/>
              <w:jc w:val="both"/>
              <w:rPr>
                <w:noProof/>
                <w:sz w:val="24"/>
                <w:lang w:val="sl-SI"/>
              </w:rPr>
            </w:pPr>
            <w:r w:rsidRPr="004122E6">
              <w:rPr>
                <w:noProof/>
                <w:sz w:val="24"/>
                <w:lang w:val="sl-SI"/>
              </w:rPr>
              <w:t xml:space="preserve">S to možnostjo </w:t>
            </w:r>
            <w:r w:rsidRPr="004122E6">
              <w:rPr>
                <w:noProof/>
                <w:color w:val="000000" w:themeColor="text1"/>
                <w:sz w:val="24"/>
                <w:lang w:val="sl-SI"/>
              </w:rPr>
              <w:t>bi se uvedel</w:t>
            </w:r>
            <w:r w:rsidRPr="004122E6">
              <w:rPr>
                <w:noProof/>
                <w:sz w:val="24"/>
                <w:lang w:val="sl-SI"/>
              </w:rPr>
              <w:t xml:space="preserve"> enoten postopek za podelitev prisilne licence na ravni EU z značilnostmi, potrebnimi za soočanje s krizo. Aktivacijski ukrep Komisije bi zagotovil enake pogoje po vsej EU in preprečil nacionalne razlike, ki bi lahko upočasnile ali preprečile soočanje učinkovitega sistema prisilnega licenciranja s čezmejnimi krizami. </w:t>
            </w:r>
          </w:p>
          <w:p w14:paraId="66458E77" w14:textId="2C315C82" w:rsidR="00ED39C4" w:rsidRPr="004122E6" w:rsidRDefault="00F70DA9" w:rsidP="005A5B3E">
            <w:pPr>
              <w:spacing w:after="120"/>
              <w:jc w:val="both"/>
              <w:rPr>
                <w:noProof/>
                <w:sz w:val="24"/>
                <w:lang w:val="sl-SI"/>
              </w:rPr>
            </w:pPr>
            <w:r w:rsidRPr="004122E6">
              <w:rPr>
                <w:noProof/>
                <w:sz w:val="24"/>
                <w:lang w:val="sl-SI"/>
              </w:rPr>
              <w:t xml:space="preserve">Ta enotna prisilna licenca bi se uporabljala na vseh zadevnih ozemljih in bi tako zajemala čezmejne primere. To bi veljalo tako za trg EU kot za izvoz. Skladnost s kriznimi instrumenti EU bi bila zagotovljena z možnostjo njihove uporabe za sprožitev postopka licenciranja in s sklicevanjem na (svetovalna) telesa, ustanovljena z navedenimi instrumenti za razpravo o prisilni licenci na ravni EU. </w:t>
            </w:r>
          </w:p>
        </w:tc>
      </w:tr>
      <w:tr w:rsidR="00ED39C4" w:rsidRPr="004122E6" w14:paraId="4C13EB96" w14:textId="77777777" w:rsidTr="00035755">
        <w:tc>
          <w:tcPr>
            <w:tcW w:w="9322" w:type="dxa"/>
            <w:shd w:val="clear" w:color="auto" w:fill="CCCCCC"/>
          </w:tcPr>
          <w:p w14:paraId="1C7EEB41" w14:textId="77777777" w:rsidR="00ED39C4" w:rsidRPr="004122E6" w:rsidRDefault="00ED39C4" w:rsidP="00035755">
            <w:pPr>
              <w:spacing w:before="60"/>
              <w:jc w:val="both"/>
              <w:rPr>
                <w:noProof/>
                <w:sz w:val="24"/>
                <w:lang w:val="sl-SI"/>
              </w:rPr>
            </w:pPr>
            <w:r w:rsidRPr="004122E6">
              <w:rPr>
                <w:b/>
                <w:noProof/>
                <w:sz w:val="24"/>
                <w:lang w:val="sl-SI"/>
              </w:rPr>
              <w:t>Kdo podpira katero možnost?</w:t>
            </w:r>
            <w:r w:rsidRPr="004122E6">
              <w:rPr>
                <w:noProof/>
                <w:sz w:val="24"/>
                <w:lang w:val="sl-SI"/>
              </w:rPr>
              <w:t xml:space="preserve"> </w:t>
            </w:r>
          </w:p>
        </w:tc>
      </w:tr>
      <w:tr w:rsidR="00ED39C4" w:rsidRPr="002A1336" w14:paraId="1E7E3E78" w14:textId="77777777" w:rsidTr="00035755">
        <w:tc>
          <w:tcPr>
            <w:tcW w:w="9322" w:type="dxa"/>
            <w:shd w:val="clear" w:color="auto" w:fill="auto"/>
          </w:tcPr>
          <w:p w14:paraId="6E6FC322" w14:textId="0D9DEB76" w:rsidR="008F168E" w:rsidRPr="004122E6" w:rsidRDefault="00A075DE" w:rsidP="005A5B3E">
            <w:pPr>
              <w:pStyle w:val="Bullets"/>
              <w:spacing w:after="120"/>
              <w:rPr>
                <w:noProof/>
                <w:lang w:val="sl-SI"/>
              </w:rPr>
            </w:pPr>
            <w:r w:rsidRPr="004122E6">
              <w:rPr>
                <w:noProof/>
                <w:lang w:val="sl-SI"/>
              </w:rPr>
              <w:t xml:space="preserve">Rezultati javnega posvetovanja so pokazali, da velika večina (82 %, N = 61) anketirancev meni, da bi morali imeti javni organi pravico dovoliti proizvodnjo kritičnega blaga s prisilno licenco. </w:t>
            </w:r>
          </w:p>
          <w:p w14:paraId="5F875201" w14:textId="6C836856" w:rsidR="008F168E" w:rsidRPr="004122E6" w:rsidRDefault="00883D34" w:rsidP="008F168E">
            <w:pPr>
              <w:pStyle w:val="Bullets"/>
              <w:spacing w:after="120"/>
              <w:rPr>
                <w:noProof/>
                <w:lang w:val="sl-SI"/>
              </w:rPr>
            </w:pPr>
            <w:r w:rsidRPr="004122E6">
              <w:rPr>
                <w:noProof/>
                <w:lang w:val="sl-SI"/>
              </w:rPr>
              <w:t xml:space="preserve">Anketiranci so običajno manj naklonjeni odločevalski vlogi evropskih institucij (28 %, N = 21) v primerjavi z usklajevalno vlogo (36 %, N = 27). To je mogoče pojasniti z dejstvom, da so podjetja in predstavniki industrije izrazili nizko stopnjo podpore v zvezi s tem, čeprav so bili prevladujoča skupina anketirancev v posvetovanju (54 % vseh udeležencev). </w:t>
            </w:r>
          </w:p>
          <w:p w14:paraId="15D289C5" w14:textId="51D17997" w:rsidR="008F168E" w:rsidRPr="004122E6" w:rsidRDefault="00A075DE" w:rsidP="008F168E">
            <w:pPr>
              <w:pStyle w:val="Bullets"/>
              <w:spacing w:after="120"/>
              <w:rPr>
                <w:noProof/>
                <w:lang w:val="sl-SI"/>
              </w:rPr>
            </w:pPr>
            <w:r w:rsidRPr="004122E6">
              <w:rPr>
                <w:noProof/>
                <w:lang w:val="sl-SI"/>
              </w:rPr>
              <w:t xml:space="preserve">Kljub temu deležniki na splošno menijo, da je možnost podelitve prisilne licence na ravni EU, kar zadeva sposobnosti EU za soočanje s krizo, bolj pozitivna (35 %, N = 26) kot podelitev prisilne licence na nacionalni ravni (11 %, N = 8). </w:t>
            </w:r>
          </w:p>
          <w:p w14:paraId="7D1EB7CD" w14:textId="153D4A64" w:rsidR="00ED39C4" w:rsidRPr="004122E6" w:rsidRDefault="00A075DE" w:rsidP="005A5B3E">
            <w:pPr>
              <w:pStyle w:val="Bullets"/>
              <w:spacing w:after="120"/>
              <w:rPr>
                <w:noProof/>
                <w:lang w:val="sl-SI"/>
              </w:rPr>
            </w:pPr>
            <w:r w:rsidRPr="004122E6">
              <w:rPr>
                <w:noProof/>
                <w:lang w:val="sl-SI"/>
              </w:rPr>
              <w:t>Med deležniki obstaja veliko nasprotje, saj je podpora tej možnosti med predstavniki industrije prav tako nizka: večina (približno 50 %) podjetij in poslovnih združenj meni, da bi bil učinek negativen. Nasprotno pa noben anketiranec v drugih kategorijah ne meni, da bi bil učinek negativen. Velika večina (65 %, N = 22) ga ocenjuje pozitivno (4 % menijo, da bi bil učinek nevtralen, preostali pa niso odgovorili).</w:t>
            </w:r>
          </w:p>
        </w:tc>
      </w:tr>
      <w:tr w:rsidR="00ED39C4" w:rsidRPr="004122E6" w14:paraId="69C348D4" w14:textId="77777777" w:rsidTr="00035755">
        <w:tc>
          <w:tcPr>
            <w:tcW w:w="9322" w:type="dxa"/>
            <w:tcBorders>
              <w:bottom w:val="single" w:sz="4" w:space="0" w:color="auto"/>
            </w:tcBorders>
            <w:shd w:val="clear" w:color="auto" w:fill="CCCCCC"/>
          </w:tcPr>
          <w:p w14:paraId="6C2F32F8" w14:textId="77777777" w:rsidR="00ED39C4" w:rsidRPr="004122E6" w:rsidRDefault="00ED39C4" w:rsidP="00035755">
            <w:pPr>
              <w:spacing w:before="60" w:after="60"/>
              <w:jc w:val="center"/>
              <w:rPr>
                <w:b/>
                <w:noProof/>
                <w:sz w:val="24"/>
                <w:lang w:val="sl-SI"/>
              </w:rPr>
            </w:pPr>
            <w:r w:rsidRPr="004122E6">
              <w:rPr>
                <w:b/>
                <w:noProof/>
                <w:sz w:val="24"/>
                <w:lang w:val="sl-SI"/>
              </w:rPr>
              <w:t>C. Učinki prednostne možnosti</w:t>
            </w:r>
          </w:p>
        </w:tc>
      </w:tr>
      <w:tr w:rsidR="00ED39C4" w:rsidRPr="004122E6" w14:paraId="0E124F05" w14:textId="77777777" w:rsidTr="00035755">
        <w:tc>
          <w:tcPr>
            <w:tcW w:w="9322" w:type="dxa"/>
            <w:tcBorders>
              <w:bottom w:val="single" w:sz="4" w:space="0" w:color="auto"/>
            </w:tcBorders>
            <w:shd w:val="clear" w:color="auto" w:fill="E6E6E6"/>
          </w:tcPr>
          <w:p w14:paraId="03CDED39" w14:textId="77777777" w:rsidR="00ED39C4" w:rsidRPr="004122E6" w:rsidRDefault="00ED39C4" w:rsidP="00035755">
            <w:pPr>
              <w:spacing w:before="60" w:after="60"/>
              <w:jc w:val="both"/>
              <w:rPr>
                <w:noProof/>
                <w:sz w:val="24"/>
                <w:lang w:val="sl-SI"/>
              </w:rPr>
            </w:pPr>
            <w:r w:rsidRPr="004122E6">
              <w:rPr>
                <w:b/>
                <w:noProof/>
                <w:sz w:val="24"/>
                <w:lang w:val="sl-SI"/>
              </w:rPr>
              <w:t>Kakšne so koristi prednostne možnosti (če obstaja, sicer glavnih možnosti)?</w:t>
            </w:r>
            <w:r w:rsidRPr="004122E6">
              <w:rPr>
                <w:noProof/>
                <w:sz w:val="24"/>
                <w:lang w:val="sl-SI"/>
              </w:rPr>
              <w:t xml:space="preserve"> </w:t>
            </w:r>
          </w:p>
        </w:tc>
      </w:tr>
      <w:tr w:rsidR="00ED39C4" w:rsidRPr="002A1336" w14:paraId="39C79296" w14:textId="77777777" w:rsidTr="00035755">
        <w:tc>
          <w:tcPr>
            <w:tcW w:w="9322" w:type="dxa"/>
            <w:tcBorders>
              <w:bottom w:val="single" w:sz="4" w:space="0" w:color="auto"/>
            </w:tcBorders>
            <w:shd w:val="clear" w:color="auto" w:fill="auto"/>
          </w:tcPr>
          <w:p w14:paraId="3517FEEC" w14:textId="74C5267A" w:rsidR="00796786" w:rsidRPr="004122E6" w:rsidRDefault="00796786" w:rsidP="005A5B3E">
            <w:pPr>
              <w:pStyle w:val="Body"/>
              <w:spacing w:before="120" w:after="120"/>
              <w:rPr>
                <w:rFonts w:ascii="Times New Roman" w:hAnsi="Times New Roman"/>
                <w:noProof/>
                <w:sz w:val="24"/>
                <w:lang w:val="sl-SI"/>
              </w:rPr>
            </w:pPr>
            <w:r w:rsidRPr="004122E6">
              <w:rPr>
                <w:rFonts w:ascii="Times New Roman" w:hAnsi="Times New Roman"/>
                <w:noProof/>
                <w:sz w:val="24"/>
                <w:lang w:val="sl-SI"/>
              </w:rPr>
              <w:t>Prednostna možnost bi v celoti obravnavala vse tri opredeljene težave in cilje. In sicer bi:</w:t>
            </w:r>
          </w:p>
          <w:p w14:paraId="4F1506FD" w14:textId="5FAB7322" w:rsidR="00796786" w:rsidRPr="004122E6" w:rsidRDefault="00796786" w:rsidP="005A5B3E">
            <w:pPr>
              <w:pStyle w:val="Body"/>
              <w:spacing w:after="120"/>
              <w:rPr>
                <w:rFonts w:ascii="Times New Roman" w:hAnsi="Times New Roman"/>
                <w:noProof/>
                <w:sz w:val="24"/>
                <w:lang w:val="sl-SI"/>
              </w:rPr>
            </w:pPr>
            <w:r w:rsidRPr="004122E6">
              <w:rPr>
                <w:rFonts w:ascii="Times New Roman" w:hAnsi="Times New Roman"/>
                <w:noProof/>
                <w:sz w:val="24"/>
                <w:lang w:val="sl-SI"/>
              </w:rPr>
              <w:t>(i) Komisiji zagotovila pravico, da neposredno podeli prisilno licenco in določi pogoje, pod katerimi se ta licenca podeli. Ti pogoji bi bili enaki za vsa ozemlja, na katerih se licenca uporablja. To bi zagotovilo optimalno jasnost in doslednost pogojev za licenco;</w:t>
            </w:r>
          </w:p>
          <w:p w14:paraId="3FBCE452" w14:textId="3C445B6A" w:rsidR="00796786" w:rsidRPr="004122E6" w:rsidRDefault="00796786" w:rsidP="005A5B3E">
            <w:pPr>
              <w:pStyle w:val="Body"/>
              <w:spacing w:after="120"/>
              <w:rPr>
                <w:rFonts w:ascii="Times New Roman" w:hAnsi="Times New Roman"/>
                <w:noProof/>
                <w:sz w:val="24"/>
                <w:lang w:val="sl-SI"/>
              </w:rPr>
            </w:pPr>
            <w:r w:rsidRPr="004122E6">
              <w:rPr>
                <w:rFonts w:ascii="Times New Roman" w:hAnsi="Times New Roman"/>
                <w:noProof/>
                <w:sz w:val="24"/>
                <w:lang w:val="sl-SI"/>
              </w:rPr>
              <w:t>(ii) zagotovila optimalno rešitev glede ozemeljskega področja uporabe licence. Ena sama prisilna licenca bi veljala za vse države EU, ki jih je prizadela kriza, in vse države EU z ustreznimi proizvodnimi zmogljivostmi.</w:t>
            </w:r>
          </w:p>
          <w:p w14:paraId="4072F131" w14:textId="6306D510" w:rsidR="00161EE9" w:rsidRPr="004122E6" w:rsidRDefault="00796786" w:rsidP="005A5B3E">
            <w:pPr>
              <w:pStyle w:val="Body"/>
              <w:spacing w:after="120"/>
              <w:rPr>
                <w:rFonts w:ascii="Times New Roman" w:hAnsi="Times New Roman"/>
                <w:noProof/>
                <w:sz w:val="24"/>
                <w:lang w:val="sl-SI"/>
              </w:rPr>
            </w:pPr>
            <w:r w:rsidRPr="004122E6">
              <w:rPr>
                <w:rFonts w:ascii="Times New Roman" w:hAnsi="Times New Roman"/>
                <w:noProof/>
                <w:sz w:val="24"/>
                <w:lang w:val="sl-SI"/>
              </w:rPr>
              <w:t xml:space="preserve">(iii) dopolnjevala druge krizne instrumente EU: aktivacija kriznega načina s kriznim instrumentom EU, kot je instrument za izredne razmere na enotnem trgu, je lahko sprožilo za podelitev prisilne licence. Zanašanje na obstoječi svetovalni organ, kadar sprožilo izhaja iz kriznega instrumenta EU, zagotavlja tudi optimalno skladnost s kriznimi instrumenti EU. </w:t>
            </w:r>
          </w:p>
          <w:p w14:paraId="27513434" w14:textId="22A63C5C" w:rsidR="008B133C" w:rsidRPr="004122E6" w:rsidRDefault="00A262E0" w:rsidP="008F168E">
            <w:pPr>
              <w:spacing w:after="120"/>
              <w:jc w:val="both"/>
              <w:rPr>
                <w:noProof/>
                <w:sz w:val="24"/>
                <w:lang w:val="sl-SI"/>
              </w:rPr>
            </w:pPr>
            <w:r w:rsidRPr="004122E6">
              <w:rPr>
                <w:noProof/>
                <w:sz w:val="24"/>
                <w:lang w:val="sl-SI"/>
              </w:rPr>
              <w:t xml:space="preserve">Pri prednostni možnosti bi imetniki patentov lahko znižali stroške in zmanjšali pravno negotovost, saj bi bila pogajanja omejena na sodelovanje v enem postopku na ravni EU. </w:t>
            </w:r>
          </w:p>
          <w:p w14:paraId="6241F720" w14:textId="0A58AEEB" w:rsidR="008B133C" w:rsidRPr="004122E6" w:rsidRDefault="00B21751" w:rsidP="008F168E">
            <w:pPr>
              <w:spacing w:after="120"/>
              <w:jc w:val="both"/>
              <w:rPr>
                <w:noProof/>
                <w:sz w:val="24"/>
                <w:lang w:val="sl-SI"/>
              </w:rPr>
            </w:pPr>
            <w:r w:rsidRPr="004122E6">
              <w:rPr>
                <w:noProof/>
                <w:sz w:val="24"/>
                <w:lang w:val="sl-SI"/>
              </w:rPr>
              <w:t xml:space="preserve">Potencialni pridobitelji licenc bi imeli koristi od centraliziranega postopka in širokega ozemeljskega področja uporabe licence, kar bi ustvarilo ekonomijo obsega. </w:t>
            </w:r>
          </w:p>
          <w:p w14:paraId="2EC756F6" w14:textId="06C6C873" w:rsidR="008B133C" w:rsidRPr="004122E6" w:rsidRDefault="00B21751" w:rsidP="008F168E">
            <w:pPr>
              <w:spacing w:after="120"/>
              <w:jc w:val="both"/>
              <w:rPr>
                <w:noProof/>
                <w:sz w:val="24"/>
                <w:lang w:val="sl-SI"/>
              </w:rPr>
            </w:pPr>
            <w:r w:rsidRPr="004122E6">
              <w:rPr>
                <w:noProof/>
                <w:sz w:val="24"/>
                <w:lang w:val="sl-SI"/>
              </w:rPr>
              <w:t xml:space="preserve">Boljša izmenjava informacij bi omogočila tudi znižanju stroškov za države EU, saj bi lahko pomagala opredeliti dobre prakse. </w:t>
            </w:r>
          </w:p>
          <w:p w14:paraId="7014A2B8" w14:textId="5643A4C3" w:rsidR="008B133C" w:rsidRPr="004122E6" w:rsidRDefault="006B45C9" w:rsidP="008F168E">
            <w:pPr>
              <w:spacing w:after="120"/>
              <w:jc w:val="both"/>
              <w:rPr>
                <w:noProof/>
                <w:sz w:val="24"/>
                <w:lang w:val="sl-SI"/>
              </w:rPr>
            </w:pPr>
            <w:r w:rsidRPr="004122E6">
              <w:rPr>
                <w:noProof/>
                <w:sz w:val="24"/>
                <w:lang w:val="sl-SI"/>
              </w:rPr>
              <w:t xml:space="preserve">V zvezi s stroški izvrševanja bi imele države EU koristi od centraliziranega postopka, saj bi stroški, povezani s pogajanji z lastniki patentov in proizvajalci, nastali izključno na ravni EU. </w:t>
            </w:r>
          </w:p>
          <w:p w14:paraId="45F07A12" w14:textId="32F31580" w:rsidR="008B133C" w:rsidRPr="004122E6" w:rsidRDefault="006B45C9" w:rsidP="008F168E">
            <w:pPr>
              <w:spacing w:after="120"/>
              <w:jc w:val="both"/>
              <w:rPr>
                <w:noProof/>
                <w:sz w:val="24"/>
                <w:lang w:val="sl-SI"/>
              </w:rPr>
            </w:pPr>
            <w:r w:rsidRPr="004122E6">
              <w:rPr>
                <w:noProof/>
                <w:sz w:val="24"/>
                <w:lang w:val="sl-SI"/>
              </w:rPr>
              <w:t xml:space="preserve">Prednostna možnost bi zelo koristila državljanom EU, saj bi izboljšala zmožnost EU, da izda učinkovito in uspešno prisilno licenco za celotno EU, tudi v primeru čezmejnih motenj v dobavni verigi. </w:t>
            </w:r>
          </w:p>
          <w:p w14:paraId="04D78509" w14:textId="567D0493" w:rsidR="006B45C9" w:rsidRPr="004122E6" w:rsidRDefault="008B133C" w:rsidP="005A5B3E">
            <w:pPr>
              <w:spacing w:after="120"/>
              <w:jc w:val="both"/>
              <w:rPr>
                <w:noProof/>
                <w:lang w:val="sl-SI"/>
              </w:rPr>
            </w:pPr>
            <w:r w:rsidRPr="004122E6">
              <w:rPr>
                <w:noProof/>
                <w:sz w:val="24"/>
                <w:lang w:val="sl-SI"/>
              </w:rPr>
              <w:t>Koristi bi imele tudi države zunaj EU, saj bi ta možnost omogočila zanašanje na prisilno licenco, ki bi zajemala čezmejno dobavno verigo.</w:t>
            </w:r>
          </w:p>
          <w:p w14:paraId="149BBA86" w14:textId="53CA5747" w:rsidR="006B45C9" w:rsidRPr="004122E6" w:rsidRDefault="006B45C9" w:rsidP="006B45C9">
            <w:pPr>
              <w:pStyle w:val="Caption"/>
              <w:keepNext/>
              <w:rPr>
                <w:noProof/>
                <w:lang w:val="sl-SI"/>
              </w:rPr>
            </w:pPr>
            <w:r w:rsidRPr="004122E6">
              <w:rPr>
                <w:noProof/>
                <w:lang w:val="sl-SI"/>
              </w:rPr>
              <w:t>Preglednica 1: Pozitivni učinki na deležnike v primeru čezmejne krize – možnost 4 v primerjavi z izhodiščnim scenarijem</w:t>
            </w:r>
          </w:p>
          <w:tbl>
            <w:tblPr>
              <w:tblStyle w:val="TableGrid"/>
              <w:tblW w:w="9057" w:type="dxa"/>
              <w:tblInd w:w="10" w:type="dxa"/>
              <w:tblLook w:val="04A0" w:firstRow="1" w:lastRow="0" w:firstColumn="1" w:lastColumn="0" w:noHBand="0" w:noVBand="1"/>
            </w:tblPr>
            <w:tblGrid>
              <w:gridCol w:w="1384"/>
              <w:gridCol w:w="7673"/>
            </w:tblGrid>
            <w:tr w:rsidR="006B45C9" w:rsidRPr="002A1336" w14:paraId="0FBBB064" w14:textId="77777777" w:rsidTr="006B45C9">
              <w:trPr>
                <w:cantSplit/>
                <w:trHeight w:val="1134"/>
              </w:trPr>
              <w:tc>
                <w:tcPr>
                  <w:tcW w:w="1384" w:type="dxa"/>
                </w:tcPr>
                <w:p w14:paraId="7B0B82FA" w14:textId="77777777" w:rsidR="006B45C9" w:rsidRPr="004122E6" w:rsidRDefault="006B45C9" w:rsidP="00586ADA">
                  <w:pPr>
                    <w:pStyle w:val="Size10"/>
                    <w:rPr>
                      <w:noProof/>
                      <w:lang w:val="sl-SI"/>
                    </w:rPr>
                  </w:pPr>
                  <w:r w:rsidRPr="004122E6">
                    <w:rPr>
                      <w:noProof/>
                      <w:lang w:val="sl-SI"/>
                    </w:rPr>
                    <w:t>Lastniki patentov</w:t>
                  </w:r>
                </w:p>
              </w:tc>
              <w:tc>
                <w:tcPr>
                  <w:tcW w:w="7673" w:type="dxa"/>
                </w:tcPr>
                <w:p w14:paraId="03AC9DC5" w14:textId="4ED801BE" w:rsidR="006B45C9" w:rsidRPr="004122E6" w:rsidRDefault="006B45C9" w:rsidP="00586ADA">
                  <w:pPr>
                    <w:pStyle w:val="Size10"/>
                    <w:rPr>
                      <w:noProof/>
                      <w:lang w:val="sl-SI"/>
                    </w:rPr>
                  </w:pPr>
                  <w:r w:rsidRPr="004122E6">
                    <w:rPr>
                      <w:noProof/>
                      <w:lang w:val="sl-SI"/>
                    </w:rPr>
                    <w:t>(+ +) Nižji stroški pogajanj zaradi enotnega postopka na ravni EU namesto več postopkov v vsaki zadevni državi EU.</w:t>
                  </w:r>
                </w:p>
                <w:p w14:paraId="102D463E" w14:textId="3EE40B9E" w:rsidR="006B45C9" w:rsidRPr="004122E6" w:rsidRDefault="006B45C9" w:rsidP="00586ADA">
                  <w:pPr>
                    <w:pStyle w:val="Size10"/>
                    <w:rPr>
                      <w:noProof/>
                      <w:lang w:val="sl-SI"/>
                    </w:rPr>
                  </w:pPr>
                  <w:r w:rsidRPr="004122E6">
                    <w:rPr>
                      <w:noProof/>
                      <w:lang w:val="sl-SI"/>
                    </w:rPr>
                    <w:t xml:space="preserve">(+ +) Večja pravna varnost (npr. jasnost glede višine nadomestila, ki se lahko pričakuje) zaradi enotnega postopka na ravni EU namesto več postopkov v vsaki zadevni državi. </w:t>
                  </w:r>
                </w:p>
              </w:tc>
            </w:tr>
            <w:tr w:rsidR="006B45C9" w:rsidRPr="002A1336" w14:paraId="58F5D100" w14:textId="77777777" w:rsidTr="006B45C9">
              <w:trPr>
                <w:cantSplit/>
                <w:trHeight w:val="1134"/>
              </w:trPr>
              <w:tc>
                <w:tcPr>
                  <w:tcW w:w="1384" w:type="dxa"/>
                </w:tcPr>
                <w:p w14:paraId="2E6AA92C" w14:textId="77777777" w:rsidR="006B45C9" w:rsidRPr="004122E6" w:rsidRDefault="006B45C9" w:rsidP="00586ADA">
                  <w:pPr>
                    <w:pStyle w:val="Size10"/>
                    <w:rPr>
                      <w:noProof/>
                      <w:lang w:val="sl-SI"/>
                    </w:rPr>
                  </w:pPr>
                  <w:r w:rsidRPr="004122E6">
                    <w:rPr>
                      <w:noProof/>
                      <w:lang w:val="sl-SI"/>
                    </w:rPr>
                    <w:t>Proizvajalci – potencialni pridobitelji licenc</w:t>
                  </w:r>
                </w:p>
              </w:tc>
              <w:tc>
                <w:tcPr>
                  <w:tcW w:w="7673" w:type="dxa"/>
                </w:tcPr>
                <w:p w14:paraId="4CE8C357" w14:textId="601CBF44" w:rsidR="006B45C9" w:rsidRPr="004122E6" w:rsidRDefault="006B45C9" w:rsidP="00586ADA">
                  <w:pPr>
                    <w:pStyle w:val="Size10"/>
                    <w:rPr>
                      <w:noProof/>
                      <w:lang w:val="sl-SI"/>
                    </w:rPr>
                  </w:pPr>
                  <w:r w:rsidRPr="004122E6">
                    <w:rPr>
                      <w:noProof/>
                      <w:lang w:val="sl-SI"/>
                    </w:rPr>
                    <w:t>(+ +) Nižji stroški pogajanj zaradi enotnega postopka na ravni EU.</w:t>
                  </w:r>
                </w:p>
                <w:p w14:paraId="189ACFF4" w14:textId="0478AF44" w:rsidR="006B45C9" w:rsidRPr="004122E6" w:rsidRDefault="006B45C9" w:rsidP="00586ADA">
                  <w:pPr>
                    <w:pStyle w:val="Size10"/>
                    <w:rPr>
                      <w:noProof/>
                      <w:lang w:val="sl-SI"/>
                    </w:rPr>
                  </w:pPr>
                  <w:r w:rsidRPr="004122E6">
                    <w:rPr>
                      <w:noProof/>
                      <w:lang w:val="sl-SI"/>
                    </w:rPr>
                    <w:t>(+) Nižji stroški prilagoditve proizvodnih obratov za proizvodnjo izdelkov, za katere velja licenca, zaradi ekonomije obsega, če prisilno licenciranje na ravni EU omogoča širše geografsko področje uporabe.</w:t>
                  </w:r>
                </w:p>
              </w:tc>
            </w:tr>
            <w:tr w:rsidR="006B45C9" w:rsidRPr="002A1336" w14:paraId="7E322AA6" w14:textId="77777777" w:rsidTr="002B0E3E">
              <w:trPr>
                <w:cantSplit/>
                <w:trHeight w:val="1093"/>
              </w:trPr>
              <w:tc>
                <w:tcPr>
                  <w:tcW w:w="1384" w:type="dxa"/>
                </w:tcPr>
                <w:p w14:paraId="695FDA05" w14:textId="24E865DF" w:rsidR="006B45C9" w:rsidRPr="004122E6" w:rsidRDefault="008B133C" w:rsidP="00586ADA">
                  <w:pPr>
                    <w:pStyle w:val="Size10"/>
                    <w:rPr>
                      <w:noProof/>
                      <w:lang w:val="sl-SI"/>
                    </w:rPr>
                  </w:pPr>
                  <w:r w:rsidRPr="004122E6">
                    <w:rPr>
                      <w:noProof/>
                      <w:lang w:val="sl-SI"/>
                    </w:rPr>
                    <w:t>Države EU</w:t>
                  </w:r>
                </w:p>
              </w:tc>
              <w:tc>
                <w:tcPr>
                  <w:tcW w:w="7673" w:type="dxa"/>
                </w:tcPr>
                <w:p w14:paraId="1D3BD6AC" w14:textId="14E120AA" w:rsidR="006B45C9" w:rsidRPr="004122E6" w:rsidRDefault="006B45C9" w:rsidP="00586ADA">
                  <w:pPr>
                    <w:pStyle w:val="Size10"/>
                    <w:rPr>
                      <w:noProof/>
                      <w:lang w:val="sl-SI"/>
                    </w:rPr>
                  </w:pPr>
                  <w:r w:rsidRPr="004122E6">
                    <w:rPr>
                      <w:noProof/>
                      <w:lang w:val="sl-SI"/>
                    </w:rPr>
                    <w:t xml:space="preserve">(+ + + +) Bistveno nižji stroški vodenja postopka prisilnega licenciranja (brez pogajanj z imetniki patentov ali proizvajalci), saj bodo države EU izvajale samo eno odločitev, sprejeto na ravni EU. </w:t>
                  </w:r>
                </w:p>
                <w:p w14:paraId="1BA74AB2" w14:textId="2E0C1D11" w:rsidR="006B45C9" w:rsidRPr="004122E6" w:rsidRDefault="006B45C9" w:rsidP="00586ADA">
                  <w:pPr>
                    <w:pStyle w:val="Size10"/>
                    <w:rPr>
                      <w:noProof/>
                      <w:lang w:val="sl-SI"/>
                    </w:rPr>
                  </w:pPr>
                  <w:r w:rsidRPr="004122E6">
                    <w:rPr>
                      <w:noProof/>
                      <w:lang w:val="sl-SI"/>
                    </w:rPr>
                    <w:t xml:space="preserve">(+) Boljša izmenjava informacij o razpoložljivosti izdelkov v primeru lokalnega pomanjkanja ali motenj v čezmejni vrednostni verigi. </w:t>
                  </w:r>
                </w:p>
                <w:p w14:paraId="7BE949B4" w14:textId="54CFF118" w:rsidR="006B45C9" w:rsidRPr="004122E6" w:rsidRDefault="006B45C9" w:rsidP="00586ADA">
                  <w:pPr>
                    <w:pStyle w:val="Size10"/>
                    <w:rPr>
                      <w:noProof/>
                      <w:lang w:val="sl-SI"/>
                    </w:rPr>
                  </w:pPr>
                  <w:r w:rsidRPr="004122E6">
                    <w:rPr>
                      <w:noProof/>
                      <w:lang w:val="sl-SI"/>
                    </w:rPr>
                    <w:t xml:space="preserve">(+) Boljše odločanje in sodelovanje pri prisilnem licenciranju za izvoz v države zunaj EU. </w:t>
                  </w:r>
                </w:p>
              </w:tc>
            </w:tr>
            <w:tr w:rsidR="006B45C9" w:rsidRPr="002A1336" w14:paraId="29579C64" w14:textId="77777777" w:rsidTr="00226CCA">
              <w:trPr>
                <w:cantSplit/>
                <w:trHeight w:val="449"/>
              </w:trPr>
              <w:tc>
                <w:tcPr>
                  <w:tcW w:w="1384" w:type="dxa"/>
                </w:tcPr>
                <w:p w14:paraId="659B2C3F" w14:textId="68F9A47D" w:rsidR="006B45C9" w:rsidRPr="004122E6" w:rsidRDefault="008B133C" w:rsidP="00586ADA">
                  <w:pPr>
                    <w:pStyle w:val="Size10"/>
                    <w:rPr>
                      <w:noProof/>
                      <w:lang w:val="sl-SI"/>
                    </w:rPr>
                  </w:pPr>
                  <w:r w:rsidRPr="004122E6">
                    <w:rPr>
                      <w:noProof/>
                      <w:lang w:val="sl-SI"/>
                    </w:rPr>
                    <w:t>Splošna javnost (državljani EU)</w:t>
                  </w:r>
                </w:p>
              </w:tc>
              <w:tc>
                <w:tcPr>
                  <w:tcW w:w="7673" w:type="dxa"/>
                </w:tcPr>
                <w:p w14:paraId="0CFD562A" w14:textId="40D97356" w:rsidR="006B45C9" w:rsidRPr="004122E6" w:rsidRDefault="006B45C9" w:rsidP="00586ADA">
                  <w:pPr>
                    <w:pStyle w:val="Size10"/>
                    <w:rPr>
                      <w:noProof/>
                      <w:lang w:val="sl-SI"/>
                    </w:rPr>
                  </w:pPr>
                  <w:r w:rsidRPr="004122E6">
                    <w:rPr>
                      <w:noProof/>
                      <w:lang w:val="sl-SI"/>
                    </w:rPr>
                    <w:t>(+ + + +) Bistveno manjše tveganje zamud ali nerazpoložljivosti kritičnih izdelkov v času krize, saj so pravila usklajena po vseh državah EU dosledna.</w:t>
                  </w:r>
                </w:p>
              </w:tc>
            </w:tr>
            <w:tr w:rsidR="006B45C9" w:rsidRPr="002A1336" w14:paraId="3EA7006E" w14:textId="77777777" w:rsidTr="002B0E3E">
              <w:trPr>
                <w:cantSplit/>
                <w:trHeight w:val="58"/>
              </w:trPr>
              <w:tc>
                <w:tcPr>
                  <w:tcW w:w="1384" w:type="dxa"/>
                  <w:tcBorders>
                    <w:bottom w:val="single" w:sz="4" w:space="0" w:color="auto"/>
                  </w:tcBorders>
                </w:tcPr>
                <w:p w14:paraId="21177714" w14:textId="712A9097" w:rsidR="006B45C9" w:rsidRPr="004122E6" w:rsidRDefault="008B133C" w:rsidP="00586ADA">
                  <w:pPr>
                    <w:pStyle w:val="Size10"/>
                    <w:rPr>
                      <w:noProof/>
                      <w:lang w:val="sl-SI"/>
                    </w:rPr>
                  </w:pPr>
                  <w:r w:rsidRPr="004122E6">
                    <w:rPr>
                      <w:noProof/>
                      <w:lang w:val="sl-SI"/>
                    </w:rPr>
                    <w:t>Države zunaj EU</w:t>
                  </w:r>
                </w:p>
              </w:tc>
              <w:tc>
                <w:tcPr>
                  <w:tcW w:w="7673" w:type="dxa"/>
                  <w:tcBorders>
                    <w:bottom w:val="single" w:sz="4" w:space="0" w:color="auto"/>
                  </w:tcBorders>
                </w:tcPr>
                <w:p w14:paraId="1C401070" w14:textId="601CECCE" w:rsidR="006B45C9" w:rsidRPr="004122E6" w:rsidRDefault="006B45C9" w:rsidP="004C6C2B">
                  <w:pPr>
                    <w:pStyle w:val="Size10"/>
                    <w:rPr>
                      <w:noProof/>
                      <w:lang w:val="sl-SI"/>
                    </w:rPr>
                  </w:pPr>
                  <w:r w:rsidRPr="004122E6">
                    <w:rPr>
                      <w:noProof/>
                      <w:lang w:val="sl-SI"/>
                    </w:rPr>
                    <w:t>(+ + + +) Večja pravna varnost in upravni prihranki pri dostopu do kritičnega blaga v primeru čezmejnih dobavnih verig zaradi neposrednega usklajevanja na ravni EU.</w:t>
                  </w:r>
                </w:p>
              </w:tc>
            </w:tr>
            <w:tr w:rsidR="002B0E3E" w:rsidRPr="002A1336" w14:paraId="4C154C46" w14:textId="77777777" w:rsidTr="002B0E3E">
              <w:trPr>
                <w:cantSplit/>
                <w:trHeight w:val="58"/>
              </w:trPr>
              <w:tc>
                <w:tcPr>
                  <w:tcW w:w="9057" w:type="dxa"/>
                  <w:gridSpan w:val="2"/>
                  <w:tcBorders>
                    <w:left w:val="nil"/>
                    <w:bottom w:val="nil"/>
                    <w:right w:val="nil"/>
                  </w:tcBorders>
                </w:tcPr>
                <w:p w14:paraId="3740CD6B" w14:textId="1FF60AF6" w:rsidR="002B0E3E" w:rsidRPr="004122E6" w:rsidRDefault="002B0E3E" w:rsidP="00586ADA">
                  <w:pPr>
                    <w:pStyle w:val="Size10"/>
                    <w:rPr>
                      <w:noProof/>
                      <w:lang w:val="sl-SI"/>
                    </w:rPr>
                  </w:pPr>
                  <w:r w:rsidRPr="004122E6">
                    <w:rPr>
                      <w:noProof/>
                      <w:lang w:val="sl-SI"/>
                    </w:rPr>
                    <w:t>Opomba: (0) nevtralen učinek; (+) manjši pozitiven učinek; (++) pozitiven učinek; (+++) znaten pozitiven učinek; (–) manjši negativen učinek; (– –) negativen učinek; (– – –) znaten negativen učinek</w:t>
                  </w:r>
                </w:p>
              </w:tc>
            </w:tr>
          </w:tbl>
          <w:p w14:paraId="1145B1ED" w14:textId="0BCFDD8C" w:rsidR="006B45C9" w:rsidRPr="004122E6" w:rsidRDefault="006B45C9" w:rsidP="006B45C9">
            <w:pPr>
              <w:pStyle w:val="Caption"/>
              <w:rPr>
                <w:noProof/>
                <w:sz w:val="24"/>
                <w:lang w:val="sl-SI"/>
              </w:rPr>
            </w:pPr>
          </w:p>
        </w:tc>
      </w:tr>
      <w:tr w:rsidR="00ED39C4" w:rsidRPr="002A1336" w14:paraId="567884D8" w14:textId="77777777" w:rsidTr="00035755">
        <w:tc>
          <w:tcPr>
            <w:tcW w:w="9322" w:type="dxa"/>
            <w:tcBorders>
              <w:bottom w:val="single" w:sz="4" w:space="0" w:color="auto"/>
            </w:tcBorders>
            <w:shd w:val="clear" w:color="auto" w:fill="E6E6E6"/>
          </w:tcPr>
          <w:p w14:paraId="384F54E4" w14:textId="77777777" w:rsidR="00ED39C4" w:rsidRPr="004122E6" w:rsidRDefault="00ED39C4" w:rsidP="00035755">
            <w:pPr>
              <w:spacing w:before="60" w:after="60"/>
              <w:jc w:val="both"/>
              <w:rPr>
                <w:noProof/>
                <w:sz w:val="24"/>
                <w:lang w:val="sl-SI"/>
              </w:rPr>
            </w:pPr>
            <w:r w:rsidRPr="004122E6">
              <w:rPr>
                <w:b/>
                <w:noProof/>
                <w:sz w:val="24"/>
                <w:lang w:val="sl-SI"/>
              </w:rPr>
              <w:t>Kakšni so stroški prednostne možnosti (če obstaja, sicer glavnih možnosti)?</w:t>
            </w:r>
            <w:r w:rsidRPr="004122E6">
              <w:rPr>
                <w:noProof/>
                <w:sz w:val="24"/>
                <w:lang w:val="sl-SI"/>
              </w:rPr>
              <w:t xml:space="preserve"> </w:t>
            </w:r>
          </w:p>
        </w:tc>
      </w:tr>
      <w:tr w:rsidR="00ED39C4" w:rsidRPr="002A1336" w14:paraId="522ABB15" w14:textId="77777777" w:rsidTr="002B0E3E">
        <w:trPr>
          <w:trHeight w:val="3201"/>
        </w:trPr>
        <w:tc>
          <w:tcPr>
            <w:tcW w:w="9322" w:type="dxa"/>
            <w:tcBorders>
              <w:bottom w:val="single" w:sz="4" w:space="0" w:color="auto"/>
            </w:tcBorders>
            <w:shd w:val="clear" w:color="auto" w:fill="auto"/>
          </w:tcPr>
          <w:p w14:paraId="7D2DB865" w14:textId="166A5227" w:rsidR="00586ADA" w:rsidRPr="004122E6" w:rsidRDefault="006B45C9" w:rsidP="008B133C">
            <w:pPr>
              <w:pStyle w:val="Body"/>
              <w:spacing w:before="120" w:after="40"/>
              <w:rPr>
                <w:rFonts w:ascii="Times New Roman" w:hAnsi="Times New Roman"/>
                <w:noProof/>
                <w:sz w:val="24"/>
                <w:lang w:val="sl-SI"/>
              </w:rPr>
            </w:pPr>
            <w:r w:rsidRPr="004122E6">
              <w:rPr>
                <w:rFonts w:ascii="Times New Roman" w:hAnsi="Times New Roman"/>
                <w:noProof/>
                <w:sz w:val="24"/>
                <w:lang w:val="sl-SI"/>
              </w:rPr>
              <w:t xml:space="preserve">Lastniki patentov bi se lahko soočili s postopno izgubo nadzora nad svojimi patentnimi pravicami, če bi učinek prednostne možnosti razširil geografsko področje uporabe prisilne licence v primerjavi s sedanjim stanjem s številnimi nacionalnimi licencami. </w:t>
            </w:r>
          </w:p>
          <w:p w14:paraId="47D9C13F" w14:textId="11E54F92" w:rsidR="00586ADA" w:rsidRPr="004122E6" w:rsidRDefault="00A6615F" w:rsidP="008B133C">
            <w:pPr>
              <w:pStyle w:val="Body"/>
              <w:spacing w:before="120" w:after="40"/>
              <w:rPr>
                <w:rFonts w:ascii="Times New Roman" w:hAnsi="Times New Roman"/>
                <w:noProof/>
                <w:sz w:val="24"/>
                <w:lang w:val="sl-SI"/>
              </w:rPr>
            </w:pPr>
            <w:r w:rsidRPr="004122E6">
              <w:rPr>
                <w:rFonts w:ascii="Times New Roman" w:hAnsi="Times New Roman"/>
                <w:noProof/>
                <w:sz w:val="24"/>
                <w:lang w:val="sl-SI"/>
              </w:rPr>
              <w:t xml:space="preserve">Ta večji ozemeljski doseg bi se lahko dosegel tudi z razširitvijo prisilnega licenciranja za izvoz v države zunaj EU. Države EU bi morale nositi omejene stroške prilagajanja, saj bi prednostna možnost zagotovila prisilno licenco na ravni EU z uredbo, ki bi dopolnjevala obstoječo nacionalno zakonodajo. </w:t>
            </w:r>
          </w:p>
          <w:p w14:paraId="798DF486" w14:textId="2AB044B6" w:rsidR="006B45C9" w:rsidRPr="004122E6" w:rsidRDefault="006B45C9" w:rsidP="005A5B3E">
            <w:pPr>
              <w:pStyle w:val="Body"/>
              <w:spacing w:before="120" w:after="120"/>
              <w:rPr>
                <w:rFonts w:ascii="Times New Roman" w:hAnsi="Times New Roman"/>
                <w:noProof/>
                <w:sz w:val="24"/>
                <w:lang w:val="sl-SI"/>
              </w:rPr>
            </w:pPr>
            <w:r w:rsidRPr="004122E6">
              <w:rPr>
                <w:rFonts w:ascii="Times New Roman" w:hAnsi="Times New Roman"/>
                <w:noProof/>
                <w:sz w:val="24"/>
                <w:lang w:val="sl-SI"/>
              </w:rPr>
              <w:t>V primeru krize bi morale kriti tudi nekatere stroške izvrševanja, povezane z obveznostjo glede preglednosti.</w:t>
            </w:r>
          </w:p>
          <w:p w14:paraId="55EAB728" w14:textId="434C69BE" w:rsidR="006B45C9" w:rsidRPr="004122E6" w:rsidRDefault="006B45C9" w:rsidP="006B45C9">
            <w:pPr>
              <w:pStyle w:val="Caption"/>
              <w:keepNext/>
              <w:rPr>
                <w:noProof/>
                <w:lang w:val="sl-SI"/>
              </w:rPr>
            </w:pPr>
            <w:r w:rsidRPr="004122E6">
              <w:rPr>
                <w:noProof/>
                <w:lang w:val="sl-SI"/>
              </w:rPr>
              <w:t>Preglednica 2: Negativni učinki na deležnike v primeru čezmejne krize – možnost 4 v primerjavi z izhodiščnim scenarijem</w:t>
            </w:r>
          </w:p>
          <w:tbl>
            <w:tblPr>
              <w:tblStyle w:val="TableGrid"/>
              <w:tblW w:w="9057" w:type="dxa"/>
              <w:tblInd w:w="10" w:type="dxa"/>
              <w:tblLook w:val="04A0" w:firstRow="1" w:lastRow="0" w:firstColumn="1" w:lastColumn="0" w:noHBand="0" w:noVBand="1"/>
            </w:tblPr>
            <w:tblGrid>
              <w:gridCol w:w="1384"/>
              <w:gridCol w:w="7673"/>
            </w:tblGrid>
            <w:tr w:rsidR="006B45C9" w:rsidRPr="002A1336" w14:paraId="33F76C18" w14:textId="77777777" w:rsidTr="002B0E3E">
              <w:trPr>
                <w:cantSplit/>
              </w:trPr>
              <w:tc>
                <w:tcPr>
                  <w:tcW w:w="1384" w:type="dxa"/>
                </w:tcPr>
                <w:p w14:paraId="51DB1362" w14:textId="77777777" w:rsidR="006B45C9" w:rsidRPr="004122E6" w:rsidRDefault="006B45C9" w:rsidP="00586ADA">
                  <w:pPr>
                    <w:pStyle w:val="Size10"/>
                    <w:rPr>
                      <w:noProof/>
                      <w:lang w:val="sl-SI"/>
                    </w:rPr>
                  </w:pPr>
                  <w:r w:rsidRPr="004122E6">
                    <w:rPr>
                      <w:noProof/>
                      <w:lang w:val="sl-SI"/>
                    </w:rPr>
                    <w:t>Lastniki patentov</w:t>
                  </w:r>
                </w:p>
              </w:tc>
              <w:tc>
                <w:tcPr>
                  <w:tcW w:w="7673" w:type="dxa"/>
                </w:tcPr>
                <w:p w14:paraId="76E11534" w14:textId="684F8F31" w:rsidR="006B45C9" w:rsidRPr="004122E6" w:rsidRDefault="006B45C9" w:rsidP="00586ADA">
                  <w:pPr>
                    <w:pStyle w:val="Size10"/>
                    <w:rPr>
                      <w:noProof/>
                      <w:lang w:val="sl-SI"/>
                    </w:rPr>
                  </w:pPr>
                  <w:r w:rsidRPr="004122E6">
                    <w:rPr>
                      <w:noProof/>
                      <w:lang w:val="sl-SI"/>
                    </w:rPr>
                    <w:t>(– –) V primeru širšega geografskega področja uporabe licence (= večja izguba nadzora nad patentnimi pravicami).</w:t>
                  </w:r>
                </w:p>
              </w:tc>
            </w:tr>
            <w:tr w:rsidR="006B45C9" w:rsidRPr="002A1336" w14:paraId="011352B5" w14:textId="77777777" w:rsidTr="002B0E3E">
              <w:trPr>
                <w:cantSplit/>
              </w:trPr>
              <w:tc>
                <w:tcPr>
                  <w:tcW w:w="1384" w:type="dxa"/>
                  <w:tcBorders>
                    <w:bottom w:val="single" w:sz="4" w:space="0" w:color="auto"/>
                  </w:tcBorders>
                </w:tcPr>
                <w:p w14:paraId="45F4C363" w14:textId="4F353606" w:rsidR="006B45C9" w:rsidRPr="004122E6" w:rsidRDefault="00586ADA" w:rsidP="00586ADA">
                  <w:pPr>
                    <w:pStyle w:val="Size10"/>
                    <w:rPr>
                      <w:noProof/>
                      <w:lang w:val="sl-SI"/>
                    </w:rPr>
                  </w:pPr>
                  <w:r w:rsidRPr="004122E6">
                    <w:rPr>
                      <w:noProof/>
                      <w:lang w:val="sl-SI"/>
                    </w:rPr>
                    <w:t>Države EU</w:t>
                  </w:r>
                </w:p>
              </w:tc>
              <w:tc>
                <w:tcPr>
                  <w:tcW w:w="7673" w:type="dxa"/>
                  <w:tcBorders>
                    <w:bottom w:val="single" w:sz="4" w:space="0" w:color="auto"/>
                  </w:tcBorders>
                </w:tcPr>
                <w:p w14:paraId="7DE9F54F" w14:textId="7FE370F0" w:rsidR="006B45C9" w:rsidRPr="004122E6" w:rsidRDefault="006B45C9" w:rsidP="00586ADA">
                  <w:pPr>
                    <w:pStyle w:val="Size10"/>
                    <w:rPr>
                      <w:noProof/>
                      <w:lang w:val="sl-SI"/>
                    </w:rPr>
                  </w:pPr>
                  <w:r w:rsidRPr="004122E6">
                    <w:rPr>
                      <w:noProof/>
                      <w:lang w:val="sl-SI"/>
                    </w:rPr>
                    <w:t>(–) Stroški sodelovanja v svetovalnem odboru, ki pomaga enotni kontaktni točki.</w:t>
                  </w:r>
                </w:p>
                <w:p w14:paraId="1374C0C0" w14:textId="02347280" w:rsidR="006B45C9" w:rsidRPr="004122E6" w:rsidRDefault="006B45C9" w:rsidP="004C6C2B">
                  <w:pPr>
                    <w:pStyle w:val="Size10"/>
                    <w:rPr>
                      <w:noProof/>
                      <w:lang w:val="sl-SI"/>
                    </w:rPr>
                  </w:pPr>
                  <w:r w:rsidRPr="004122E6">
                    <w:rPr>
                      <w:noProof/>
                      <w:lang w:val="sl-SI"/>
                    </w:rPr>
                    <w:t>(–) Stroški poročanja Evropski komisiji o izvedeni prisilni licenci.</w:t>
                  </w:r>
                </w:p>
              </w:tc>
            </w:tr>
            <w:tr w:rsidR="002B0E3E" w:rsidRPr="002A1336" w14:paraId="2560C001" w14:textId="77777777" w:rsidTr="002B0E3E">
              <w:trPr>
                <w:cantSplit/>
              </w:trPr>
              <w:tc>
                <w:tcPr>
                  <w:tcW w:w="9057" w:type="dxa"/>
                  <w:gridSpan w:val="2"/>
                  <w:tcBorders>
                    <w:left w:val="nil"/>
                    <w:bottom w:val="nil"/>
                    <w:right w:val="nil"/>
                  </w:tcBorders>
                </w:tcPr>
                <w:p w14:paraId="76D35B41" w14:textId="400EAF29" w:rsidR="002B0E3E" w:rsidRPr="004122E6" w:rsidRDefault="002B0E3E" w:rsidP="00586ADA">
                  <w:pPr>
                    <w:pStyle w:val="Size10"/>
                    <w:rPr>
                      <w:noProof/>
                      <w:lang w:val="sl-SI"/>
                    </w:rPr>
                  </w:pPr>
                  <w:r w:rsidRPr="004122E6">
                    <w:rPr>
                      <w:noProof/>
                      <w:lang w:val="sl-SI"/>
                    </w:rPr>
                    <w:t>Opomba: (0) nevtralen učinek; (+) manjši pozitiven učinek; (++) pozitiven učinek; (+++) znaten pozitiven učinek; (–) manjši negativen učinek; (– –) negativen učinek; (– – –) znaten negativen učinek</w:t>
                  </w:r>
                </w:p>
              </w:tc>
            </w:tr>
          </w:tbl>
          <w:p w14:paraId="588DC77C" w14:textId="3A5F6AB8" w:rsidR="006B45C9" w:rsidRPr="004122E6" w:rsidRDefault="006B45C9" w:rsidP="006B45C9">
            <w:pPr>
              <w:pStyle w:val="Caption"/>
              <w:rPr>
                <w:noProof/>
                <w:sz w:val="24"/>
                <w:lang w:val="sl-SI"/>
              </w:rPr>
            </w:pPr>
          </w:p>
        </w:tc>
      </w:tr>
      <w:tr w:rsidR="00ED39C4" w:rsidRPr="002A1336" w14:paraId="6860B55A" w14:textId="77777777" w:rsidTr="00035755">
        <w:tc>
          <w:tcPr>
            <w:tcW w:w="9322" w:type="dxa"/>
            <w:tcBorders>
              <w:bottom w:val="single" w:sz="4" w:space="0" w:color="auto"/>
            </w:tcBorders>
            <w:shd w:val="clear" w:color="auto" w:fill="E6E6E6"/>
          </w:tcPr>
          <w:p w14:paraId="4C580911" w14:textId="77777777" w:rsidR="00ED39C4" w:rsidRPr="004122E6" w:rsidRDefault="00ED39C4" w:rsidP="004C6C2B">
            <w:pPr>
              <w:keepNext/>
              <w:spacing w:before="120" w:after="120"/>
              <w:jc w:val="both"/>
              <w:rPr>
                <w:noProof/>
                <w:sz w:val="24"/>
                <w:lang w:val="sl-SI"/>
              </w:rPr>
            </w:pPr>
            <w:r w:rsidRPr="004122E6">
              <w:rPr>
                <w:b/>
                <w:noProof/>
                <w:sz w:val="24"/>
                <w:lang w:val="sl-SI"/>
              </w:rPr>
              <w:t xml:space="preserve">Kakšen bo vpliv na podjetja, MSP ter mikropodjetja? </w:t>
            </w:r>
          </w:p>
        </w:tc>
      </w:tr>
      <w:tr w:rsidR="00ED39C4" w:rsidRPr="002A1336" w14:paraId="45EDDBED" w14:textId="77777777" w:rsidTr="00035755">
        <w:tc>
          <w:tcPr>
            <w:tcW w:w="9322" w:type="dxa"/>
            <w:tcBorders>
              <w:bottom w:val="single" w:sz="4" w:space="0" w:color="auto"/>
            </w:tcBorders>
            <w:shd w:val="clear" w:color="auto" w:fill="auto"/>
          </w:tcPr>
          <w:p w14:paraId="22B6C9A5" w14:textId="4565EB31" w:rsidR="00DF5467" w:rsidRPr="004122E6" w:rsidRDefault="001A39C0" w:rsidP="00DF5467">
            <w:pPr>
              <w:spacing w:before="120" w:after="120"/>
              <w:jc w:val="both"/>
              <w:rPr>
                <w:noProof/>
                <w:sz w:val="24"/>
                <w:lang w:val="sl-SI"/>
              </w:rPr>
            </w:pPr>
            <w:r w:rsidRPr="004122E6">
              <w:rPr>
                <w:noProof/>
                <w:sz w:val="24"/>
                <w:lang w:val="sl-SI"/>
              </w:rPr>
              <w:t xml:space="preserve">Učinki, ki bi se lahko pojavili zaradi prednostne možnosti, se bodo nanašali predvsem na imetnike patentov, vendar je število malih/srednjih podjetij, ki imajo pravice intelektualne lastnine v EU, razmeroma majhno. </w:t>
            </w:r>
          </w:p>
          <w:p w14:paraId="4F481B44" w14:textId="3C724917" w:rsidR="00DF5467" w:rsidRPr="004122E6" w:rsidRDefault="001A39C0" w:rsidP="00DF5467">
            <w:pPr>
              <w:spacing w:before="120" w:after="120"/>
              <w:jc w:val="both"/>
              <w:rPr>
                <w:noProof/>
                <w:sz w:val="24"/>
                <w:lang w:val="sl-SI"/>
              </w:rPr>
            </w:pPr>
            <w:r w:rsidRPr="004122E6">
              <w:rPr>
                <w:noProof/>
                <w:sz w:val="24"/>
                <w:lang w:val="sl-SI"/>
              </w:rPr>
              <w:t xml:space="preserve">Poleg tega se lahko domneva, da so mala podjetja bolj nagnjena k sklepanju prostovoljnih sporazumov kot večja podjetja, poleg dejstva, da je prisilno licenciranje zelo malo verjetno, zato prisilno licenciranje morda sploh ne bo potrebno. </w:t>
            </w:r>
          </w:p>
          <w:p w14:paraId="611A3847" w14:textId="27BB2956" w:rsidR="00161EE9" w:rsidRPr="004122E6" w:rsidRDefault="001330E3" w:rsidP="00B77299">
            <w:pPr>
              <w:spacing w:before="120" w:after="120"/>
              <w:jc w:val="both"/>
              <w:rPr>
                <w:noProof/>
                <w:sz w:val="24"/>
                <w:lang w:val="sl-SI"/>
              </w:rPr>
            </w:pPr>
            <w:r w:rsidRPr="004122E6">
              <w:rPr>
                <w:noProof/>
                <w:sz w:val="24"/>
                <w:lang w:val="sl-SI"/>
              </w:rPr>
              <w:t xml:space="preserve">Poleg tega so mala in srednja podjetja običajno pridobitelji licenc in ne izdajatelji licenc. </w:t>
            </w:r>
          </w:p>
        </w:tc>
      </w:tr>
      <w:tr w:rsidR="00ED39C4" w:rsidRPr="002A1336" w14:paraId="1142A1E3" w14:textId="77777777" w:rsidTr="00035755">
        <w:tc>
          <w:tcPr>
            <w:tcW w:w="9322" w:type="dxa"/>
            <w:tcBorders>
              <w:bottom w:val="single" w:sz="4" w:space="0" w:color="auto"/>
            </w:tcBorders>
            <w:shd w:val="clear" w:color="auto" w:fill="E6E6E6"/>
          </w:tcPr>
          <w:p w14:paraId="511AEEA9" w14:textId="77777777" w:rsidR="00ED39C4" w:rsidRPr="004122E6" w:rsidRDefault="00ED39C4" w:rsidP="00B77299">
            <w:pPr>
              <w:keepNext/>
              <w:spacing w:before="120" w:after="120"/>
              <w:jc w:val="both"/>
              <w:rPr>
                <w:b/>
                <w:i/>
                <w:noProof/>
                <w:sz w:val="24"/>
                <w:lang w:val="sl-SI"/>
              </w:rPr>
            </w:pPr>
            <w:r w:rsidRPr="004122E6">
              <w:rPr>
                <w:b/>
                <w:bCs/>
                <w:noProof/>
                <w:sz w:val="24"/>
                <w:lang w:val="sl-SI"/>
              </w:rPr>
              <w:t>Ali bo prišlo do znatnih učinkov na nacionalne proračune in uprave?</w:t>
            </w:r>
            <w:r w:rsidRPr="004122E6">
              <w:rPr>
                <w:noProof/>
                <w:sz w:val="24"/>
                <w:lang w:val="sl-SI"/>
              </w:rPr>
              <w:t xml:space="preserve"> </w:t>
            </w:r>
          </w:p>
        </w:tc>
      </w:tr>
      <w:tr w:rsidR="00ED39C4" w:rsidRPr="00E57391" w14:paraId="4A7A90F3" w14:textId="77777777" w:rsidTr="00035755">
        <w:tc>
          <w:tcPr>
            <w:tcW w:w="9322" w:type="dxa"/>
            <w:shd w:val="clear" w:color="auto" w:fill="auto"/>
          </w:tcPr>
          <w:p w14:paraId="14E3F43B" w14:textId="4F2662A1" w:rsidR="00DF5467" w:rsidRPr="004122E6" w:rsidRDefault="00DF5467" w:rsidP="00AB670E">
            <w:pPr>
              <w:pStyle w:val="Body"/>
              <w:spacing w:before="120" w:after="120"/>
              <w:rPr>
                <w:rFonts w:ascii="Times New Roman" w:hAnsi="Times New Roman"/>
                <w:noProof/>
                <w:sz w:val="24"/>
                <w:lang w:val="sl-SI"/>
              </w:rPr>
            </w:pPr>
            <w:r w:rsidRPr="004122E6">
              <w:rPr>
                <w:rFonts w:ascii="Times New Roman" w:hAnsi="Times New Roman"/>
                <w:noProof/>
                <w:sz w:val="24"/>
                <w:lang w:val="sl-SI"/>
              </w:rPr>
              <w:t>Države EU bi krile omejene stroške prilagajanja, saj bi prednostna možnost zagotovila prisilno licenco na ravni EU z uredbo, ki bi dopolnjevala obstoječo nacionalno zakonodajo.</w:t>
            </w:r>
          </w:p>
          <w:p w14:paraId="444948CC" w14:textId="27727F4A" w:rsidR="00161EE9" w:rsidRPr="004122E6" w:rsidRDefault="001A39C0" w:rsidP="00AB670E">
            <w:pPr>
              <w:pStyle w:val="Body"/>
              <w:spacing w:before="40" w:after="120"/>
              <w:rPr>
                <w:rFonts w:ascii="Times New Roman" w:hAnsi="Times New Roman"/>
                <w:noProof/>
                <w:sz w:val="24"/>
                <w:lang w:val="sl-SI"/>
              </w:rPr>
            </w:pPr>
            <w:r w:rsidRPr="004122E6">
              <w:rPr>
                <w:rFonts w:ascii="Times New Roman" w:hAnsi="Times New Roman"/>
                <w:noProof/>
                <w:sz w:val="24"/>
                <w:lang w:val="sl-SI"/>
              </w:rPr>
              <w:t>V primeru krize bi morale kriti nekatere stroške izvrševanja, povezane z obveznostjo glede preglednosti. Vendar bi koristi centraliziranega postopka na ravni EU odtehtale te stroške.</w:t>
            </w:r>
          </w:p>
        </w:tc>
      </w:tr>
      <w:tr w:rsidR="00ED39C4" w:rsidRPr="00E57391" w14:paraId="3599920B" w14:textId="77777777" w:rsidTr="00035755">
        <w:tc>
          <w:tcPr>
            <w:tcW w:w="9322" w:type="dxa"/>
            <w:tcBorders>
              <w:bottom w:val="single" w:sz="4" w:space="0" w:color="auto"/>
            </w:tcBorders>
            <w:shd w:val="clear" w:color="auto" w:fill="E6E6E6"/>
          </w:tcPr>
          <w:p w14:paraId="5B17A81F" w14:textId="77777777" w:rsidR="00ED39C4" w:rsidRPr="004122E6" w:rsidRDefault="00ED39C4" w:rsidP="00AB670E">
            <w:pPr>
              <w:keepNext/>
              <w:spacing w:before="120" w:after="120"/>
              <w:jc w:val="both"/>
              <w:rPr>
                <w:noProof/>
                <w:sz w:val="24"/>
                <w:lang w:val="sl-SI"/>
              </w:rPr>
            </w:pPr>
            <w:r w:rsidRPr="004122E6">
              <w:rPr>
                <w:b/>
                <w:noProof/>
                <w:sz w:val="24"/>
                <w:lang w:val="sl-SI"/>
              </w:rPr>
              <w:t>Bo imela pobuda tudi druge pomembnejše učinke?</w:t>
            </w:r>
            <w:r w:rsidRPr="004122E6">
              <w:rPr>
                <w:noProof/>
                <w:sz w:val="24"/>
                <w:lang w:val="sl-SI"/>
              </w:rPr>
              <w:t xml:space="preserve"> </w:t>
            </w:r>
          </w:p>
        </w:tc>
      </w:tr>
      <w:tr w:rsidR="00ED39C4" w:rsidRPr="00E57391" w14:paraId="76AC3652" w14:textId="77777777" w:rsidTr="00035755">
        <w:tc>
          <w:tcPr>
            <w:tcW w:w="9322" w:type="dxa"/>
            <w:tcBorders>
              <w:bottom w:val="single" w:sz="4" w:space="0" w:color="auto"/>
            </w:tcBorders>
            <w:shd w:val="clear" w:color="auto" w:fill="auto"/>
          </w:tcPr>
          <w:p w14:paraId="5F846F3C" w14:textId="624D2DBB" w:rsidR="00ED39C4" w:rsidRPr="004122E6" w:rsidRDefault="00ED39C4" w:rsidP="00AB670E">
            <w:pPr>
              <w:spacing w:before="120" w:after="120"/>
              <w:jc w:val="both"/>
              <w:rPr>
                <w:noProof/>
                <w:sz w:val="24"/>
                <w:lang w:val="sl-SI"/>
              </w:rPr>
            </w:pPr>
            <w:r w:rsidRPr="004122E6">
              <w:rPr>
                <w:noProof/>
                <w:sz w:val="24"/>
                <w:lang w:val="sl-SI"/>
              </w:rPr>
              <w:t>Drugi pomembnejši učinki se ne pričakujejo.</w:t>
            </w:r>
          </w:p>
        </w:tc>
      </w:tr>
      <w:tr w:rsidR="00ED39C4" w:rsidRPr="004122E6" w14:paraId="5001E4F2" w14:textId="77777777" w:rsidTr="00035755">
        <w:tc>
          <w:tcPr>
            <w:tcW w:w="9322" w:type="dxa"/>
            <w:tcBorders>
              <w:bottom w:val="single" w:sz="4" w:space="0" w:color="auto"/>
            </w:tcBorders>
            <w:shd w:val="clear" w:color="auto" w:fill="C0C0C0"/>
          </w:tcPr>
          <w:p w14:paraId="47ACECB6" w14:textId="77777777" w:rsidR="00ED39C4" w:rsidRPr="004122E6" w:rsidRDefault="00ED39C4" w:rsidP="00035755">
            <w:pPr>
              <w:spacing w:before="60" w:after="60"/>
              <w:jc w:val="center"/>
              <w:rPr>
                <w:b/>
                <w:noProof/>
                <w:sz w:val="24"/>
                <w:lang w:val="sl-SI"/>
              </w:rPr>
            </w:pPr>
            <w:r w:rsidRPr="004122E6">
              <w:rPr>
                <w:b/>
                <w:noProof/>
                <w:sz w:val="24"/>
                <w:lang w:val="sl-SI"/>
              </w:rPr>
              <w:t>D. Spremljanje</w:t>
            </w:r>
          </w:p>
        </w:tc>
      </w:tr>
      <w:tr w:rsidR="00ED39C4" w:rsidRPr="004122E6" w14:paraId="1C7AC41F" w14:textId="77777777" w:rsidTr="00035755">
        <w:tc>
          <w:tcPr>
            <w:tcW w:w="9322" w:type="dxa"/>
            <w:tcBorders>
              <w:bottom w:val="single" w:sz="4" w:space="0" w:color="auto"/>
            </w:tcBorders>
            <w:shd w:val="clear" w:color="auto" w:fill="E6E6E6"/>
          </w:tcPr>
          <w:p w14:paraId="73B90827" w14:textId="77777777" w:rsidR="00ED39C4" w:rsidRPr="004122E6" w:rsidRDefault="00ED39C4" w:rsidP="00AB670E">
            <w:pPr>
              <w:spacing w:before="120" w:after="120"/>
              <w:jc w:val="both"/>
              <w:rPr>
                <w:noProof/>
                <w:sz w:val="24"/>
                <w:lang w:val="sl-SI"/>
              </w:rPr>
            </w:pPr>
            <w:r w:rsidRPr="004122E6">
              <w:rPr>
                <w:b/>
                <w:noProof/>
                <w:sz w:val="24"/>
                <w:lang w:val="sl-SI"/>
              </w:rPr>
              <w:t xml:space="preserve">Kdaj bo politika pregledana? </w:t>
            </w:r>
          </w:p>
        </w:tc>
      </w:tr>
      <w:tr w:rsidR="00ED39C4" w:rsidRPr="00E57391" w14:paraId="3DE048DE" w14:textId="77777777" w:rsidTr="00035755">
        <w:tc>
          <w:tcPr>
            <w:tcW w:w="9322" w:type="dxa"/>
            <w:tcBorders>
              <w:bottom w:val="single" w:sz="4" w:space="0" w:color="auto"/>
            </w:tcBorders>
            <w:shd w:val="clear" w:color="auto" w:fill="auto"/>
          </w:tcPr>
          <w:p w14:paraId="2CC287CB" w14:textId="11C32100" w:rsidR="005D586D" w:rsidRPr="004122E6" w:rsidRDefault="6A4B40D6" w:rsidP="00785322">
            <w:pPr>
              <w:spacing w:before="120" w:after="120"/>
              <w:jc w:val="both"/>
              <w:rPr>
                <w:noProof/>
                <w:sz w:val="24"/>
                <w:highlight w:val="yellow"/>
                <w:lang w:val="sl-SI"/>
              </w:rPr>
            </w:pPr>
            <w:r w:rsidRPr="004122E6">
              <w:rPr>
                <w:noProof/>
                <w:sz w:val="24"/>
                <w:lang w:val="sl-SI"/>
              </w:rPr>
              <w:t>Prvo poročilo o oceni bi bilo treba pripraviti</w:t>
            </w:r>
            <w:r w:rsidR="004122E6">
              <w:rPr>
                <w:noProof/>
                <w:sz w:val="24"/>
                <w:lang w:val="sl-SI"/>
              </w:rPr>
              <w:t xml:space="preserve"> pet</w:t>
            </w:r>
            <w:bookmarkStart w:id="5" w:name="_Hlk123748017"/>
            <w:r w:rsidRPr="004122E6">
              <w:rPr>
                <w:noProof/>
                <w:sz w:val="24"/>
                <w:lang w:val="sl-SI"/>
              </w:rPr>
              <w:t xml:space="preserve"> let </w:t>
            </w:r>
            <w:bookmarkEnd w:id="5"/>
            <w:r w:rsidRPr="004122E6">
              <w:rPr>
                <w:noProof/>
                <w:sz w:val="24"/>
                <w:lang w:val="sl-SI"/>
              </w:rPr>
              <w:t>po podelitvi prve prisilne licence na ravni EU.</w:t>
            </w:r>
          </w:p>
        </w:tc>
      </w:tr>
    </w:tbl>
    <w:p w14:paraId="3607F5E9" w14:textId="77777777" w:rsidR="008D435D" w:rsidRPr="004122E6" w:rsidRDefault="002A1336" w:rsidP="00DA4580">
      <w:pPr>
        <w:rPr>
          <w:rFonts w:ascii="Times New Roman" w:hAnsi="Times New Roman" w:cs="Times New Roman"/>
          <w:noProof/>
          <w:sz w:val="24"/>
          <w:lang w:val="sl-SI"/>
        </w:rPr>
      </w:pPr>
    </w:p>
    <w:sectPr w:rsidR="008D435D" w:rsidRPr="004122E6" w:rsidSect="0026613F">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6029" w14:textId="77777777" w:rsidR="006E1735" w:rsidRDefault="006E1735" w:rsidP="00FE5FD3">
      <w:pPr>
        <w:spacing w:after="0" w:line="240" w:lineRule="auto"/>
      </w:pPr>
      <w:r>
        <w:separator/>
      </w:r>
    </w:p>
  </w:endnote>
  <w:endnote w:type="continuationSeparator" w:id="0">
    <w:p w14:paraId="5B1288E6" w14:textId="77777777" w:rsidR="006E1735" w:rsidRDefault="006E1735" w:rsidP="00FE5FD3">
      <w:pPr>
        <w:spacing w:after="0" w:line="240" w:lineRule="auto"/>
      </w:pPr>
      <w:r>
        <w:continuationSeparator/>
      </w:r>
    </w:p>
  </w:endnote>
  <w:endnote w:type="continuationNotice" w:id="1">
    <w:p w14:paraId="2AAE7933" w14:textId="77777777" w:rsidR="006E1735" w:rsidRDefault="006E1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78B0" w14:textId="77777777" w:rsidR="00076D36" w:rsidRDefault="00076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3A3206" w:rsidRPr="00D94637" w14:paraId="5DAFC216" w14:textId="77777777" w:rsidTr="003A3206">
      <w:trPr>
        <w:jc w:val="center"/>
      </w:trPr>
      <w:tc>
        <w:tcPr>
          <w:tcW w:w="5000" w:type="pct"/>
          <w:gridSpan w:val="7"/>
          <w:shd w:val="clear" w:color="auto" w:fill="auto"/>
          <w:tcMar>
            <w:top w:w="57" w:type="dxa"/>
          </w:tcMar>
        </w:tcPr>
        <w:p w14:paraId="60CAC335" w14:textId="77777777" w:rsidR="003A3206" w:rsidRPr="00D94637" w:rsidRDefault="003A3206" w:rsidP="00D94637">
          <w:pPr>
            <w:pStyle w:val="FooterText"/>
            <w:pBdr>
              <w:top w:val="single" w:sz="4" w:space="1" w:color="auto"/>
            </w:pBdr>
            <w:spacing w:before="200"/>
            <w:rPr>
              <w:sz w:val="2"/>
              <w:szCs w:val="2"/>
            </w:rPr>
          </w:pPr>
          <w:bookmarkStart w:id="2" w:name="FOOTER_STANDARD"/>
        </w:p>
      </w:tc>
    </w:tr>
    <w:tr w:rsidR="003A3206" w:rsidRPr="00B310DC" w14:paraId="1AE03E47" w14:textId="77777777" w:rsidTr="003A3206">
      <w:trPr>
        <w:jc w:val="center"/>
      </w:trPr>
      <w:tc>
        <w:tcPr>
          <w:tcW w:w="2500" w:type="pct"/>
          <w:gridSpan w:val="2"/>
          <w:shd w:val="clear" w:color="auto" w:fill="auto"/>
          <w:tcMar>
            <w:top w:w="0" w:type="dxa"/>
          </w:tcMar>
        </w:tcPr>
        <w:p w14:paraId="3AB5AD2B" w14:textId="65257E22" w:rsidR="003A3206" w:rsidRPr="00AD7BF2" w:rsidRDefault="003A3206" w:rsidP="004F54B2">
          <w:pPr>
            <w:pStyle w:val="FooterText"/>
          </w:pPr>
          <w:r>
            <w:t>8901/23</w:t>
          </w:r>
          <w:r w:rsidRPr="002511D8">
            <w:t xml:space="preserve"> </w:t>
          </w:r>
          <w:r>
            <w:t>ADD 5</w:t>
          </w:r>
        </w:p>
      </w:tc>
      <w:tc>
        <w:tcPr>
          <w:tcW w:w="625" w:type="pct"/>
          <w:shd w:val="clear" w:color="auto" w:fill="auto"/>
          <w:tcMar>
            <w:top w:w="0" w:type="dxa"/>
          </w:tcMar>
        </w:tcPr>
        <w:p w14:paraId="66C12907" w14:textId="77777777" w:rsidR="003A3206" w:rsidRPr="00AD7BF2" w:rsidRDefault="003A3206" w:rsidP="00D94637">
          <w:pPr>
            <w:pStyle w:val="FooterText"/>
            <w:jc w:val="center"/>
          </w:pPr>
        </w:p>
      </w:tc>
      <w:tc>
        <w:tcPr>
          <w:tcW w:w="1286" w:type="pct"/>
          <w:gridSpan w:val="3"/>
          <w:shd w:val="clear" w:color="auto" w:fill="auto"/>
          <w:tcMar>
            <w:top w:w="0" w:type="dxa"/>
          </w:tcMar>
        </w:tcPr>
        <w:p w14:paraId="1B4FECA7" w14:textId="28E9999E" w:rsidR="003A3206" w:rsidRPr="002511D8" w:rsidRDefault="003A3206" w:rsidP="00D94637">
          <w:pPr>
            <w:pStyle w:val="FooterText"/>
            <w:jc w:val="center"/>
          </w:pPr>
          <w:r>
            <w:t>dk</w:t>
          </w:r>
        </w:p>
      </w:tc>
      <w:tc>
        <w:tcPr>
          <w:tcW w:w="589" w:type="pct"/>
          <w:shd w:val="clear" w:color="auto" w:fill="auto"/>
          <w:tcMar>
            <w:top w:w="0" w:type="dxa"/>
          </w:tcMar>
        </w:tcPr>
        <w:p w14:paraId="643686DA" w14:textId="5699FF3F" w:rsidR="003A3206" w:rsidRPr="00B310DC" w:rsidRDefault="003A3206"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3A3206" w:rsidRPr="00D94637" w14:paraId="496F0461" w14:textId="77777777" w:rsidTr="003A3206">
      <w:trPr>
        <w:jc w:val="center"/>
      </w:trPr>
      <w:tc>
        <w:tcPr>
          <w:tcW w:w="1774" w:type="pct"/>
          <w:shd w:val="clear" w:color="auto" w:fill="auto"/>
        </w:tcPr>
        <w:p w14:paraId="27C1DE8B" w14:textId="2F8A328C" w:rsidR="003A3206" w:rsidRPr="00AD7BF2" w:rsidRDefault="003A3206" w:rsidP="00D94637">
          <w:pPr>
            <w:pStyle w:val="FooterText"/>
            <w:spacing w:before="40"/>
          </w:pPr>
        </w:p>
      </w:tc>
      <w:tc>
        <w:tcPr>
          <w:tcW w:w="1455" w:type="pct"/>
          <w:gridSpan w:val="3"/>
          <w:shd w:val="clear" w:color="auto" w:fill="auto"/>
        </w:tcPr>
        <w:p w14:paraId="53834F8A" w14:textId="087DEC7E" w:rsidR="003A3206" w:rsidRPr="00AD7BF2" w:rsidRDefault="003A3206" w:rsidP="00D204D6">
          <w:pPr>
            <w:pStyle w:val="FooterText"/>
            <w:spacing w:before="40"/>
            <w:jc w:val="center"/>
          </w:pPr>
          <w:r>
            <w:t>COMPET.1</w:t>
          </w:r>
        </w:p>
      </w:tc>
      <w:tc>
        <w:tcPr>
          <w:tcW w:w="742" w:type="pct"/>
          <w:shd w:val="clear" w:color="auto" w:fill="auto"/>
        </w:tcPr>
        <w:p w14:paraId="6F8F4130" w14:textId="61585045" w:rsidR="003A3206" w:rsidRPr="00D94637" w:rsidRDefault="003A3206" w:rsidP="002F0099">
          <w:pPr>
            <w:pStyle w:val="FooterText"/>
            <w:jc w:val="center"/>
            <w:rPr>
              <w:b/>
              <w:position w:val="-4"/>
              <w:sz w:val="36"/>
            </w:rPr>
          </w:pPr>
        </w:p>
      </w:tc>
      <w:tc>
        <w:tcPr>
          <w:tcW w:w="1029" w:type="pct"/>
          <w:gridSpan w:val="2"/>
          <w:shd w:val="clear" w:color="auto" w:fill="auto"/>
        </w:tcPr>
        <w:p w14:paraId="65C4C965" w14:textId="0E7EE0A0" w:rsidR="003A3206" w:rsidRPr="000310C2" w:rsidRDefault="003A3206" w:rsidP="00D94637">
          <w:pPr>
            <w:pStyle w:val="FooterText"/>
            <w:jc w:val="right"/>
            <w:rPr>
              <w:spacing w:val="-20"/>
              <w:sz w:val="16"/>
            </w:rPr>
          </w:pPr>
          <w:r>
            <w:rPr>
              <w:b/>
              <w:spacing w:val="-20"/>
              <w:position w:val="-4"/>
              <w:sz w:val="36"/>
            </w:rPr>
            <w:t>SL</w:t>
          </w:r>
        </w:p>
      </w:tc>
    </w:tr>
    <w:bookmarkEnd w:id="2"/>
  </w:tbl>
  <w:p w14:paraId="1B4D13AC" w14:textId="4918CC8B" w:rsidR="00E57391" w:rsidRPr="003A3206" w:rsidRDefault="00E57391" w:rsidP="003A3206">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3A3206" w:rsidRPr="00D94637" w14:paraId="111684E2" w14:textId="77777777" w:rsidTr="003A3206">
      <w:trPr>
        <w:jc w:val="center"/>
      </w:trPr>
      <w:tc>
        <w:tcPr>
          <w:tcW w:w="5000" w:type="pct"/>
          <w:gridSpan w:val="7"/>
          <w:shd w:val="clear" w:color="auto" w:fill="auto"/>
          <w:tcMar>
            <w:top w:w="57" w:type="dxa"/>
          </w:tcMar>
        </w:tcPr>
        <w:p w14:paraId="5084C8C1" w14:textId="77777777" w:rsidR="003A3206" w:rsidRPr="00D94637" w:rsidRDefault="003A3206" w:rsidP="00D94637">
          <w:pPr>
            <w:pStyle w:val="FooterText"/>
            <w:pBdr>
              <w:top w:val="single" w:sz="4" w:space="1" w:color="auto"/>
            </w:pBdr>
            <w:spacing w:before="200"/>
            <w:rPr>
              <w:sz w:val="2"/>
              <w:szCs w:val="2"/>
            </w:rPr>
          </w:pPr>
        </w:p>
      </w:tc>
    </w:tr>
    <w:tr w:rsidR="003A3206" w:rsidRPr="00B310DC" w14:paraId="61F8A901" w14:textId="77777777" w:rsidTr="003A3206">
      <w:trPr>
        <w:jc w:val="center"/>
      </w:trPr>
      <w:tc>
        <w:tcPr>
          <w:tcW w:w="2500" w:type="pct"/>
          <w:gridSpan w:val="2"/>
          <w:shd w:val="clear" w:color="auto" w:fill="auto"/>
          <w:tcMar>
            <w:top w:w="0" w:type="dxa"/>
          </w:tcMar>
        </w:tcPr>
        <w:p w14:paraId="27F493BE" w14:textId="6B0ED51D" w:rsidR="003A3206" w:rsidRPr="00AD7BF2" w:rsidRDefault="003A3206" w:rsidP="004F54B2">
          <w:pPr>
            <w:pStyle w:val="FooterText"/>
          </w:pPr>
          <w:r>
            <w:t>8901/23</w:t>
          </w:r>
          <w:r w:rsidRPr="002511D8">
            <w:t xml:space="preserve"> </w:t>
          </w:r>
          <w:r>
            <w:t>ADD 5</w:t>
          </w:r>
        </w:p>
      </w:tc>
      <w:tc>
        <w:tcPr>
          <w:tcW w:w="625" w:type="pct"/>
          <w:shd w:val="clear" w:color="auto" w:fill="auto"/>
          <w:tcMar>
            <w:top w:w="0" w:type="dxa"/>
          </w:tcMar>
        </w:tcPr>
        <w:p w14:paraId="6CD497FE" w14:textId="77777777" w:rsidR="003A3206" w:rsidRPr="00AD7BF2" w:rsidRDefault="003A3206" w:rsidP="00D94637">
          <w:pPr>
            <w:pStyle w:val="FooterText"/>
            <w:jc w:val="center"/>
          </w:pPr>
        </w:p>
      </w:tc>
      <w:tc>
        <w:tcPr>
          <w:tcW w:w="1286" w:type="pct"/>
          <w:gridSpan w:val="3"/>
          <w:shd w:val="clear" w:color="auto" w:fill="auto"/>
          <w:tcMar>
            <w:top w:w="0" w:type="dxa"/>
          </w:tcMar>
        </w:tcPr>
        <w:p w14:paraId="32D7DF6A" w14:textId="7947E666" w:rsidR="003A3206" w:rsidRPr="002511D8" w:rsidRDefault="003A3206" w:rsidP="00D94637">
          <w:pPr>
            <w:pStyle w:val="FooterText"/>
            <w:jc w:val="center"/>
          </w:pPr>
          <w:r>
            <w:t>dk</w:t>
          </w:r>
        </w:p>
      </w:tc>
      <w:tc>
        <w:tcPr>
          <w:tcW w:w="589" w:type="pct"/>
          <w:shd w:val="clear" w:color="auto" w:fill="auto"/>
          <w:tcMar>
            <w:top w:w="0" w:type="dxa"/>
          </w:tcMar>
        </w:tcPr>
        <w:p w14:paraId="1EA2ADF7" w14:textId="1DB022F2" w:rsidR="003A3206" w:rsidRPr="00B310DC" w:rsidRDefault="003A3206" w:rsidP="00D94637">
          <w:pPr>
            <w:pStyle w:val="FooterText"/>
            <w:jc w:val="right"/>
          </w:pPr>
        </w:p>
      </w:tc>
    </w:tr>
    <w:tr w:rsidR="003A3206" w:rsidRPr="00D94637" w14:paraId="2FA1C3FA" w14:textId="77777777" w:rsidTr="003A3206">
      <w:trPr>
        <w:jc w:val="center"/>
      </w:trPr>
      <w:tc>
        <w:tcPr>
          <w:tcW w:w="1774" w:type="pct"/>
          <w:shd w:val="clear" w:color="auto" w:fill="auto"/>
        </w:tcPr>
        <w:p w14:paraId="1B78881F" w14:textId="70F27799" w:rsidR="003A3206" w:rsidRPr="00AD7BF2" w:rsidRDefault="003A3206" w:rsidP="00D94637">
          <w:pPr>
            <w:pStyle w:val="FooterText"/>
            <w:spacing w:before="40"/>
          </w:pPr>
        </w:p>
      </w:tc>
      <w:tc>
        <w:tcPr>
          <w:tcW w:w="1455" w:type="pct"/>
          <w:gridSpan w:val="3"/>
          <w:shd w:val="clear" w:color="auto" w:fill="auto"/>
        </w:tcPr>
        <w:p w14:paraId="7A0AD14B" w14:textId="668758B3" w:rsidR="003A3206" w:rsidRPr="00AD7BF2" w:rsidRDefault="003A3206" w:rsidP="00D204D6">
          <w:pPr>
            <w:pStyle w:val="FooterText"/>
            <w:spacing w:before="40"/>
            <w:jc w:val="center"/>
          </w:pPr>
          <w:r>
            <w:t>COMPET.1</w:t>
          </w:r>
        </w:p>
      </w:tc>
      <w:tc>
        <w:tcPr>
          <w:tcW w:w="742" w:type="pct"/>
          <w:shd w:val="clear" w:color="auto" w:fill="auto"/>
        </w:tcPr>
        <w:p w14:paraId="0C0C27C1" w14:textId="60089BB3" w:rsidR="003A3206" w:rsidRPr="00D94637" w:rsidRDefault="003A3206" w:rsidP="002F0099">
          <w:pPr>
            <w:pStyle w:val="FooterText"/>
            <w:jc w:val="center"/>
            <w:rPr>
              <w:b/>
              <w:position w:val="-4"/>
              <w:sz w:val="36"/>
            </w:rPr>
          </w:pPr>
        </w:p>
      </w:tc>
      <w:tc>
        <w:tcPr>
          <w:tcW w:w="1029" w:type="pct"/>
          <w:gridSpan w:val="2"/>
          <w:shd w:val="clear" w:color="auto" w:fill="auto"/>
        </w:tcPr>
        <w:p w14:paraId="495DD42E" w14:textId="6B90511A" w:rsidR="003A3206" w:rsidRPr="000310C2" w:rsidRDefault="003A3206" w:rsidP="00D94637">
          <w:pPr>
            <w:pStyle w:val="FooterText"/>
            <w:jc w:val="right"/>
            <w:rPr>
              <w:spacing w:val="-20"/>
              <w:sz w:val="16"/>
            </w:rPr>
          </w:pPr>
          <w:r>
            <w:rPr>
              <w:b/>
              <w:spacing w:val="-20"/>
              <w:position w:val="-4"/>
              <w:sz w:val="36"/>
            </w:rPr>
            <w:t>SL</w:t>
          </w:r>
        </w:p>
      </w:tc>
    </w:tr>
  </w:tbl>
  <w:p w14:paraId="175585FA" w14:textId="77777777" w:rsidR="00E57391" w:rsidRPr="003A3206" w:rsidRDefault="00E57391" w:rsidP="003A3206">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5CB7" w14:textId="77777777" w:rsidR="003A3206" w:rsidRPr="00E57391" w:rsidRDefault="003A3206" w:rsidP="00E57391">
    <w:pPr>
      <w:pStyle w:val="FooterCoverPage"/>
      <w:rPr>
        <w:rFonts w:ascii="Arial" w:hAnsi="Arial" w:cs="Arial"/>
        <w:b/>
        <w:sz w:val="48"/>
      </w:rPr>
    </w:pPr>
    <w:r w:rsidRPr="00E57391">
      <w:rPr>
        <w:rFonts w:ascii="Arial" w:hAnsi="Arial" w:cs="Arial"/>
        <w:b/>
        <w:sz w:val="48"/>
      </w:rPr>
      <w:t>SL</w:t>
    </w:r>
    <w:r w:rsidRPr="00E57391">
      <w:rPr>
        <w:rFonts w:ascii="Arial" w:hAnsi="Arial" w:cs="Arial"/>
        <w:b/>
        <w:sz w:val="48"/>
      </w:rPr>
      <w:tab/>
    </w:r>
    <w:r w:rsidRPr="00E57391">
      <w:rPr>
        <w:rFonts w:ascii="Arial" w:hAnsi="Arial" w:cs="Arial"/>
        <w:b/>
        <w:sz w:val="48"/>
      </w:rPr>
      <w:tab/>
    </w:r>
    <w:r w:rsidRPr="00E57391">
      <w:tab/>
    </w:r>
    <w:r w:rsidRPr="00E57391">
      <w:rPr>
        <w:rFonts w:ascii="Arial" w:hAnsi="Arial" w:cs="Arial"/>
        <w:b/>
        <w:sz w:val="48"/>
      </w:rPr>
      <w:t>SL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76AA" w14:textId="77777777" w:rsidR="003A3206" w:rsidRPr="00E57391" w:rsidRDefault="003A3206" w:rsidP="00E57391">
    <w:pPr>
      <w:pStyle w:val="FooterCoverPage"/>
      <w:rPr>
        <w:rFonts w:ascii="Arial" w:hAnsi="Arial" w:cs="Arial"/>
        <w:b/>
        <w:sz w:val="48"/>
      </w:rPr>
    </w:pPr>
    <w:r w:rsidRPr="00E57391">
      <w:rPr>
        <w:rFonts w:ascii="Arial" w:hAnsi="Arial" w:cs="Arial"/>
        <w:b/>
        <w:sz w:val="48"/>
      </w:rPr>
      <w:t>SL</w:t>
    </w:r>
    <w:r w:rsidRPr="00E57391">
      <w:rPr>
        <w:rFonts w:ascii="Arial" w:hAnsi="Arial" w:cs="Arial"/>
        <w:b/>
        <w:sz w:val="48"/>
      </w:rPr>
      <w:tab/>
    </w:r>
    <w:r w:rsidRPr="00E57391">
      <w:rPr>
        <w:rFonts w:ascii="Arial" w:hAnsi="Arial" w:cs="Arial"/>
        <w:b/>
        <w:sz w:val="48"/>
      </w:rPr>
      <w:tab/>
    </w:r>
    <w:r w:rsidRPr="00E57391">
      <w:tab/>
    </w:r>
    <w:r w:rsidRPr="00E57391">
      <w:rPr>
        <w:rFonts w:ascii="Arial" w:hAnsi="Arial" w:cs="Arial"/>
        <w:b/>
        <w:sz w:val="48"/>
      </w:rPr>
      <w:t>SL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E314" w14:textId="77777777" w:rsidR="003A3206" w:rsidRPr="00E57391" w:rsidRDefault="003A3206" w:rsidP="00E57391">
    <w:pPr>
      <w:pStyle w:val="FooterCover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89EC" w14:textId="77777777" w:rsidR="0026613F" w:rsidRDefault="002A133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100745"/>
      <w:docPartObj>
        <w:docPartGallery w:val="Page Numbers (Bottom of Page)"/>
        <w:docPartUnique/>
      </w:docPartObj>
    </w:sdtPr>
    <w:sdtEndPr/>
    <w:sdtContent>
      <w:p w14:paraId="3C68E5C8" w14:textId="3BF1FB6A" w:rsidR="0026613F" w:rsidRDefault="005B5533">
        <w:pPr>
          <w:pStyle w:val="Footer"/>
          <w:jc w:val="center"/>
        </w:pPr>
        <w:r>
          <w:fldChar w:fldCharType="begin"/>
        </w:r>
        <w:r>
          <w:instrText xml:space="preserve"> PAGE   \* MERGEFORMAT </w:instrText>
        </w:r>
        <w:r>
          <w:fldChar w:fldCharType="separate"/>
        </w:r>
        <w:r w:rsidR="005F3BED">
          <w:rPr>
            <w:noProof/>
          </w:rPr>
          <w:t>1</w:t>
        </w:r>
        <w:r>
          <w:fldChar w:fldCharType="end"/>
        </w:r>
      </w:p>
    </w:sdtContent>
  </w:sdt>
  <w:p w14:paraId="1F43F197" w14:textId="77777777" w:rsidR="0026613F" w:rsidRDefault="002A133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3130" w14:textId="77777777" w:rsidR="0026613F" w:rsidRDefault="002A1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B9E6" w14:textId="77777777" w:rsidR="006E1735" w:rsidRDefault="006E1735" w:rsidP="00FE5FD3">
      <w:pPr>
        <w:spacing w:after="0" w:line="240" w:lineRule="auto"/>
      </w:pPr>
      <w:r>
        <w:separator/>
      </w:r>
    </w:p>
  </w:footnote>
  <w:footnote w:type="continuationSeparator" w:id="0">
    <w:p w14:paraId="01E4C79D" w14:textId="77777777" w:rsidR="006E1735" w:rsidRDefault="006E1735" w:rsidP="00FE5FD3">
      <w:pPr>
        <w:spacing w:after="0" w:line="240" w:lineRule="auto"/>
      </w:pPr>
      <w:r>
        <w:continuationSeparator/>
      </w:r>
    </w:p>
  </w:footnote>
  <w:footnote w:type="continuationNotice" w:id="1">
    <w:p w14:paraId="340948EC" w14:textId="77777777" w:rsidR="006E1735" w:rsidRDefault="006E1735">
      <w:pPr>
        <w:spacing w:after="0" w:line="240" w:lineRule="auto"/>
      </w:pPr>
    </w:p>
  </w:footnote>
  <w:footnote w:id="2">
    <w:p w14:paraId="2CF5CEDB" w14:textId="77777777" w:rsidR="0059764E" w:rsidRPr="004122E6" w:rsidRDefault="0059764E" w:rsidP="00725F30">
      <w:pPr>
        <w:pStyle w:val="FootnoteText"/>
        <w:jc w:val="both"/>
        <w:rPr>
          <w:rFonts w:ascii="Times New Roman" w:hAnsi="Times New Roman" w:cs="Times New Roman"/>
          <w:lang w:val="sl-SI"/>
        </w:rPr>
      </w:pPr>
      <w:r>
        <w:rPr>
          <w:rStyle w:val="FootnoteReference"/>
          <w:rFonts w:ascii="Times New Roman" w:hAnsi="Times New Roman" w:cs="Times New Roman"/>
        </w:rPr>
        <w:footnoteRef/>
      </w:r>
      <w:r w:rsidRPr="004122E6">
        <w:rPr>
          <w:rFonts w:ascii="Times New Roman" w:hAnsi="Times New Roman"/>
          <w:lang w:val="sl-SI"/>
        </w:rPr>
        <w:t>Akcijski načrt za pravice intelektualne lastnine,</w:t>
      </w:r>
      <w:hyperlink r:id="rId1" w:history="1">
        <w:r w:rsidRPr="004122E6">
          <w:rPr>
            <w:rStyle w:val="Hyperlink"/>
            <w:rFonts w:ascii="Times New Roman" w:hAnsi="Times New Roman"/>
            <w:lang w:val="sl-SI"/>
          </w:rPr>
          <w:t xml:space="preserve"> COM(2020) 760 final, 25.11.2020</w:t>
        </w:r>
      </w:hyperlink>
      <w:r w:rsidRPr="004122E6">
        <w:rPr>
          <w:rFonts w:ascii="Times New Roman" w:hAnsi="Times New Roman"/>
          <w:lang w:val="sl-SI"/>
        </w:rPr>
        <w:t>.</w:t>
      </w:r>
    </w:p>
  </w:footnote>
  <w:footnote w:id="3">
    <w:p w14:paraId="2D71BAAB" w14:textId="528A6B54" w:rsidR="0059764E" w:rsidRPr="004122E6" w:rsidRDefault="0059764E" w:rsidP="00226DAB">
      <w:pPr>
        <w:pStyle w:val="FootnoteText"/>
        <w:jc w:val="both"/>
        <w:rPr>
          <w:rFonts w:ascii="Times New Roman" w:hAnsi="Times New Roman" w:cs="Times New Roman"/>
          <w:lang w:val="sl-SI"/>
        </w:rPr>
      </w:pPr>
      <w:r w:rsidRPr="004122E6">
        <w:rPr>
          <w:rStyle w:val="FootnoteReference"/>
          <w:rFonts w:ascii="Times New Roman" w:hAnsi="Times New Roman" w:cs="Times New Roman"/>
          <w:lang w:val="sl-SI"/>
        </w:rPr>
        <w:footnoteRef/>
      </w:r>
      <w:r w:rsidRPr="004122E6">
        <w:rPr>
          <w:rFonts w:ascii="Times New Roman" w:hAnsi="Times New Roman"/>
          <w:lang w:val="sl-SI"/>
        </w:rPr>
        <w:t xml:space="preserve"> Resolucija o akcijskem načrtu za pravice intelektualne lastnine v podporo okrevanju in odpornosti EU (2021/2007(INI)).</w:t>
      </w:r>
    </w:p>
  </w:footnote>
  <w:footnote w:id="4">
    <w:p w14:paraId="7F12F8B3" w14:textId="0A539538" w:rsidR="0059764E" w:rsidRPr="004122E6" w:rsidRDefault="0059764E" w:rsidP="00226DAB">
      <w:pPr>
        <w:pStyle w:val="FootnoteText"/>
        <w:jc w:val="both"/>
        <w:rPr>
          <w:rFonts w:ascii="Times New Roman" w:hAnsi="Times New Roman" w:cs="Times New Roman"/>
          <w:lang w:val="sl-SI"/>
        </w:rPr>
      </w:pPr>
      <w:r w:rsidRPr="004122E6">
        <w:rPr>
          <w:rStyle w:val="FootnoteReference"/>
          <w:rFonts w:ascii="Times New Roman" w:hAnsi="Times New Roman" w:cs="Times New Roman"/>
          <w:lang w:val="sl-SI"/>
        </w:rPr>
        <w:footnoteRef/>
      </w:r>
      <w:r w:rsidRPr="004122E6">
        <w:rPr>
          <w:rFonts w:ascii="Times New Roman" w:hAnsi="Times New Roman"/>
          <w:lang w:val="sl-SI"/>
        </w:rPr>
        <w:t xml:space="preserve"> Sklepi Sveta z dne 18. junija 2021. </w:t>
      </w:r>
    </w:p>
  </w:footnote>
  <w:footnote w:id="5">
    <w:p w14:paraId="66969C52" w14:textId="76738D58" w:rsidR="00561D47" w:rsidRPr="004122E6" w:rsidRDefault="00561D47" w:rsidP="00226CCA">
      <w:pPr>
        <w:shd w:val="clear" w:color="auto" w:fill="FFFFFF"/>
        <w:spacing w:after="0" w:line="240" w:lineRule="auto"/>
        <w:jc w:val="both"/>
        <w:outlineLvl w:val="0"/>
        <w:rPr>
          <w:color w:val="404040"/>
          <w:kern w:val="36"/>
          <w:lang w:val="sl-SI"/>
        </w:rPr>
      </w:pPr>
      <w:r w:rsidRPr="004122E6">
        <w:rPr>
          <w:rStyle w:val="FootnoteReference"/>
          <w:rFonts w:ascii="Times New Roman" w:hAnsi="Times New Roman" w:cs="Times New Roman"/>
          <w:sz w:val="20"/>
          <w:lang w:val="sl-SI"/>
        </w:rPr>
        <w:footnoteRef/>
      </w:r>
      <w:r w:rsidRPr="004122E6">
        <w:rPr>
          <w:rFonts w:ascii="Times New Roman" w:hAnsi="Times New Roman"/>
          <w:sz w:val="20"/>
          <w:lang w:val="sl-SI"/>
        </w:rPr>
        <w:t xml:space="preserve"> </w:t>
      </w:r>
      <w:hyperlink r:id="rId2" w:history="1">
        <w:r w:rsidRPr="004122E6">
          <w:rPr>
            <w:rStyle w:val="Hyperlink"/>
            <w:rFonts w:ascii="Times New Roman" w:hAnsi="Times New Roman"/>
            <w:sz w:val="20"/>
            <w:lang w:val="sl-SI"/>
          </w:rPr>
          <w:t>Predlog</w:t>
        </w:r>
      </w:hyperlink>
      <w:r w:rsidRPr="004122E6">
        <w:rPr>
          <w:rFonts w:ascii="Times New Roman" w:hAnsi="Times New Roman"/>
          <w:sz w:val="20"/>
          <w:lang w:val="sl-SI"/>
        </w:rPr>
        <w:t xml:space="preserve"> uredbe Evropskega parlamenta in Sveta o vzpostavitvi instrumenta za izredne razmere na enotnem trgu in razveljavitvi Uredbe Sveta (ES) št. 2679/98,</w:t>
      </w:r>
      <w:r w:rsidRPr="004122E6">
        <w:rPr>
          <w:lang w:val="sl-SI"/>
        </w:rPr>
        <w:t xml:space="preserve"> </w:t>
      </w:r>
      <w:hyperlink r:id="rId3" w:history="1">
        <w:r w:rsidRPr="004122E6">
          <w:rPr>
            <w:rStyle w:val="Hyperlink"/>
            <w:rFonts w:ascii="Times New Roman" w:hAnsi="Times New Roman"/>
            <w:sz w:val="20"/>
            <w:lang w:val="sl-SI"/>
          </w:rPr>
          <w:t>Uredba</w:t>
        </w:r>
      </w:hyperlink>
      <w:r w:rsidRPr="004122E6">
        <w:rPr>
          <w:rFonts w:ascii="Times New Roman" w:hAnsi="Times New Roman"/>
          <w:sz w:val="20"/>
          <w:lang w:val="sl-SI"/>
        </w:rPr>
        <w:t xml:space="preserve"> (EU) 2022/2371 z dne 23. novembra 2022 o resnih čezmejnih grožnjah za zdravje in razveljavitvi Sklepa št. 1082/2013/EU in</w:t>
      </w:r>
      <w:r w:rsidRPr="004122E6">
        <w:rPr>
          <w:rFonts w:ascii="Times New Roman" w:hAnsi="Times New Roman"/>
          <w:color w:val="333333"/>
          <w:sz w:val="20"/>
          <w:shd w:val="clear" w:color="auto" w:fill="FFFFFF"/>
          <w:lang w:val="sl-SI"/>
        </w:rPr>
        <w:t xml:space="preserve"> </w:t>
      </w:r>
      <w:r w:rsidRPr="004122E6">
        <w:rPr>
          <w:rFonts w:ascii="Times New Roman" w:hAnsi="Times New Roman"/>
          <w:sz w:val="20"/>
          <w:shd w:val="clear" w:color="auto" w:fill="FFFFFF"/>
          <w:lang w:val="sl-SI"/>
        </w:rPr>
        <w:t>Uredba Sveta (EU) 2022/2372 z dne 24. oktobra 2022 o okviru ukrepov za zagotovitev dobave v krizi pomembnih zdravstvenih protiukrepov v primeru izrednih razmer v javnem zdravju na ravni Unije</w:t>
      </w:r>
      <w:r w:rsidRPr="004122E6">
        <w:rPr>
          <w:lang w:val="sl-SI"/>
        </w:rPr>
        <w:t>.</w:t>
      </w:r>
      <w:r w:rsidRPr="004122E6">
        <w:rPr>
          <w:rFonts w:ascii="Times New Roman" w:hAnsi="Times New Roman"/>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7E3C" w14:textId="77777777" w:rsidR="00076D36" w:rsidRDefault="00076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9A39" w14:textId="55AAC166" w:rsidR="00E57391" w:rsidRPr="003A3206" w:rsidRDefault="003A3206" w:rsidP="003A3206">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9877" w14:textId="638729D6" w:rsidR="00E57391" w:rsidRPr="003A3206" w:rsidRDefault="003A3206" w:rsidP="003A3206">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D2CF" w14:textId="77777777" w:rsidR="003A3206" w:rsidRPr="00E57391" w:rsidRDefault="003A3206" w:rsidP="00E57391">
    <w:pPr>
      <w:pStyle w:val="HeaderCoverPag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F2A7" w14:textId="77777777" w:rsidR="003A3206" w:rsidRPr="00E57391" w:rsidRDefault="003A3206" w:rsidP="00E57391">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845F" w14:textId="77777777" w:rsidR="003A3206" w:rsidRPr="00E57391" w:rsidRDefault="003A3206" w:rsidP="00E57391">
    <w:pPr>
      <w:pStyle w:val="HeaderCoverPag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BCCB" w14:textId="77777777" w:rsidR="0026613F" w:rsidRDefault="002A13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881C" w14:textId="77777777" w:rsidR="0026613F" w:rsidRDefault="002A133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2B9" w14:textId="77777777" w:rsidR="0026613F" w:rsidRDefault="002A1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B38"/>
    <w:multiLevelType w:val="hybridMultilevel"/>
    <w:tmpl w:val="802EF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8685B"/>
    <w:multiLevelType w:val="hybridMultilevel"/>
    <w:tmpl w:val="70CA9924"/>
    <w:lvl w:ilvl="0" w:tplc="08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663927"/>
    <w:multiLevelType w:val="hybridMultilevel"/>
    <w:tmpl w:val="2616614C"/>
    <w:lvl w:ilvl="0" w:tplc="228A529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86C3C5B"/>
    <w:multiLevelType w:val="hybridMultilevel"/>
    <w:tmpl w:val="39B2AE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A6C5426"/>
    <w:multiLevelType w:val="hybridMultilevel"/>
    <w:tmpl w:val="02AE1F02"/>
    <w:lvl w:ilvl="0" w:tplc="2B26AFCE">
      <w:start w:val="137"/>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7E0434AB"/>
    <w:multiLevelType w:val="hybridMultilevel"/>
    <w:tmpl w:val="9A0C62EE"/>
    <w:lvl w:ilvl="0" w:tplc="C780EB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50072962">
    <w:abstractNumId w:val="0"/>
  </w:num>
  <w:num w:numId="2" w16cid:durableId="1694964651">
    <w:abstractNumId w:val="1"/>
  </w:num>
  <w:num w:numId="3" w16cid:durableId="1164857909">
    <w:abstractNumId w:val="3"/>
  </w:num>
  <w:num w:numId="4" w16cid:durableId="69471243">
    <w:abstractNumId w:val="4"/>
  </w:num>
  <w:num w:numId="5" w16cid:durableId="1716078232">
    <w:abstractNumId w:val="5"/>
  </w:num>
  <w:num w:numId="6" w16cid:durableId="971710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fr-FR" w:vendorID="64" w:dllVersion="0" w:nlCheck="1" w:checkStyle="0"/>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uncil" w:val="true"/>
    <w:docVar w:name="CoverPageOnWordDoc" w:val="true"/>
    <w:docVar w:name="DocStatus" w:val="Green"/>
    <w:docVar w:name="DocuWriteMetaData" w:val="&lt;metadataset docuwriteversion=&quot;4.8.2&quot; technicalblockguid=&quot;5062185632420695151&quot;&gt;_x000d__x000a_  &lt;metadata key=&quot;md_DocumentLanguages&quot;&gt;_x000d__x000a_    &lt;basicdatatypelist&gt;_x000d__x000a_      &lt;language key=&quot;SL&quot; text=&quot;SL&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4&quot; text=&quot;SPREMNI DOPIS&quot; /&gt;_x000d__x000a_    &lt;/basicdatatype&gt;_x000d__x000a_  &lt;/metadata&gt;_x000d__x000a_  &lt;metadata key=&quot;md_HeadingText&quot;&gt;_x000d__x000a_    &lt;headingtext text=&quot;SPREMNI DOPIS&quot;&gt;_x000d__x000a_      &lt;formattedtext&gt;_x000d__x000a_        &lt;xaml text=&quot;SPREMNI DOPIS&quot;&gt;&amp;lt;FlowDocument xmlns=&quot;http://schemas.microsoft.com/winfx/2006/xaml/presentation&quot;&amp;gt;&amp;lt;Paragraph&amp;gt;SPREMNI DOPIS&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Svet Evropske unije&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elj&quot; /&gt;_x000d__x000a_    &lt;/basicdatatype&gt;_x000d__x000a_  &lt;/metadata&gt;_x000d__x000a_  &lt;metadata key=&quot;md_DocumentDate&quot;&gt;_x000d__x000a_    &lt;text&gt;2023-05-02&lt;/text&gt;_x000d__x000a_  &lt;/metadata&gt;_x000d__x000a_  &lt;metadata key=&quot;md_Prefix&quot;&gt;_x000d__x000a_    &lt;text&gt;&lt;/text&gt;_x000d__x000a_  &lt;/metadata&gt;_x000d__x000a_  &lt;metadata key=&quot;md_DocumentNumber&quot;&gt;_x000d__x000a_    &lt;text&gt;8901&lt;/text&gt;_x000d__x000a_  &lt;/metadata&gt;_x000d__x000a_  &lt;metadata key=&quot;md_YearDocumentNumber&quot;&gt;_x000d__x000a_    &lt;text&gt;2023&lt;/text&gt;_x000d__x000a_  &lt;/metadata&gt;_x000d__x000a_  &lt;metadata key=&quot;md_Suffixes&quot;&gt;_x000d__x000a_    &lt;text&gt;ADD 5&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58&lt;/text&gt;_x000d__x000a_      &lt;text&gt;PHARM 69&lt;/text&gt;_x000d__x000a_      &lt;text&gt;COMPET 387&lt;/text&gt;_x000d__x000a_      &lt;text&gt;MI 355&lt;/text&gt;_x000d__x000a_      &lt;text&gt;IND 209&lt;/text&gt;_x000d__x000a_      &lt;text&gt;IA 91&lt;/text&gt;_x000d__x000a_      &lt;text&gt;CODEC 75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3/0129(COD)&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za generalno sekretarko Evropske komisije: direktorica Martine DEPREZ&quot; /&gt;_x000d__x000a_    &lt;/basicdatatype&gt;_x000d__x000a_  &lt;/metadata&gt;_x000d__x000a_  &lt;metadata key=&quot;md_Recipient&quot;&gt;_x000d__x000a_    &lt;basicdatatype&gt;_x000d__x000a_      &lt;recipient key=&quot;re_47&quot; text=&quot;Thérèse BLANCHET, generalna sekretarka Sveta Evropske unije&quot; /&gt;_x000d__x000a_    &lt;/basicdatatype&gt;_x000d__x000a_  &lt;/metadata&gt;_x000d__x000a_  &lt;metadata key=&quot;md_DateOfReceipt&quot;&gt;_x000d__x000a_    &lt;text&gt;2023-04-2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SWD(2023) 122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DELOVNI DOKUMENT SLU&amp;#381;B KOMISIJE POVZETEK PORO&amp;#268;ILA O OCENI U&amp;#268;INKA Spremni dokument Predlog uredbe Evropskega parlamenta in Sveta o prisilnem licenciranju za krizno upravljanje in spremembi Uredbe (ES) &amp;#353;t. 816/2006&quot;&gt;&amp;lt;FlowDocument FontFamily=&quot;Segoe UI&quot; FontSize=&quot;12&quot; LineHeight=&quot;6&quot; PageWidth=&quot;329&quot; PagePadding=&quot;2,2,2,2&quot; AllowDrop=&quot;False&quot; xmlns=&quot;http://schemas.microsoft.com/winfx/2006/xaml/presentation&quot;&amp;gt;&amp;lt;Paragraph&amp;gt;DELOVNI DOKUMENT SLU&amp;#381;B KOMISIJE POVZETEK PORO&amp;#268;ILA O OCENI U&amp;#268;INKA Spremni dokument Predlog uredbe Evropskega parlamenta in Sveta o prisilnem licenciranju za krizno upravljanje in spremembi Uredbe (ES) &amp;#353;t. 816/2006&amp;lt;/Paragraph&amp;gt;&amp;lt;/FlowDocument&amp;gt;&lt;/xaml&gt;_x000d__x000a_  &lt;/metadata&gt;_x000d__x000a_  &lt;metadata key=&quot;md_SubjectFootnote&quot; /&gt;_x000d__x000a_  &lt;metadata key=&quot;md_DG&quot;&gt;_x000d__x000a_    &lt;text&gt;COMPET.1&lt;/text&gt;_x000d__x000a_  &lt;/metadata&gt;_x000d__x000a_  &lt;metadata key=&quot;md_Initials&quot;&gt;_x000d__x000a_    &lt;text&gt;dk&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DELOVNI DOKUMENT SLU&amp;#381;B KOMISIJE_x000d__x000a__x000d__x000a_POVZETEK PORO&amp;#268;ILA O OCENI U&amp;#268;INKA_x000d__x000a_&lt;/text&gt;_x000d__x000a_  &lt;/metadata&gt;_x000d__x000a_  &lt;metadata key=&quot;md_SourceDocTitle&quot;&gt;_x000d__x000a_    &lt;text&gt;Spremni dokument _x000d__x000a_Predlog uredbe Evropskega parlamenta in Sveta _x000d__x000a_{b}o prisilnem licenciranju za krizno upravljanje in spremembi Uredbe (ES) &amp;#353;t. 816/2006{/b}_x000d__x000a__x000d__x000a__x000d__x000a_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LW_ACCOMPAGNANT.CP" w:val="Spremni dokument"/>
    <w:docVar w:name="LW_CORRIGENDUM" w:val="&lt;UNUSED&gt;"/>
    <w:docVar w:name="LW_COVERPAGE_EXISTS" w:val="True"/>
    <w:docVar w:name="LW_COVERPAGE_GUID" w:val="BEB7E973-99D4-47DA-885D-4E52FA68A9F3"/>
    <w:docVar w:name="LW_COVERPAGE_TYPE" w:val="1"/>
    <w:docVar w:name="LW_CROSSREFERENCE" w:val="{COM(2023) 224 final} - {SEC(2023) 173 final} - {SWD(2023) 120 final} - {SWD(2023) 121 final}"/>
    <w:docVar w:name="LW_DocType" w:val="NORMAL"/>
    <w:docVar w:name="LW_EMISSION" w:val="27.4.2023"/>
    <w:docVar w:name="LW_EMISSION_ISODATE" w:val="2023-04-27"/>
    <w:docVar w:name="LW_EMISSION_LOCATION" w:val="BRX"/>
    <w:docVar w:name="LW_EMISSION_PREFIX" w:val="Bruselj, "/>
    <w:docVar w:name="LW_EMISSION_SUFFIX" w:val=" "/>
    <w:docVar w:name="LW_ID_DOCTYPE_NONLW" w:val="CP-027"/>
    <w:docVar w:name="LW_LANGUE" w:val="SL"/>
    <w:docVar w:name="LW_LEVEL_OF_SENSITIVITY" w:val="Standard treatment"/>
    <w:docVar w:name="LW_NOM.INST" w:val="EVROPSKA KOMISIJA"/>
    <w:docVar w:name="LW_NOM.INST_JOINTDOC" w:val="&lt;EMPTY&gt;"/>
    <w:docVar w:name="LW_OBJETACTEPRINCIPAL.CP" w:val="&lt;FMT:Bold&gt;o prisilnem licenciranju za krizno upravljanje in spremembi Uredbe (ES) \u353?t. 816/2006&lt;/FMT&gt;_x000d__x000d__x000d__x000b_"/>
    <w:docVar w:name="LW_PART_NBR" w:val="1"/>
    <w:docVar w:name="LW_PART_NBR_TOTAL" w:val="1"/>
    <w:docVar w:name="LW_REF.INST.NEW" w:val="SWD"/>
    <w:docVar w:name="LW_REF.INST.NEW_ADOPTED" w:val="final"/>
    <w:docVar w:name="LW_REF.INST.NEW_TEXT" w:val="(2023) 12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DELOVNI DOKUMENT SLU\u381?B KOMISIJE_x000b__x000b_POVZETEK PORO\u268?ILA O OCENI U\u268?INKA_x000b_"/>
    <w:docVar w:name="LW_TYPEACTEPRINCIPAL.CP" w:val="Predlog uredbe Evropskega parlamenta in Sveta"/>
    <w:docVar w:name="LwApiVersions" w:val="LW4CoDe 1.23.2.0; LW 8.0, Build 20211117"/>
  </w:docVars>
  <w:rsids>
    <w:rsidRoot w:val="00FE5FD3"/>
    <w:rsid w:val="00020E68"/>
    <w:rsid w:val="0002181A"/>
    <w:rsid w:val="00022939"/>
    <w:rsid w:val="00025C17"/>
    <w:rsid w:val="00030727"/>
    <w:rsid w:val="0003376C"/>
    <w:rsid w:val="000431A6"/>
    <w:rsid w:val="00045564"/>
    <w:rsid w:val="00046B0F"/>
    <w:rsid w:val="00051FFF"/>
    <w:rsid w:val="00055E53"/>
    <w:rsid w:val="000668BE"/>
    <w:rsid w:val="00073A08"/>
    <w:rsid w:val="00076D36"/>
    <w:rsid w:val="000810C7"/>
    <w:rsid w:val="000975EE"/>
    <w:rsid w:val="00097D6C"/>
    <w:rsid w:val="000A0244"/>
    <w:rsid w:val="000A2567"/>
    <w:rsid w:val="000A2D25"/>
    <w:rsid w:val="000A720D"/>
    <w:rsid w:val="000C196C"/>
    <w:rsid w:val="000D2304"/>
    <w:rsid w:val="000D2C6B"/>
    <w:rsid w:val="000D57B6"/>
    <w:rsid w:val="000E0501"/>
    <w:rsid w:val="000E13ED"/>
    <w:rsid w:val="000E37A7"/>
    <w:rsid w:val="000F2830"/>
    <w:rsid w:val="000F32E4"/>
    <w:rsid w:val="000F469F"/>
    <w:rsid w:val="000F5111"/>
    <w:rsid w:val="00111E08"/>
    <w:rsid w:val="00112D69"/>
    <w:rsid w:val="0012043B"/>
    <w:rsid w:val="00131920"/>
    <w:rsid w:val="001330E3"/>
    <w:rsid w:val="0013606D"/>
    <w:rsid w:val="00142FA6"/>
    <w:rsid w:val="00150681"/>
    <w:rsid w:val="001562D3"/>
    <w:rsid w:val="001568FA"/>
    <w:rsid w:val="00161EE9"/>
    <w:rsid w:val="001702D7"/>
    <w:rsid w:val="00170ECA"/>
    <w:rsid w:val="0019344B"/>
    <w:rsid w:val="0019384F"/>
    <w:rsid w:val="00196F0B"/>
    <w:rsid w:val="001A39C0"/>
    <w:rsid w:val="001A43A7"/>
    <w:rsid w:val="001A7509"/>
    <w:rsid w:val="001B03ED"/>
    <w:rsid w:val="001C4600"/>
    <w:rsid w:val="001E104B"/>
    <w:rsid w:val="001E6493"/>
    <w:rsid w:val="00200524"/>
    <w:rsid w:val="0020353B"/>
    <w:rsid w:val="002043D7"/>
    <w:rsid w:val="0020501C"/>
    <w:rsid w:val="002067A7"/>
    <w:rsid w:val="0021723D"/>
    <w:rsid w:val="00226CCA"/>
    <w:rsid w:val="00226DAB"/>
    <w:rsid w:val="002301F9"/>
    <w:rsid w:val="002336DA"/>
    <w:rsid w:val="00233A53"/>
    <w:rsid w:val="00245982"/>
    <w:rsid w:val="00271691"/>
    <w:rsid w:val="00275BD1"/>
    <w:rsid w:val="0028798E"/>
    <w:rsid w:val="002906B2"/>
    <w:rsid w:val="00296238"/>
    <w:rsid w:val="002A1336"/>
    <w:rsid w:val="002A1C41"/>
    <w:rsid w:val="002A408F"/>
    <w:rsid w:val="002A4933"/>
    <w:rsid w:val="002A53AC"/>
    <w:rsid w:val="002B0E3E"/>
    <w:rsid w:val="002B3660"/>
    <w:rsid w:val="002B4627"/>
    <w:rsid w:val="002C1F57"/>
    <w:rsid w:val="002C2E18"/>
    <w:rsid w:val="002C61EC"/>
    <w:rsid w:val="002C7C43"/>
    <w:rsid w:val="002D6C5F"/>
    <w:rsid w:val="002E1207"/>
    <w:rsid w:val="002E1541"/>
    <w:rsid w:val="002F754B"/>
    <w:rsid w:val="003036AD"/>
    <w:rsid w:val="003166BD"/>
    <w:rsid w:val="00317245"/>
    <w:rsid w:val="00321CF5"/>
    <w:rsid w:val="00322B67"/>
    <w:rsid w:val="003248CF"/>
    <w:rsid w:val="00325A24"/>
    <w:rsid w:val="00330DA1"/>
    <w:rsid w:val="0033410C"/>
    <w:rsid w:val="00356A01"/>
    <w:rsid w:val="0037285C"/>
    <w:rsid w:val="0037432B"/>
    <w:rsid w:val="00390B47"/>
    <w:rsid w:val="003A3206"/>
    <w:rsid w:val="003A6BF1"/>
    <w:rsid w:val="003D09B4"/>
    <w:rsid w:val="003E6D44"/>
    <w:rsid w:val="003E7D11"/>
    <w:rsid w:val="003F03FF"/>
    <w:rsid w:val="003F35E0"/>
    <w:rsid w:val="003F5C5A"/>
    <w:rsid w:val="00405033"/>
    <w:rsid w:val="004122E6"/>
    <w:rsid w:val="00416672"/>
    <w:rsid w:val="004315F3"/>
    <w:rsid w:val="004325B0"/>
    <w:rsid w:val="00445A91"/>
    <w:rsid w:val="00454756"/>
    <w:rsid w:val="004610F7"/>
    <w:rsid w:val="00462276"/>
    <w:rsid w:val="004645E5"/>
    <w:rsid w:val="004658CC"/>
    <w:rsid w:val="00471D26"/>
    <w:rsid w:val="004750C0"/>
    <w:rsid w:val="00475581"/>
    <w:rsid w:val="00490816"/>
    <w:rsid w:val="004957FA"/>
    <w:rsid w:val="004A44AB"/>
    <w:rsid w:val="004A6BFA"/>
    <w:rsid w:val="004C6059"/>
    <w:rsid w:val="004C6C2B"/>
    <w:rsid w:val="004D4417"/>
    <w:rsid w:val="004D4946"/>
    <w:rsid w:val="004D61CA"/>
    <w:rsid w:val="004E67CE"/>
    <w:rsid w:val="005017CD"/>
    <w:rsid w:val="005113F2"/>
    <w:rsid w:val="00513E18"/>
    <w:rsid w:val="005143BC"/>
    <w:rsid w:val="00514DF9"/>
    <w:rsid w:val="00516E87"/>
    <w:rsid w:val="00517FDC"/>
    <w:rsid w:val="00521CCD"/>
    <w:rsid w:val="00526EF2"/>
    <w:rsid w:val="0053174A"/>
    <w:rsid w:val="005427CC"/>
    <w:rsid w:val="00543750"/>
    <w:rsid w:val="00555F39"/>
    <w:rsid w:val="00561D47"/>
    <w:rsid w:val="00565143"/>
    <w:rsid w:val="00573D2B"/>
    <w:rsid w:val="005769B3"/>
    <w:rsid w:val="005824ED"/>
    <w:rsid w:val="005844E7"/>
    <w:rsid w:val="00586ADA"/>
    <w:rsid w:val="00586BEA"/>
    <w:rsid w:val="00587FE6"/>
    <w:rsid w:val="0059669E"/>
    <w:rsid w:val="00596D5F"/>
    <w:rsid w:val="0059764E"/>
    <w:rsid w:val="00597831"/>
    <w:rsid w:val="005A1E38"/>
    <w:rsid w:val="005A5B3E"/>
    <w:rsid w:val="005A7E5A"/>
    <w:rsid w:val="005B06CF"/>
    <w:rsid w:val="005B5533"/>
    <w:rsid w:val="005C165C"/>
    <w:rsid w:val="005C298C"/>
    <w:rsid w:val="005C40DD"/>
    <w:rsid w:val="005D586D"/>
    <w:rsid w:val="005D628B"/>
    <w:rsid w:val="005E4141"/>
    <w:rsid w:val="005E4D8B"/>
    <w:rsid w:val="005E65B1"/>
    <w:rsid w:val="005F3BED"/>
    <w:rsid w:val="00605472"/>
    <w:rsid w:val="006106FA"/>
    <w:rsid w:val="00631654"/>
    <w:rsid w:val="0063522F"/>
    <w:rsid w:val="00646584"/>
    <w:rsid w:val="00650A29"/>
    <w:rsid w:val="006526AE"/>
    <w:rsid w:val="0065586E"/>
    <w:rsid w:val="00660CDC"/>
    <w:rsid w:val="00677068"/>
    <w:rsid w:val="00690720"/>
    <w:rsid w:val="00693574"/>
    <w:rsid w:val="00694AF7"/>
    <w:rsid w:val="00696E3A"/>
    <w:rsid w:val="006A4B06"/>
    <w:rsid w:val="006A6D9B"/>
    <w:rsid w:val="006B1034"/>
    <w:rsid w:val="006B340B"/>
    <w:rsid w:val="006B45C9"/>
    <w:rsid w:val="006C21FF"/>
    <w:rsid w:val="006C50B1"/>
    <w:rsid w:val="006E1735"/>
    <w:rsid w:val="006E3B9D"/>
    <w:rsid w:val="006E48D0"/>
    <w:rsid w:val="006E756A"/>
    <w:rsid w:val="006F1615"/>
    <w:rsid w:val="006F2A3D"/>
    <w:rsid w:val="006F3C9A"/>
    <w:rsid w:val="00703DA5"/>
    <w:rsid w:val="00714C92"/>
    <w:rsid w:val="007167A0"/>
    <w:rsid w:val="00724987"/>
    <w:rsid w:val="00724AD7"/>
    <w:rsid w:val="00725F30"/>
    <w:rsid w:val="00731472"/>
    <w:rsid w:val="00731B8A"/>
    <w:rsid w:val="00739430"/>
    <w:rsid w:val="00745491"/>
    <w:rsid w:val="00746B7A"/>
    <w:rsid w:val="007507CE"/>
    <w:rsid w:val="0075461D"/>
    <w:rsid w:val="00756E34"/>
    <w:rsid w:val="00757CA3"/>
    <w:rsid w:val="007605F4"/>
    <w:rsid w:val="007620CC"/>
    <w:rsid w:val="0077263B"/>
    <w:rsid w:val="00772754"/>
    <w:rsid w:val="00773077"/>
    <w:rsid w:val="00775840"/>
    <w:rsid w:val="00785322"/>
    <w:rsid w:val="0079609B"/>
    <w:rsid w:val="00796786"/>
    <w:rsid w:val="007977D4"/>
    <w:rsid w:val="007A5E0E"/>
    <w:rsid w:val="007A67A9"/>
    <w:rsid w:val="007B0589"/>
    <w:rsid w:val="007B1F5B"/>
    <w:rsid w:val="007B7079"/>
    <w:rsid w:val="007C47E9"/>
    <w:rsid w:val="007C4A26"/>
    <w:rsid w:val="007D0937"/>
    <w:rsid w:val="007D23AE"/>
    <w:rsid w:val="007F0193"/>
    <w:rsid w:val="008072E0"/>
    <w:rsid w:val="008138D7"/>
    <w:rsid w:val="00815229"/>
    <w:rsid w:val="008202DD"/>
    <w:rsid w:val="00821143"/>
    <w:rsid w:val="00830FAC"/>
    <w:rsid w:val="008337D0"/>
    <w:rsid w:val="00855AF0"/>
    <w:rsid w:val="008638AC"/>
    <w:rsid w:val="00865243"/>
    <w:rsid w:val="00866CF5"/>
    <w:rsid w:val="00877531"/>
    <w:rsid w:val="00881943"/>
    <w:rsid w:val="00883D34"/>
    <w:rsid w:val="00887A85"/>
    <w:rsid w:val="0089021B"/>
    <w:rsid w:val="00892D38"/>
    <w:rsid w:val="008974A1"/>
    <w:rsid w:val="008B133C"/>
    <w:rsid w:val="008B271C"/>
    <w:rsid w:val="008B684C"/>
    <w:rsid w:val="008C7B2E"/>
    <w:rsid w:val="008F168E"/>
    <w:rsid w:val="00905045"/>
    <w:rsid w:val="00911AF8"/>
    <w:rsid w:val="00912290"/>
    <w:rsid w:val="009335F2"/>
    <w:rsid w:val="009403DF"/>
    <w:rsid w:val="00942B4D"/>
    <w:rsid w:val="0095486A"/>
    <w:rsid w:val="00962CA3"/>
    <w:rsid w:val="00970336"/>
    <w:rsid w:val="009747B9"/>
    <w:rsid w:val="0098273B"/>
    <w:rsid w:val="00986FE2"/>
    <w:rsid w:val="009916B8"/>
    <w:rsid w:val="009B2F58"/>
    <w:rsid w:val="009B4C8E"/>
    <w:rsid w:val="009C3E62"/>
    <w:rsid w:val="009D0E39"/>
    <w:rsid w:val="009E0766"/>
    <w:rsid w:val="009F325A"/>
    <w:rsid w:val="00A057B8"/>
    <w:rsid w:val="00A05D91"/>
    <w:rsid w:val="00A07219"/>
    <w:rsid w:val="00A075DE"/>
    <w:rsid w:val="00A0781D"/>
    <w:rsid w:val="00A100E8"/>
    <w:rsid w:val="00A10444"/>
    <w:rsid w:val="00A21349"/>
    <w:rsid w:val="00A25518"/>
    <w:rsid w:val="00A262E0"/>
    <w:rsid w:val="00A30941"/>
    <w:rsid w:val="00A655D1"/>
    <w:rsid w:val="00A6615F"/>
    <w:rsid w:val="00A66DD2"/>
    <w:rsid w:val="00A71ED9"/>
    <w:rsid w:val="00A80447"/>
    <w:rsid w:val="00A8169C"/>
    <w:rsid w:val="00A81E2B"/>
    <w:rsid w:val="00A8578A"/>
    <w:rsid w:val="00A86E6D"/>
    <w:rsid w:val="00A918C4"/>
    <w:rsid w:val="00A9199E"/>
    <w:rsid w:val="00AB670E"/>
    <w:rsid w:val="00AC0690"/>
    <w:rsid w:val="00AD00C6"/>
    <w:rsid w:val="00AD2FDB"/>
    <w:rsid w:val="00AE61B8"/>
    <w:rsid w:val="00AE704D"/>
    <w:rsid w:val="00AE7323"/>
    <w:rsid w:val="00AF37A1"/>
    <w:rsid w:val="00B06A14"/>
    <w:rsid w:val="00B14895"/>
    <w:rsid w:val="00B17BA5"/>
    <w:rsid w:val="00B2010A"/>
    <w:rsid w:val="00B21751"/>
    <w:rsid w:val="00B30C99"/>
    <w:rsid w:val="00B31C3E"/>
    <w:rsid w:val="00B421AA"/>
    <w:rsid w:val="00B4397C"/>
    <w:rsid w:val="00B45A19"/>
    <w:rsid w:val="00B46463"/>
    <w:rsid w:val="00B55966"/>
    <w:rsid w:val="00B56C10"/>
    <w:rsid w:val="00B6464B"/>
    <w:rsid w:val="00B64D8E"/>
    <w:rsid w:val="00B67816"/>
    <w:rsid w:val="00B77299"/>
    <w:rsid w:val="00B77C17"/>
    <w:rsid w:val="00B807CE"/>
    <w:rsid w:val="00B83C62"/>
    <w:rsid w:val="00B8676C"/>
    <w:rsid w:val="00B93489"/>
    <w:rsid w:val="00BA0873"/>
    <w:rsid w:val="00BA4522"/>
    <w:rsid w:val="00BD0FAD"/>
    <w:rsid w:val="00BE4747"/>
    <w:rsid w:val="00BE7A53"/>
    <w:rsid w:val="00BF5CA3"/>
    <w:rsid w:val="00C13143"/>
    <w:rsid w:val="00C13809"/>
    <w:rsid w:val="00C20B67"/>
    <w:rsid w:val="00C24656"/>
    <w:rsid w:val="00C25C3C"/>
    <w:rsid w:val="00C31E56"/>
    <w:rsid w:val="00C41406"/>
    <w:rsid w:val="00C44EF0"/>
    <w:rsid w:val="00C50157"/>
    <w:rsid w:val="00C5039E"/>
    <w:rsid w:val="00C55329"/>
    <w:rsid w:val="00C56D46"/>
    <w:rsid w:val="00C65D86"/>
    <w:rsid w:val="00C71758"/>
    <w:rsid w:val="00C7522F"/>
    <w:rsid w:val="00C8729B"/>
    <w:rsid w:val="00C87E02"/>
    <w:rsid w:val="00C92758"/>
    <w:rsid w:val="00C97E17"/>
    <w:rsid w:val="00CA11C0"/>
    <w:rsid w:val="00CA46E7"/>
    <w:rsid w:val="00CA6E8A"/>
    <w:rsid w:val="00CB0547"/>
    <w:rsid w:val="00CB3753"/>
    <w:rsid w:val="00CB7C08"/>
    <w:rsid w:val="00CC3891"/>
    <w:rsid w:val="00CC3F16"/>
    <w:rsid w:val="00CC6D3A"/>
    <w:rsid w:val="00CD2C02"/>
    <w:rsid w:val="00CE03EE"/>
    <w:rsid w:val="00D11104"/>
    <w:rsid w:val="00D14787"/>
    <w:rsid w:val="00D14C1C"/>
    <w:rsid w:val="00D15935"/>
    <w:rsid w:val="00D16DB4"/>
    <w:rsid w:val="00D2305D"/>
    <w:rsid w:val="00D33E12"/>
    <w:rsid w:val="00D35666"/>
    <w:rsid w:val="00D42B5A"/>
    <w:rsid w:val="00D57395"/>
    <w:rsid w:val="00D57C2A"/>
    <w:rsid w:val="00D66065"/>
    <w:rsid w:val="00D66AD4"/>
    <w:rsid w:val="00D74966"/>
    <w:rsid w:val="00D8180B"/>
    <w:rsid w:val="00D86F3D"/>
    <w:rsid w:val="00D9635C"/>
    <w:rsid w:val="00DA1D53"/>
    <w:rsid w:val="00DA2767"/>
    <w:rsid w:val="00DA4374"/>
    <w:rsid w:val="00DA4580"/>
    <w:rsid w:val="00DA55D4"/>
    <w:rsid w:val="00DB017B"/>
    <w:rsid w:val="00DB0473"/>
    <w:rsid w:val="00DC065E"/>
    <w:rsid w:val="00DC40E1"/>
    <w:rsid w:val="00DC6839"/>
    <w:rsid w:val="00DD1E21"/>
    <w:rsid w:val="00DD3765"/>
    <w:rsid w:val="00DE549D"/>
    <w:rsid w:val="00DF1388"/>
    <w:rsid w:val="00DF240C"/>
    <w:rsid w:val="00DF2738"/>
    <w:rsid w:val="00DF5467"/>
    <w:rsid w:val="00DF6BA5"/>
    <w:rsid w:val="00E040A2"/>
    <w:rsid w:val="00E0690D"/>
    <w:rsid w:val="00E23F00"/>
    <w:rsid w:val="00E30C5C"/>
    <w:rsid w:val="00E42F71"/>
    <w:rsid w:val="00E4360B"/>
    <w:rsid w:val="00E46CCA"/>
    <w:rsid w:val="00E51C9C"/>
    <w:rsid w:val="00E555D0"/>
    <w:rsid w:val="00E5596C"/>
    <w:rsid w:val="00E57391"/>
    <w:rsid w:val="00E73000"/>
    <w:rsid w:val="00E758DA"/>
    <w:rsid w:val="00E76875"/>
    <w:rsid w:val="00E82B41"/>
    <w:rsid w:val="00E84332"/>
    <w:rsid w:val="00E87A3A"/>
    <w:rsid w:val="00E937A4"/>
    <w:rsid w:val="00E951DB"/>
    <w:rsid w:val="00E97B9F"/>
    <w:rsid w:val="00EA0D0C"/>
    <w:rsid w:val="00EB6FDE"/>
    <w:rsid w:val="00EC054C"/>
    <w:rsid w:val="00EC6789"/>
    <w:rsid w:val="00EC7A84"/>
    <w:rsid w:val="00ED029B"/>
    <w:rsid w:val="00ED08B4"/>
    <w:rsid w:val="00ED39C4"/>
    <w:rsid w:val="00ED43DF"/>
    <w:rsid w:val="00EE117A"/>
    <w:rsid w:val="00EE29EB"/>
    <w:rsid w:val="00EF7132"/>
    <w:rsid w:val="00F0631D"/>
    <w:rsid w:val="00F06BBD"/>
    <w:rsid w:val="00F136D1"/>
    <w:rsid w:val="00F145CA"/>
    <w:rsid w:val="00F160D5"/>
    <w:rsid w:val="00F1654E"/>
    <w:rsid w:val="00F17E86"/>
    <w:rsid w:val="00F22763"/>
    <w:rsid w:val="00F70291"/>
    <w:rsid w:val="00F70DA9"/>
    <w:rsid w:val="00F73CE3"/>
    <w:rsid w:val="00F940CC"/>
    <w:rsid w:val="00FA4B84"/>
    <w:rsid w:val="00FB3844"/>
    <w:rsid w:val="00FB5D3B"/>
    <w:rsid w:val="00FD1761"/>
    <w:rsid w:val="00FE3454"/>
    <w:rsid w:val="00FE5A65"/>
    <w:rsid w:val="00FE5FD3"/>
    <w:rsid w:val="00FF48CF"/>
    <w:rsid w:val="012F6239"/>
    <w:rsid w:val="0160FD34"/>
    <w:rsid w:val="01A626F4"/>
    <w:rsid w:val="01DD6EE1"/>
    <w:rsid w:val="02BE626B"/>
    <w:rsid w:val="03AC3F19"/>
    <w:rsid w:val="04990398"/>
    <w:rsid w:val="05024BCB"/>
    <w:rsid w:val="057DDAA6"/>
    <w:rsid w:val="063A62A4"/>
    <w:rsid w:val="07461F04"/>
    <w:rsid w:val="08454B04"/>
    <w:rsid w:val="0983710E"/>
    <w:rsid w:val="0A2037F2"/>
    <w:rsid w:val="0A483E41"/>
    <w:rsid w:val="0B1B82C9"/>
    <w:rsid w:val="0B5D47F2"/>
    <w:rsid w:val="0B809281"/>
    <w:rsid w:val="0BD530B0"/>
    <w:rsid w:val="0CA9A63C"/>
    <w:rsid w:val="0D49AD05"/>
    <w:rsid w:val="0E2C3414"/>
    <w:rsid w:val="0E3760E0"/>
    <w:rsid w:val="0E8AED4B"/>
    <w:rsid w:val="0EA95551"/>
    <w:rsid w:val="0ED685A4"/>
    <w:rsid w:val="0ED74FED"/>
    <w:rsid w:val="1024E296"/>
    <w:rsid w:val="1036E033"/>
    <w:rsid w:val="103E3546"/>
    <w:rsid w:val="1153DDEB"/>
    <w:rsid w:val="116C71EC"/>
    <w:rsid w:val="12016154"/>
    <w:rsid w:val="120D8EEE"/>
    <w:rsid w:val="141EADBF"/>
    <w:rsid w:val="146FE13C"/>
    <w:rsid w:val="15979834"/>
    <w:rsid w:val="16667906"/>
    <w:rsid w:val="1694813E"/>
    <w:rsid w:val="1736422D"/>
    <w:rsid w:val="1753BECB"/>
    <w:rsid w:val="17A2EA80"/>
    <w:rsid w:val="17AD86FE"/>
    <w:rsid w:val="17E5E470"/>
    <w:rsid w:val="18C8EA9E"/>
    <w:rsid w:val="18F0BD21"/>
    <w:rsid w:val="192886BD"/>
    <w:rsid w:val="1A02D275"/>
    <w:rsid w:val="1A82A8B9"/>
    <w:rsid w:val="1C3AA42E"/>
    <w:rsid w:val="1CB3160A"/>
    <w:rsid w:val="1D4FDCEE"/>
    <w:rsid w:val="1E9773C7"/>
    <w:rsid w:val="1F75358B"/>
    <w:rsid w:val="1F97570B"/>
    <w:rsid w:val="20AB2CE6"/>
    <w:rsid w:val="20EA942F"/>
    <w:rsid w:val="20ECEAB1"/>
    <w:rsid w:val="212F8B1E"/>
    <w:rsid w:val="216705DC"/>
    <w:rsid w:val="22C2386F"/>
    <w:rsid w:val="22F91877"/>
    <w:rsid w:val="237B7129"/>
    <w:rsid w:val="23976256"/>
    <w:rsid w:val="247032B1"/>
    <w:rsid w:val="252F84E8"/>
    <w:rsid w:val="25A3C88B"/>
    <w:rsid w:val="25B4525F"/>
    <w:rsid w:val="26107872"/>
    <w:rsid w:val="275404FF"/>
    <w:rsid w:val="27EA1C85"/>
    <w:rsid w:val="28219743"/>
    <w:rsid w:val="28E33C4D"/>
    <w:rsid w:val="29C4263A"/>
    <w:rsid w:val="2A0A623E"/>
    <w:rsid w:val="2A0C5976"/>
    <w:rsid w:val="2A406516"/>
    <w:rsid w:val="2A46D9A5"/>
    <w:rsid w:val="2A98350B"/>
    <w:rsid w:val="2B020A20"/>
    <w:rsid w:val="2B664F8F"/>
    <w:rsid w:val="2CBA10FF"/>
    <w:rsid w:val="2CFD0F42"/>
    <w:rsid w:val="2D1328F1"/>
    <w:rsid w:val="2DABF3C6"/>
    <w:rsid w:val="30A13DC8"/>
    <w:rsid w:val="30AD7009"/>
    <w:rsid w:val="320FEB86"/>
    <w:rsid w:val="32DF7384"/>
    <w:rsid w:val="33904B4D"/>
    <w:rsid w:val="33CB8F49"/>
    <w:rsid w:val="33E3CD8F"/>
    <w:rsid w:val="348A85AE"/>
    <w:rsid w:val="34B6A67C"/>
    <w:rsid w:val="34E09C1F"/>
    <w:rsid w:val="3505A9F1"/>
    <w:rsid w:val="367B0895"/>
    <w:rsid w:val="37B09A4E"/>
    <w:rsid w:val="38B40481"/>
    <w:rsid w:val="39409F41"/>
    <w:rsid w:val="3982B67D"/>
    <w:rsid w:val="39A495AE"/>
    <w:rsid w:val="39E69745"/>
    <w:rsid w:val="3A31AE3D"/>
    <w:rsid w:val="3AE2AC65"/>
    <w:rsid w:val="3B94305B"/>
    <w:rsid w:val="3BFD826D"/>
    <w:rsid w:val="3D6D14BA"/>
    <w:rsid w:val="3E141064"/>
    <w:rsid w:val="3EF77773"/>
    <w:rsid w:val="3F3480DC"/>
    <w:rsid w:val="3F3F70A1"/>
    <w:rsid w:val="40366D84"/>
    <w:rsid w:val="414BB126"/>
    <w:rsid w:val="422CADE8"/>
    <w:rsid w:val="424BD6FF"/>
    <w:rsid w:val="427BC9D9"/>
    <w:rsid w:val="42C2032E"/>
    <w:rsid w:val="431BD664"/>
    <w:rsid w:val="434F4132"/>
    <w:rsid w:val="448351E8"/>
    <w:rsid w:val="448B243D"/>
    <w:rsid w:val="44B19C14"/>
    <w:rsid w:val="452BD049"/>
    <w:rsid w:val="453F3B2A"/>
    <w:rsid w:val="456D11EB"/>
    <w:rsid w:val="458F8894"/>
    <w:rsid w:val="45EEC20C"/>
    <w:rsid w:val="466AD7CE"/>
    <w:rsid w:val="46ECEDCB"/>
    <w:rsid w:val="48819AEF"/>
    <w:rsid w:val="4883A5AE"/>
    <w:rsid w:val="49066866"/>
    <w:rsid w:val="4956C30B"/>
    <w:rsid w:val="49B75E03"/>
    <w:rsid w:val="4A09D299"/>
    <w:rsid w:val="4A50F497"/>
    <w:rsid w:val="4BEE9236"/>
    <w:rsid w:val="4CD4AECF"/>
    <w:rsid w:val="4CD849A3"/>
    <w:rsid w:val="4D163C41"/>
    <w:rsid w:val="4D7E4AEE"/>
    <w:rsid w:val="4D927B1D"/>
    <w:rsid w:val="4DEA4B12"/>
    <w:rsid w:val="4E707F30"/>
    <w:rsid w:val="4EA4C7D3"/>
    <w:rsid w:val="4EFAFEA5"/>
    <w:rsid w:val="503D834B"/>
    <w:rsid w:val="510BB8CF"/>
    <w:rsid w:val="5223F446"/>
    <w:rsid w:val="5224BE8F"/>
    <w:rsid w:val="52392B2C"/>
    <w:rsid w:val="52E331D3"/>
    <w:rsid w:val="538A695E"/>
    <w:rsid w:val="54D1D9FB"/>
    <w:rsid w:val="55CED67F"/>
    <w:rsid w:val="55DB275E"/>
    <w:rsid w:val="59732398"/>
    <w:rsid w:val="59BE28A4"/>
    <w:rsid w:val="5AC2D9CD"/>
    <w:rsid w:val="5B5FA0B1"/>
    <w:rsid w:val="5B76CFD5"/>
    <w:rsid w:val="5D175C4A"/>
    <w:rsid w:val="5D7E6E84"/>
    <w:rsid w:val="5EEA0E87"/>
    <w:rsid w:val="5F22E014"/>
    <w:rsid w:val="5F27F078"/>
    <w:rsid w:val="5F6D16AC"/>
    <w:rsid w:val="5F786A84"/>
    <w:rsid w:val="612EF423"/>
    <w:rsid w:val="61AA85E2"/>
    <w:rsid w:val="625A80D6"/>
    <w:rsid w:val="63017B95"/>
    <w:rsid w:val="63F408FC"/>
    <w:rsid w:val="6423645E"/>
    <w:rsid w:val="64E17902"/>
    <w:rsid w:val="64E1D7A2"/>
    <w:rsid w:val="65922198"/>
    <w:rsid w:val="65A1F532"/>
    <w:rsid w:val="65C26ED1"/>
    <w:rsid w:val="66B28AFD"/>
    <w:rsid w:val="66CE21EA"/>
    <w:rsid w:val="673E1385"/>
    <w:rsid w:val="68B7A00E"/>
    <w:rsid w:val="68ED57D5"/>
    <w:rsid w:val="69236D61"/>
    <w:rsid w:val="69E5EA00"/>
    <w:rsid w:val="69F9DA12"/>
    <w:rsid w:val="6A3F03D2"/>
    <w:rsid w:val="6A4B40D6"/>
    <w:rsid w:val="6A69D645"/>
    <w:rsid w:val="6A6D491A"/>
    <w:rsid w:val="6A74E74A"/>
    <w:rsid w:val="6AF6B462"/>
    <w:rsid w:val="6B573F49"/>
    <w:rsid w:val="6B9AC415"/>
    <w:rsid w:val="6BA1F473"/>
    <w:rsid w:val="6C3E1D83"/>
    <w:rsid w:val="6C43AD29"/>
    <w:rsid w:val="6CEC1F3E"/>
    <w:rsid w:val="7092F1EA"/>
    <w:rsid w:val="70B7D089"/>
    <w:rsid w:val="70CC97B7"/>
    <w:rsid w:val="710596DD"/>
    <w:rsid w:val="71695E9B"/>
    <w:rsid w:val="716E768A"/>
    <w:rsid w:val="71FCCC9B"/>
    <w:rsid w:val="727C0C7D"/>
    <w:rsid w:val="72E64523"/>
    <w:rsid w:val="7343357F"/>
    <w:rsid w:val="73B839F8"/>
    <w:rsid w:val="759880F6"/>
    <w:rsid w:val="759EA719"/>
    <w:rsid w:val="75EE9064"/>
    <w:rsid w:val="77B25227"/>
    <w:rsid w:val="77F605C5"/>
    <w:rsid w:val="78FA5CB3"/>
    <w:rsid w:val="79263126"/>
    <w:rsid w:val="79610002"/>
    <w:rsid w:val="79FDC6E6"/>
    <w:rsid w:val="7A42BDD5"/>
    <w:rsid w:val="7BD17B98"/>
    <w:rsid w:val="7D69C8FF"/>
    <w:rsid w:val="7EC9B0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56E20B5"/>
  <w15:chartTrackingRefBased/>
  <w15:docId w15:val="{320120E9-55F7-4163-8401-BEC049B8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ED39C4"/>
    <w:pPr>
      <w:keepNext/>
      <w:tabs>
        <w:tab w:val="num" w:pos="1200"/>
      </w:tabs>
      <w:spacing w:after="240" w:line="240" w:lineRule="auto"/>
      <w:ind w:left="1200" w:hanging="720"/>
      <w:jc w:val="both"/>
      <w:outlineLvl w:val="1"/>
    </w:pPr>
    <w:rPr>
      <w:rFonts w:ascii="Times New Roman" w:eastAsia="Times New Roman" w:hAnsi="Times New Roman" w:cs="Times New Roman"/>
      <w:b/>
      <w:sz w:val="24"/>
    </w:rPr>
  </w:style>
  <w:style w:type="paragraph" w:styleId="Heading3">
    <w:name w:val="heading 3"/>
    <w:basedOn w:val="Normal"/>
    <w:next w:val="Normal"/>
    <w:link w:val="Heading3Char"/>
    <w:uiPriority w:val="9"/>
    <w:unhideWhenUsed/>
    <w:qFormat/>
    <w:rsid w:val="000A720D"/>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3A3206"/>
    <w:rPr>
      <w:color w:val="0000FF"/>
      <w:bdr w:val="none" w:sz="0" w:space="0" w:color="auto"/>
      <w:shd w:val="clear" w:color="auto" w:fill="auto"/>
    </w:rPr>
  </w:style>
  <w:style w:type="paragraph" w:customStyle="1" w:styleId="Pagedecouverture">
    <w:name w:val="Page de couverture"/>
    <w:basedOn w:val="Normal"/>
    <w:next w:val="Normal"/>
    <w:rsid w:val="00FE5FD3"/>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FE5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FD3"/>
  </w:style>
  <w:style w:type="paragraph" w:styleId="Footer">
    <w:name w:val="footer"/>
    <w:basedOn w:val="Normal"/>
    <w:link w:val="FooterChar"/>
    <w:uiPriority w:val="99"/>
    <w:unhideWhenUsed/>
    <w:rsid w:val="00FE5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FD3"/>
  </w:style>
  <w:style w:type="paragraph" w:customStyle="1" w:styleId="FooterCoverPage">
    <w:name w:val="Footer Cover Page"/>
    <w:basedOn w:val="Normal"/>
    <w:link w:val="FooterCoverPageChar"/>
    <w:rsid w:val="00FE5FD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E5FD3"/>
    <w:rPr>
      <w:rFonts w:ascii="Times New Roman" w:hAnsi="Times New Roman" w:cs="Times New Roman"/>
      <w:sz w:val="24"/>
    </w:rPr>
  </w:style>
  <w:style w:type="paragraph" w:customStyle="1" w:styleId="FooterSensitivity">
    <w:name w:val="Footer Sensitivity"/>
    <w:basedOn w:val="Normal"/>
    <w:link w:val="FooterSensitivityChar"/>
    <w:rsid w:val="00FE5FD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E5FD3"/>
    <w:rPr>
      <w:rFonts w:ascii="Times New Roman" w:hAnsi="Times New Roman" w:cs="Times New Roman"/>
      <w:b/>
      <w:sz w:val="32"/>
    </w:rPr>
  </w:style>
  <w:style w:type="paragraph" w:customStyle="1" w:styleId="HeaderCoverPage">
    <w:name w:val="Header Cover Page"/>
    <w:basedOn w:val="Normal"/>
    <w:link w:val="HeaderCoverPageChar"/>
    <w:rsid w:val="00FE5FD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E5FD3"/>
    <w:rPr>
      <w:rFonts w:ascii="Times New Roman" w:hAnsi="Times New Roman" w:cs="Times New Roman"/>
      <w:sz w:val="24"/>
    </w:rPr>
  </w:style>
  <w:style w:type="paragraph" w:customStyle="1" w:styleId="HeaderSensitivity">
    <w:name w:val="Header Sensitivity"/>
    <w:basedOn w:val="Normal"/>
    <w:link w:val="HeaderSensitivityChar"/>
    <w:rsid w:val="00FE5FD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E5FD3"/>
    <w:rPr>
      <w:rFonts w:ascii="Times New Roman" w:hAnsi="Times New Roman" w:cs="Times New Roman"/>
      <w:b/>
      <w:sz w:val="32"/>
    </w:rPr>
  </w:style>
  <w:style w:type="paragraph" w:customStyle="1" w:styleId="HeaderSensitivityRight">
    <w:name w:val="Header Sensitivity Right"/>
    <w:basedOn w:val="Normal"/>
    <w:link w:val="HeaderSensitivityRightChar"/>
    <w:rsid w:val="00FE5FD3"/>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E5FD3"/>
    <w:rPr>
      <w:rFonts w:ascii="Times New Roman" w:hAnsi="Times New Roman" w:cs="Times New Roman"/>
      <w:sz w:val="28"/>
    </w:rPr>
  </w:style>
  <w:style w:type="character" w:customStyle="1" w:styleId="Heading2Char">
    <w:name w:val="Heading 2 Char"/>
    <w:basedOn w:val="DefaultParagraphFont"/>
    <w:link w:val="Heading2"/>
    <w:uiPriority w:val="9"/>
    <w:rsid w:val="00ED39C4"/>
    <w:rPr>
      <w:rFonts w:ascii="Times New Roman" w:eastAsia="Times New Roman" w:hAnsi="Times New Roman" w:cs="Times New Roman"/>
      <w:b/>
      <w:sz w:val="24"/>
    </w:rPr>
  </w:style>
  <w:style w:type="table" w:styleId="TableGrid">
    <w:name w:val="Table Grid"/>
    <w:basedOn w:val="TableNormal"/>
    <w:uiPriority w:val="39"/>
    <w:rsid w:val="00ED39C4"/>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9C4"/>
    <w:pPr>
      <w:ind w:left="720"/>
      <w:contextualSpacing/>
    </w:pPr>
  </w:style>
  <w:style w:type="character" w:customStyle="1" w:styleId="BodyChar">
    <w:name w:val="Body Char"/>
    <w:link w:val="Body"/>
    <w:uiPriority w:val="99"/>
    <w:locked/>
    <w:rsid w:val="00ED39C4"/>
    <w:rPr>
      <w:rFonts w:ascii="Verdana" w:eastAsia="Times New Roman" w:hAnsi="Verdana" w:cs="Times New Roman"/>
      <w:sz w:val="18"/>
    </w:rPr>
  </w:style>
  <w:style w:type="paragraph" w:customStyle="1" w:styleId="Body">
    <w:name w:val="Body"/>
    <w:basedOn w:val="Normal"/>
    <w:link w:val="BodyChar"/>
    <w:uiPriority w:val="99"/>
    <w:qFormat/>
    <w:rsid w:val="00ED39C4"/>
    <w:pPr>
      <w:spacing w:after="240" w:line="240" w:lineRule="auto"/>
      <w:jc w:val="both"/>
    </w:pPr>
    <w:rPr>
      <w:rFonts w:ascii="Verdana" w:eastAsia="Times New Roman" w:hAnsi="Verdana" w:cs="Times New Roman"/>
      <w:sz w:val="18"/>
    </w:rPr>
  </w:style>
  <w:style w:type="paragraph" w:customStyle="1" w:styleId="Text2">
    <w:name w:val="Text 2"/>
    <w:basedOn w:val="Normal"/>
    <w:rsid w:val="00ED39C4"/>
    <w:pPr>
      <w:tabs>
        <w:tab w:val="left" w:pos="2302"/>
      </w:tabs>
      <w:spacing w:after="240" w:line="240" w:lineRule="auto"/>
      <w:ind w:left="1202"/>
      <w:jc w:val="both"/>
    </w:pPr>
    <w:rPr>
      <w:rFonts w:ascii="Times New Roman" w:eastAsia="Times New Roman" w:hAnsi="Times New Roman" w:cs="Times New Roman"/>
      <w:sz w:val="24"/>
    </w:rPr>
  </w:style>
  <w:style w:type="paragraph" w:customStyle="1" w:styleId="Text1">
    <w:name w:val="Text 1"/>
    <w:basedOn w:val="Normal"/>
    <w:rsid w:val="00ED39C4"/>
    <w:pPr>
      <w:spacing w:after="240" w:line="240" w:lineRule="auto"/>
      <w:ind w:left="482"/>
      <w:jc w:val="both"/>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B31C3E"/>
    <w:rPr>
      <w:sz w:val="16"/>
    </w:rPr>
  </w:style>
  <w:style w:type="paragraph" w:styleId="CommentText">
    <w:name w:val="annotation text"/>
    <w:basedOn w:val="Normal"/>
    <w:link w:val="CommentTextChar"/>
    <w:uiPriority w:val="99"/>
    <w:semiHidden/>
    <w:unhideWhenUsed/>
    <w:rsid w:val="00B31C3E"/>
    <w:pPr>
      <w:spacing w:line="240" w:lineRule="auto"/>
    </w:pPr>
    <w:rPr>
      <w:sz w:val="20"/>
    </w:rPr>
  </w:style>
  <w:style w:type="character" w:customStyle="1" w:styleId="CommentTextChar">
    <w:name w:val="Comment Text Char"/>
    <w:basedOn w:val="DefaultParagraphFont"/>
    <w:link w:val="CommentText"/>
    <w:uiPriority w:val="99"/>
    <w:semiHidden/>
    <w:rsid w:val="00B31C3E"/>
    <w:rPr>
      <w:sz w:val="20"/>
    </w:rPr>
  </w:style>
  <w:style w:type="paragraph" w:styleId="CommentSubject">
    <w:name w:val="annotation subject"/>
    <w:basedOn w:val="CommentText"/>
    <w:next w:val="CommentText"/>
    <w:link w:val="CommentSubjectChar"/>
    <w:uiPriority w:val="99"/>
    <w:semiHidden/>
    <w:unhideWhenUsed/>
    <w:rsid w:val="00B31C3E"/>
    <w:rPr>
      <w:b/>
    </w:rPr>
  </w:style>
  <w:style w:type="character" w:customStyle="1" w:styleId="CommentSubjectChar">
    <w:name w:val="Comment Subject Char"/>
    <w:basedOn w:val="CommentTextChar"/>
    <w:link w:val="CommentSubject"/>
    <w:uiPriority w:val="99"/>
    <w:semiHidden/>
    <w:rsid w:val="00B31C3E"/>
    <w:rPr>
      <w:b/>
      <w:sz w:val="20"/>
    </w:rPr>
  </w:style>
  <w:style w:type="paragraph" w:styleId="BalloonText">
    <w:name w:val="Balloon Text"/>
    <w:basedOn w:val="Normal"/>
    <w:link w:val="BalloonTextChar"/>
    <w:uiPriority w:val="99"/>
    <w:semiHidden/>
    <w:unhideWhenUsed/>
    <w:rsid w:val="00B31C3E"/>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B31C3E"/>
    <w:rPr>
      <w:rFonts w:ascii="Segoe UI" w:hAnsi="Segoe UI" w:cs="Segoe UI"/>
      <w:sz w:val="18"/>
    </w:rPr>
  </w:style>
  <w:style w:type="paragraph" w:styleId="FootnoteText">
    <w:name w:val="footnote text"/>
    <w:basedOn w:val="Normal"/>
    <w:link w:val="FootnoteTextChar"/>
    <w:uiPriority w:val="99"/>
    <w:unhideWhenUsed/>
    <w:qFormat/>
    <w:rsid w:val="00020E68"/>
    <w:pPr>
      <w:spacing w:after="0" w:line="240" w:lineRule="auto"/>
    </w:pPr>
    <w:rPr>
      <w:sz w:val="20"/>
    </w:rPr>
  </w:style>
  <w:style w:type="character" w:customStyle="1" w:styleId="FootnoteTextChar">
    <w:name w:val="Footnote Text Char"/>
    <w:basedOn w:val="DefaultParagraphFont"/>
    <w:link w:val="FootnoteText"/>
    <w:uiPriority w:val="99"/>
    <w:qFormat/>
    <w:rsid w:val="00020E68"/>
    <w:rPr>
      <w:sz w:val="20"/>
    </w:rPr>
  </w:style>
  <w:style w:type="character" w:styleId="FootnoteReference">
    <w:name w:val="footnote reference"/>
    <w:basedOn w:val="DefaultParagraphFont"/>
    <w:link w:val="CharCharChar1"/>
    <w:uiPriority w:val="99"/>
    <w:unhideWhenUsed/>
    <w:qFormat/>
    <w:rsid w:val="00020E68"/>
    <w:rPr>
      <w:vertAlign w:val="superscript"/>
    </w:rPr>
  </w:style>
  <w:style w:type="character" w:styleId="Hyperlink">
    <w:name w:val="Hyperlink"/>
    <w:basedOn w:val="DefaultParagraphFont"/>
    <w:uiPriority w:val="99"/>
    <w:unhideWhenUsed/>
    <w:rsid w:val="00020E68"/>
    <w:rPr>
      <w:color w:val="0000FF" w:themeColor="hyperlink"/>
      <w:u w:val="single"/>
    </w:rPr>
  </w:style>
  <w:style w:type="character" w:customStyle="1" w:styleId="Heading3Char">
    <w:name w:val="Heading 3 Char"/>
    <w:basedOn w:val="DefaultParagraphFont"/>
    <w:link w:val="Heading3"/>
    <w:uiPriority w:val="9"/>
    <w:rsid w:val="000A720D"/>
    <w:rPr>
      <w:rFonts w:asciiTheme="majorHAnsi" w:eastAsiaTheme="majorEastAsia" w:hAnsiTheme="majorHAnsi" w:cstheme="majorBidi"/>
      <w:color w:val="243F60" w:themeColor="accent1" w:themeShade="7F"/>
      <w:sz w:val="24"/>
    </w:rPr>
  </w:style>
  <w:style w:type="paragraph" w:styleId="Caption">
    <w:name w:val="caption"/>
    <w:basedOn w:val="Normal"/>
    <w:next w:val="Normal"/>
    <w:uiPriority w:val="35"/>
    <w:unhideWhenUsed/>
    <w:qFormat/>
    <w:rsid w:val="00CB3753"/>
    <w:pPr>
      <w:spacing w:line="240" w:lineRule="auto"/>
      <w:jc w:val="both"/>
    </w:pPr>
    <w:rPr>
      <w:rFonts w:ascii="Times New Roman" w:hAnsi="Times New Roman"/>
      <w:i/>
      <w:color w:val="1F497D" w:themeColor="text2"/>
      <w:sz w:val="18"/>
    </w:rPr>
  </w:style>
  <w:style w:type="paragraph" w:customStyle="1" w:styleId="CharCharChar1">
    <w:name w:val="Char Char Char1"/>
    <w:basedOn w:val="Normal"/>
    <w:link w:val="FootnoteReference"/>
    <w:uiPriority w:val="99"/>
    <w:rsid w:val="0059764E"/>
    <w:pPr>
      <w:spacing w:after="160" w:line="240" w:lineRule="exact"/>
      <w:jc w:val="both"/>
    </w:pPr>
    <w:rPr>
      <w:vertAlign w:val="superscript"/>
    </w:rPr>
  </w:style>
  <w:style w:type="character" w:customStyle="1" w:styleId="normaltextrun">
    <w:name w:val="normaltextrun"/>
    <w:basedOn w:val="DefaultParagraphFont"/>
    <w:rsid w:val="00A655D1"/>
  </w:style>
  <w:style w:type="character" w:customStyle="1" w:styleId="eop">
    <w:name w:val="eop"/>
    <w:basedOn w:val="DefaultParagraphFont"/>
    <w:rsid w:val="00A655D1"/>
  </w:style>
  <w:style w:type="paragraph" w:customStyle="1" w:styleId="Size10">
    <w:name w:val="Size 10"/>
    <w:basedOn w:val="Normal"/>
    <w:autoRedefine/>
    <w:qFormat/>
    <w:rsid w:val="00586ADA"/>
    <w:pPr>
      <w:spacing w:before="120" w:after="120" w:line="240" w:lineRule="auto"/>
      <w:ind w:right="-147"/>
    </w:pPr>
    <w:rPr>
      <w:rFonts w:ascii="Times New Roman" w:eastAsia="Times New Roman" w:hAnsi="Times New Roman" w:cs="Times New Roman"/>
      <w:sz w:val="16"/>
    </w:rPr>
  </w:style>
  <w:style w:type="paragraph" w:customStyle="1" w:styleId="Bullets">
    <w:name w:val="Bullets"/>
    <w:basedOn w:val="Normal"/>
    <w:autoRedefine/>
    <w:qFormat/>
    <w:rsid w:val="008F168E"/>
    <w:pPr>
      <w:spacing w:before="120" w:after="160" w:line="240" w:lineRule="auto"/>
      <w:jc w:val="both"/>
    </w:pPr>
    <w:rPr>
      <w:rFonts w:ascii="Times New Roman" w:eastAsiaTheme="minorEastAsia" w:hAnsi="Times New Roman" w:cs="Calibri"/>
      <w:color w:val="000000" w:themeColor="text1"/>
      <w:sz w:val="24"/>
    </w:rPr>
  </w:style>
  <w:style w:type="paragraph" w:styleId="Revision">
    <w:name w:val="Revision"/>
    <w:hidden/>
    <w:uiPriority w:val="99"/>
    <w:semiHidden/>
    <w:rsid w:val="00200524"/>
    <w:pPr>
      <w:spacing w:after="0" w:line="240" w:lineRule="auto"/>
    </w:pPr>
  </w:style>
  <w:style w:type="paragraph" w:customStyle="1" w:styleId="TechnicalBlock">
    <w:name w:val="Technical Block"/>
    <w:basedOn w:val="Normal"/>
    <w:link w:val="TechnicalBlockChar"/>
    <w:rsid w:val="003A3206"/>
    <w:pPr>
      <w:spacing w:after="240" w:line="240" w:lineRule="auto"/>
      <w:jc w:val="center"/>
    </w:pPr>
  </w:style>
  <w:style w:type="character" w:customStyle="1" w:styleId="TechnicalBlockChar">
    <w:name w:val="Technical Block Char"/>
    <w:basedOn w:val="DefaultParagraphFont"/>
    <w:link w:val="TechnicalBlock"/>
    <w:rsid w:val="003A3206"/>
  </w:style>
  <w:style w:type="paragraph" w:customStyle="1" w:styleId="EntText">
    <w:name w:val="EntText"/>
    <w:basedOn w:val="Normal"/>
    <w:rsid w:val="003A3206"/>
    <w:pPr>
      <w:spacing w:before="120" w:after="120" w:line="360" w:lineRule="auto"/>
    </w:pPr>
    <w:rPr>
      <w:rFonts w:ascii="Times New Roman" w:hAnsi="Times New Roman" w:cs="Times New Roman"/>
      <w:sz w:val="24"/>
      <w:szCs w:val="22"/>
      <w:lang w:eastAsia="en-US"/>
    </w:rPr>
  </w:style>
  <w:style w:type="paragraph" w:customStyle="1" w:styleId="Lignefinal">
    <w:name w:val="Ligne final"/>
    <w:basedOn w:val="Normal"/>
    <w:next w:val="Normal"/>
    <w:rsid w:val="003A3206"/>
    <w:pPr>
      <w:pBdr>
        <w:bottom w:val="single" w:sz="4" w:space="0" w:color="000000"/>
      </w:pBdr>
      <w:spacing w:before="360" w:after="120" w:line="360" w:lineRule="auto"/>
      <w:ind w:left="3400" w:right="3400"/>
      <w:jc w:val="center"/>
    </w:pPr>
    <w:rPr>
      <w:rFonts w:ascii="Times New Roman" w:hAnsi="Times New Roman" w:cs="Times New Roman"/>
      <w:b/>
      <w:sz w:val="24"/>
      <w:szCs w:val="22"/>
      <w:lang w:eastAsia="en-US"/>
    </w:rPr>
  </w:style>
  <w:style w:type="paragraph" w:customStyle="1" w:styleId="pj">
    <w:name w:val="p.j."/>
    <w:basedOn w:val="Normal"/>
    <w:link w:val="pjChar"/>
    <w:rsid w:val="003A3206"/>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3A3206"/>
    <w:rPr>
      <w:rFonts w:ascii="Times New Roman" w:hAnsi="Times New Roman" w:cs="Times New Roman"/>
      <w:sz w:val="24"/>
    </w:rPr>
  </w:style>
  <w:style w:type="paragraph" w:customStyle="1" w:styleId="nbbordered">
    <w:name w:val="nb bordered"/>
    <w:basedOn w:val="Normal"/>
    <w:link w:val="nbborderedChar"/>
    <w:rsid w:val="003A3206"/>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3A3206"/>
    <w:rPr>
      <w:rFonts w:ascii="Times New Roman" w:hAnsi="Times New Roman" w:cs="Times New Roman"/>
      <w:b/>
      <w:sz w:val="24"/>
    </w:rPr>
  </w:style>
  <w:style w:type="paragraph" w:customStyle="1" w:styleId="HeaderCouncil">
    <w:name w:val="Header Council"/>
    <w:basedOn w:val="Normal"/>
    <w:link w:val="HeaderCouncilChar"/>
    <w:rsid w:val="003A3206"/>
    <w:pPr>
      <w:spacing w:after="0"/>
    </w:pPr>
    <w:rPr>
      <w:noProof/>
      <w:sz w:val="2"/>
    </w:rPr>
  </w:style>
  <w:style w:type="character" w:customStyle="1" w:styleId="HeaderCouncilChar">
    <w:name w:val="Header Council Char"/>
    <w:basedOn w:val="DefaultParagraphFont"/>
    <w:link w:val="HeaderCouncil"/>
    <w:rsid w:val="003A3206"/>
    <w:rPr>
      <w:noProof/>
      <w:sz w:val="2"/>
    </w:rPr>
  </w:style>
  <w:style w:type="paragraph" w:customStyle="1" w:styleId="HeaderCouncilLarge">
    <w:name w:val="Header Council Large"/>
    <w:basedOn w:val="Normal"/>
    <w:link w:val="HeaderCouncilLargeChar"/>
    <w:rsid w:val="003A3206"/>
    <w:pPr>
      <w:spacing w:after="440"/>
    </w:pPr>
    <w:rPr>
      <w:noProof/>
      <w:sz w:val="2"/>
    </w:rPr>
  </w:style>
  <w:style w:type="character" w:customStyle="1" w:styleId="HeaderCouncilLargeChar">
    <w:name w:val="Header Council Large Char"/>
    <w:basedOn w:val="DefaultParagraphFont"/>
    <w:link w:val="HeaderCouncilLarge"/>
    <w:rsid w:val="003A3206"/>
    <w:rPr>
      <w:noProof/>
      <w:sz w:val="2"/>
    </w:rPr>
  </w:style>
  <w:style w:type="paragraph" w:customStyle="1" w:styleId="FooterCouncil">
    <w:name w:val="Footer Council"/>
    <w:basedOn w:val="Normal"/>
    <w:link w:val="FooterCouncilChar"/>
    <w:rsid w:val="003A3206"/>
    <w:pPr>
      <w:spacing w:after="0"/>
    </w:pPr>
    <w:rPr>
      <w:noProof/>
      <w:sz w:val="2"/>
    </w:rPr>
  </w:style>
  <w:style w:type="character" w:customStyle="1" w:styleId="FooterCouncilChar">
    <w:name w:val="Footer Council Char"/>
    <w:basedOn w:val="DefaultParagraphFont"/>
    <w:link w:val="FooterCouncil"/>
    <w:rsid w:val="003A3206"/>
    <w:rPr>
      <w:noProof/>
      <w:sz w:val="2"/>
    </w:rPr>
  </w:style>
  <w:style w:type="paragraph" w:customStyle="1" w:styleId="FooterText">
    <w:name w:val="Footer Text"/>
    <w:basedOn w:val="Normal"/>
    <w:rsid w:val="003A3206"/>
    <w:pPr>
      <w:spacing w:after="0" w:line="240" w:lineRule="auto"/>
    </w:pPr>
    <w:rPr>
      <w:rFonts w:ascii="Times New Roman" w:eastAsia="Times New Roman" w:hAnsi="Times New Roman" w:cs="Times New Roman"/>
      <w:sz w:val="24"/>
      <w:szCs w:val="24"/>
      <w:lang w:val="en-GB" w:eastAsia="en-US"/>
    </w:rPr>
  </w:style>
  <w:style w:type="character" w:styleId="PlaceholderText">
    <w:name w:val="Placeholder Text"/>
    <w:basedOn w:val="DefaultParagraphFont"/>
    <w:uiPriority w:val="99"/>
    <w:semiHidden/>
    <w:rsid w:val="003A32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PDF/?uri=CELEX:32022R2371&amp;from=EN" TargetMode="External"/><Relationship Id="rId2" Type="http://schemas.openxmlformats.org/officeDocument/2006/relationships/hyperlink" Target="https://single-market-economy.ec.europa.eu/document/d1d0b38a-cec8-479d-be70-1ffae7e227a5_sl" TargetMode="External"/><Relationship Id="rId1" Type="http://schemas.openxmlformats.org/officeDocument/2006/relationships/hyperlink" Target="https://ec.europa.eu/info/law/better-regulation/have-your-say/initiatives/13357-Intelektualna-lastnina-revidirani-okvir-za-prisilno-licenciranje-patentov_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eate a new document." ma:contentTypeScope="" ma:versionID="546a3fa5d06bb39af713db6eafd48c77">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d8c1c16c95bee8ca1bb337ade6301789"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6FB43-33A8-4961-8C4A-67538D1DA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119D9-25BC-4EA9-BBEB-8BE77682A304}">
  <ds:schemaRefs>
    <ds:schemaRef ds:uri="http://schemas.openxmlformats.org/officeDocument/2006/bibliography"/>
  </ds:schemaRefs>
</ds:datastoreItem>
</file>

<file path=customXml/itemProps3.xml><?xml version="1.0" encoding="utf-8"?>
<ds:datastoreItem xmlns:ds="http://schemas.openxmlformats.org/officeDocument/2006/customXml" ds:itemID="{E1951B38-0069-4D80-B684-57C9CBAC35AB}">
  <ds:schemaRefs>
    <ds:schemaRef ds:uri="http://schemas.microsoft.com/sharepoint/v3/contenttype/forms"/>
  </ds:schemaRefs>
</ds:datastoreItem>
</file>

<file path=customXml/itemProps4.xml><?xml version="1.0" encoding="utf-8"?>
<ds:datastoreItem xmlns:ds="http://schemas.openxmlformats.org/officeDocument/2006/customXml" ds:itemID="{2E8EBA7F-5CC7-4014-A75D-BCC13F75E222}">
  <ds:schemaRefs>
    <ds:schemaRef ds:uri="http://schemas.microsoft.com/office/infopath/2007/PartnerControls"/>
    <ds:schemaRef ds:uri="http://purl.org/dc/terms/"/>
    <ds:schemaRef ds:uri="http://schemas.microsoft.com/office/2006/documentManagement/types"/>
    <ds:schemaRef ds:uri="649a3744-67ba-4428-9383-97c147116b33"/>
    <ds:schemaRef ds:uri="baa91863-e5db-4a1d-b91e-ce2bc5f994ad"/>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2356</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KOVACIC Domen</dc:creator>
  <cp:keywords/>
  <dc:description/>
  <cp:lastModifiedBy>KOVACIC Domen</cp:lastModifiedBy>
  <cp:revision>4</cp:revision>
  <dcterms:created xsi:type="dcterms:W3CDTF">2023-06-06T07:19:00Z</dcterms:created>
  <dcterms:modified xsi:type="dcterms:W3CDTF">2023-06-06T07:20:00Z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DocuWrite 4.8.2, Build 20230330</vt:lpwstr>
  </property>
  <property fmtid="{D5CDD505-2E9C-101B-9397-08002B2CF9AE}" pid="8" name="Created using">
    <vt:lpwstr>DocuWrite 4.8.2, Build 20230330</vt:lpwstr>
  </property>
  <property fmtid="{D5CDD505-2E9C-101B-9397-08002B2CF9AE}" pid="9" name="ContentTypeId">
    <vt:lpwstr>0x0101001AA6129E18B5014D93539A03DB770646</vt:lpwstr>
  </property>
  <property fmtid="{D5CDD505-2E9C-101B-9397-08002B2CF9AE}" pid="10" name="MSIP_Label_6bd9ddd1-4d20-43f6-abfa-fc3c07406f94_Enabled">
    <vt:lpwstr>true</vt:lpwstr>
  </property>
  <property fmtid="{D5CDD505-2E9C-101B-9397-08002B2CF9AE}" pid="11" name="MSIP_Label_6bd9ddd1-4d20-43f6-abfa-fc3c07406f94_SetDate">
    <vt:lpwstr>2022-09-02T09:09:14Z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5da35c1d-5a19-4504-9ca1-4808e753dd9e</vt:lpwstr>
  </property>
  <property fmtid="{D5CDD505-2E9C-101B-9397-08002B2CF9AE}" pid="16" name="MSIP_Label_6bd9ddd1-4d20-43f6-abfa-fc3c07406f94_ContentBits">
    <vt:lpwstr>0</vt:lpwstr>
  </property>
  <property fmtid="{D5CDD505-2E9C-101B-9397-08002B2CF9AE}" pid="17" name="MSIP_Label_b1df41d6-74a9-4a97-809c-213cd32520cc_Enabled">
    <vt:lpwstr>true</vt:lpwstr>
  </property>
  <property fmtid="{D5CDD505-2E9C-101B-9397-08002B2CF9AE}" pid="18" name="MSIP_Label_b1df41d6-74a9-4a97-809c-213cd32520cc_SetDate">
    <vt:lpwstr>2023-06-06T07:19:39Z</vt:lpwstr>
  </property>
  <property fmtid="{D5CDD505-2E9C-101B-9397-08002B2CF9AE}" pid="19" name="MSIP_Label_b1df41d6-74a9-4a97-809c-213cd32520cc_Method">
    <vt:lpwstr>Privileged</vt:lpwstr>
  </property>
  <property fmtid="{D5CDD505-2E9C-101B-9397-08002B2CF9AE}" pid="20" name="MSIP_Label_b1df41d6-74a9-4a97-809c-213cd32520cc_Name">
    <vt:lpwstr>GSCEU - NON PUBLIC Label</vt:lpwstr>
  </property>
  <property fmtid="{D5CDD505-2E9C-101B-9397-08002B2CF9AE}" pid="21" name="MSIP_Label_b1df41d6-74a9-4a97-809c-213cd32520cc_SiteId">
    <vt:lpwstr>03ad1c97-0a4d-4e82-8f93-27291a6a0767</vt:lpwstr>
  </property>
  <property fmtid="{D5CDD505-2E9C-101B-9397-08002B2CF9AE}" pid="22" name="MSIP_Label_b1df41d6-74a9-4a97-809c-213cd32520cc_ActionId">
    <vt:lpwstr>686dcc54-947e-441b-9c89-05cd2d5dc36c</vt:lpwstr>
  </property>
  <property fmtid="{D5CDD505-2E9C-101B-9397-08002B2CF9AE}" pid="23" name="MSIP_Label_b1df41d6-74a9-4a97-809c-213cd32520cc_ContentBits">
    <vt:lpwstr>0</vt:lpwstr>
  </property>
</Properties>
</file>