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8DE5" w14:textId="10A06859" w:rsidR="00594763" w:rsidRPr="006F357C" w:rsidRDefault="006F357C" w:rsidP="006F357C">
      <w:pPr>
        <w:pStyle w:val="TechnicalBlock"/>
        <w:ind w:left="-1134" w:right="-1134"/>
      </w:pPr>
      <w:bookmarkStart w:id="0" w:name="LW_BM_COVERPAGE"/>
      <w:bookmarkStart w:id="1" w:name="DW_BM_COVERPAGE"/>
      <w:r>
        <w:pict w14:anchorId="06FF7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ocument Cover Page.&#10;Document Number: 12976/23 ADD 2.&#10;Subject Codes: COMPET 873 MI 742 IND 467 ECOFIN 873 FIN 922 CODEC 1594 IA 225.&#10;Heading: COVER NOTE.&#10;Originator: Secretary-General of the European Commission, signed by Ms Martine DEPREZ, Director.&#10;Recipient: Ms Thérèse BLANCHET, Secretary-General of the Council of the European Union.&#10;Subject: COMMISSION STAFF WORKING DOCUMENT Subsidiarity Grid Accompanying the document Proposal for a REGULATION OF THE EUROPEAN PARLIAMENT AND OF THE COUNCIL on combating late payment in commercial transactions.&#10;Commission Document Number: SWD(2023) 312 final.&#10;Preceeding Document Number: Not Set.&#10;Location: Brussels.&#10;Date: 14 September 2023.&#10;Interinstitutional Files: 2023/0323(COD).&#10;Institutional Framework: Council of the European Union.&#10;Language: EN.&#10;Distribution Code: PUBLIC.&#10;GUID: 5197645819486299462_0" style="width:568.5pt;height:451.5pt">
            <v:imagedata r:id="rId8" o:title=""/>
          </v:shape>
        </w:pict>
      </w:r>
      <w:bookmarkEnd w:id="1"/>
    </w:p>
    <w:p w14:paraId="058D7668" w14:textId="098561ED" w:rsidR="00594763" w:rsidRDefault="00594763" w:rsidP="006F357C">
      <w:pPr>
        <w:pStyle w:val="EntText"/>
        <w:spacing w:before="480"/>
      </w:pPr>
      <w:r w:rsidRPr="00594763">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6F357C" w:rsidRPr="006F357C">
        <w:instrText>SWD(2023) 312 final</w:instrText>
      </w:r>
      <w:r>
        <w:instrText xml:space="preserve">" </w:instrText>
      </w:r>
      <w:r>
        <w:fldChar w:fldCharType="separate"/>
      </w:r>
      <w:r w:rsidR="006F357C" w:rsidRPr="006F357C">
        <w:t>SWD(2023) 312 final</w:t>
      </w:r>
      <w:r>
        <w:fldChar w:fldCharType="end"/>
      </w:r>
      <w:r w:rsidRPr="00594763">
        <w:t>.</w:t>
      </w:r>
    </w:p>
    <w:p w14:paraId="7D997E30" w14:textId="77777777" w:rsidR="00594763" w:rsidRDefault="00594763" w:rsidP="00594763">
      <w:pPr>
        <w:pStyle w:val="Lignefinal"/>
      </w:pPr>
    </w:p>
    <w:p w14:paraId="1ACA872B" w14:textId="4203ED03" w:rsidR="00594763" w:rsidRDefault="00594763" w:rsidP="006F357C">
      <w:pPr>
        <w:pStyle w:val="pj"/>
        <w:spacing w:before="120"/>
      </w:pPr>
      <w:r w:rsidRPr="00594763">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6F357C" w:rsidRPr="006F357C">
        <w:instrText>SWD(2023) 312 final</w:instrText>
      </w:r>
      <w:r>
        <w:instrText xml:space="preserve">" </w:instrText>
      </w:r>
      <w:r>
        <w:fldChar w:fldCharType="separate"/>
      </w:r>
      <w:r w:rsidR="006F357C" w:rsidRPr="006F357C">
        <w:t>SWD(2023) 312 final</w:t>
      </w:r>
      <w:r>
        <w:fldChar w:fldCharType="end"/>
      </w:r>
    </w:p>
    <w:p w14:paraId="6D198272" w14:textId="77777777" w:rsidR="00594763" w:rsidRDefault="00594763" w:rsidP="00594763">
      <w:pPr>
        <w:rPr>
          <w:noProof/>
        </w:rPr>
        <w:sectPr w:rsidR="00594763" w:rsidSect="006F357C">
          <w:headerReference w:type="even" r:id="rId9"/>
          <w:headerReference w:type="default" r:id="rId10"/>
          <w:footerReference w:type="even" r:id="rId11"/>
          <w:footerReference w:type="default" r:id="rId12"/>
          <w:headerReference w:type="first" r:id="rId13"/>
          <w:footerReference w:type="first" r:id="rId14"/>
          <w:pgSz w:w="11906" w:h="16838"/>
          <w:pgMar w:top="624" w:right="1134" w:bottom="1134" w:left="1134" w:header="567" w:footer="567" w:gutter="0"/>
          <w:pgNumType w:start="0"/>
          <w:cols w:space="720"/>
          <w:titlePg/>
          <w:docGrid w:linePitch="360"/>
        </w:sectPr>
      </w:pPr>
    </w:p>
    <w:p w14:paraId="091F6DF4" w14:textId="0B6AE9D1" w:rsidR="002B6B94" w:rsidRPr="0097054C" w:rsidRDefault="006F357C" w:rsidP="00457EB5">
      <w:pPr>
        <w:pStyle w:val="Pagedecouverture"/>
        <w:rPr>
          <w:noProof/>
        </w:rPr>
      </w:pPr>
      <w:r>
        <w:rPr>
          <w:noProof/>
        </w:rPr>
        <w:lastRenderedPageBreak/>
        <w:pict w14:anchorId="39A74A21">
          <v:shape id="_x0000_i1026" type="#_x0000_t75" alt="DD0DC8D6-B446-4FAF-8D37-231EB05AF49A" style="width:455.25pt;height:435pt">
            <v:imagedata r:id="rId15" o:title=""/>
          </v:shape>
        </w:pict>
      </w:r>
    </w:p>
    <w:bookmarkEnd w:id="0"/>
    <w:p w14:paraId="4F06AF49" w14:textId="77777777" w:rsidR="002B6B94" w:rsidRPr="0097054C" w:rsidRDefault="002B6B94" w:rsidP="002B6B94">
      <w:pPr>
        <w:rPr>
          <w:rFonts w:ascii="Times New Roman" w:hAnsi="Times New Roman" w:cs="Times New Roman"/>
          <w:noProof/>
        </w:rPr>
        <w:sectPr w:rsidR="002B6B94" w:rsidRPr="0097054C" w:rsidSect="00457EB5">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p w14:paraId="6A25193C" w14:textId="3D95831F" w:rsidR="003F5B9A" w:rsidRPr="0097054C" w:rsidRDefault="005046EA" w:rsidP="00391C91">
      <w:pPr>
        <w:jc w:val="center"/>
        <w:rPr>
          <w:rFonts w:ascii="Times New Roman" w:hAnsi="Times New Roman" w:cs="Times New Roman"/>
          <w:b/>
          <w:noProof/>
          <w:sz w:val="28"/>
        </w:rPr>
      </w:pPr>
      <w:r w:rsidRPr="0097054C">
        <w:rPr>
          <w:rFonts w:ascii="Times New Roman" w:hAnsi="Times New Roman" w:cs="Times New Roman"/>
          <w:b/>
          <w:noProof/>
          <w:sz w:val="28"/>
        </w:rPr>
        <w:t>Subsidiarity Grid</w:t>
      </w:r>
    </w:p>
    <w:p w14:paraId="74520136" w14:textId="77777777" w:rsidR="005046EA" w:rsidRPr="0097054C" w:rsidRDefault="005046EA">
      <w:pPr>
        <w:rPr>
          <w:rFonts w:ascii="Times New Roman" w:hAnsi="Times New Roman" w:cs="Times New Roman"/>
          <w:noProof/>
        </w:rPr>
      </w:pPr>
    </w:p>
    <w:tbl>
      <w:tblPr>
        <w:tblStyle w:val="TableGrid"/>
        <w:tblW w:w="0" w:type="auto"/>
        <w:tblCellMar>
          <w:top w:w="100" w:type="dxa"/>
          <w:bottom w:w="100" w:type="dxa"/>
        </w:tblCellMar>
        <w:tblLook w:val="04A0" w:firstRow="1" w:lastRow="0" w:firstColumn="1" w:lastColumn="0" w:noHBand="0" w:noVBand="1"/>
      </w:tblPr>
      <w:tblGrid>
        <w:gridCol w:w="9288"/>
      </w:tblGrid>
      <w:tr w:rsidR="005046EA" w:rsidRPr="0097054C" w14:paraId="2E882ED5" w14:textId="77777777" w:rsidTr="005046EA">
        <w:tc>
          <w:tcPr>
            <w:tcW w:w="9288" w:type="dxa"/>
            <w:shd w:val="clear" w:color="auto" w:fill="808080" w:themeFill="background1" w:themeFillShade="80"/>
          </w:tcPr>
          <w:p w14:paraId="090561DE" w14:textId="77777777" w:rsidR="005046EA" w:rsidRPr="0097054C" w:rsidRDefault="005046EA" w:rsidP="005046EA">
            <w:pPr>
              <w:pStyle w:val="ListParagraph"/>
              <w:numPr>
                <w:ilvl w:val="0"/>
                <w:numId w:val="1"/>
              </w:numPr>
              <w:rPr>
                <w:rFonts w:ascii="Times New Roman" w:hAnsi="Times New Roman" w:cs="Times New Roman"/>
                <w:b/>
                <w:noProof/>
              </w:rPr>
            </w:pPr>
            <w:r w:rsidRPr="0097054C">
              <w:rPr>
                <w:rFonts w:ascii="Times New Roman" w:hAnsi="Times New Roman" w:cs="Times New Roman"/>
                <w:b/>
                <w:noProof/>
                <w:color w:val="FFFFFF" w:themeColor="background1"/>
              </w:rPr>
              <w:t>Can the Union act? What is the legal basis and competence of the Unions’ intended action?</w:t>
            </w:r>
          </w:p>
        </w:tc>
      </w:tr>
      <w:tr w:rsidR="005046EA" w:rsidRPr="0097054C" w14:paraId="01C42430" w14:textId="77777777" w:rsidTr="005046EA">
        <w:tc>
          <w:tcPr>
            <w:tcW w:w="9288" w:type="dxa"/>
          </w:tcPr>
          <w:p w14:paraId="39796929" w14:textId="77777777" w:rsidR="005046EA" w:rsidRPr="0097054C" w:rsidRDefault="005046EA">
            <w:pPr>
              <w:rPr>
                <w:rFonts w:ascii="Times New Roman" w:hAnsi="Times New Roman" w:cs="Times New Roman"/>
                <w:b/>
                <w:noProof/>
              </w:rPr>
            </w:pPr>
            <w:r w:rsidRPr="0097054C">
              <w:rPr>
                <w:rFonts w:ascii="Times New Roman" w:hAnsi="Times New Roman" w:cs="Times New Roman"/>
                <w:b/>
                <w:noProof/>
              </w:rPr>
              <w:t>1.1 Which article(s) of the Treaty are used to support the legislative proposal or policy initiative?</w:t>
            </w:r>
          </w:p>
        </w:tc>
      </w:tr>
      <w:tr w:rsidR="005046EA" w:rsidRPr="0097054C" w14:paraId="7220E2D4" w14:textId="77777777" w:rsidTr="005046EA">
        <w:tc>
          <w:tcPr>
            <w:tcW w:w="9288" w:type="dxa"/>
          </w:tcPr>
          <w:p w14:paraId="46DA0FFD" w14:textId="0CB4BED3" w:rsidR="008F2575" w:rsidRPr="0097054C" w:rsidRDefault="00EF3756" w:rsidP="0097054C">
            <w:pPr>
              <w:jc w:val="both"/>
              <w:rPr>
                <w:rFonts w:ascii="Times New Roman" w:hAnsi="Times New Roman" w:cs="Times New Roman"/>
                <w:noProof/>
                <w:lang w:val="en-IE"/>
              </w:rPr>
            </w:pPr>
            <w:r w:rsidRPr="0097054C">
              <w:rPr>
                <w:rFonts w:ascii="Times New Roman" w:hAnsi="Times New Roman" w:cs="Times New Roman"/>
                <w:noProof/>
                <w:lang w:val="en-IE"/>
              </w:rPr>
              <w:t xml:space="preserve">The overall objective of this legislative proposal is to ensure the smooth functioning of the EU single market by combating the unlawful misappropriation of liquidity in the EU market. </w:t>
            </w:r>
          </w:p>
          <w:p w14:paraId="5CACF431" w14:textId="6CC82713" w:rsidR="00EF3756" w:rsidRPr="0097054C" w:rsidRDefault="00EF3756" w:rsidP="0097054C">
            <w:pPr>
              <w:jc w:val="both"/>
              <w:rPr>
                <w:rFonts w:ascii="Times New Roman" w:hAnsi="Times New Roman" w:cs="Times New Roman"/>
                <w:noProof/>
                <w:lang w:val="en-IE"/>
              </w:rPr>
            </w:pPr>
            <w:r w:rsidRPr="0097054C">
              <w:rPr>
                <w:rFonts w:ascii="Times New Roman" w:hAnsi="Times New Roman" w:cs="Times New Roman"/>
                <w:noProof/>
                <w:lang w:val="en-IE"/>
              </w:rPr>
              <w:t>Article 114 of the Treaty on the Functioning of the EU (TFEU) is the appropriate legal basis for this initiative to achieve</w:t>
            </w:r>
            <w:r w:rsidR="008F2575" w:rsidRPr="0097054C">
              <w:rPr>
                <w:rFonts w:ascii="Times New Roman" w:hAnsi="Times New Roman" w:cs="Times New Roman"/>
                <w:noProof/>
                <w:lang w:val="en-IE"/>
              </w:rPr>
              <w:t xml:space="preserve"> these</w:t>
            </w:r>
            <w:r w:rsidRPr="0097054C">
              <w:rPr>
                <w:rFonts w:ascii="Times New Roman" w:hAnsi="Times New Roman" w:cs="Times New Roman"/>
                <w:noProof/>
                <w:lang w:val="en-IE"/>
              </w:rPr>
              <w:t xml:space="preserve"> objectives. This article is the appropriate legal basis for measures aimed at achieving the objectives set out in Article 26 TFEU (harmonising national provisions). </w:t>
            </w:r>
          </w:p>
        </w:tc>
      </w:tr>
      <w:tr w:rsidR="005046EA" w:rsidRPr="0097054C" w14:paraId="1C8DA3C5" w14:textId="77777777" w:rsidTr="005046EA">
        <w:tc>
          <w:tcPr>
            <w:tcW w:w="9288" w:type="dxa"/>
          </w:tcPr>
          <w:p w14:paraId="72AAC67D" w14:textId="661403C1" w:rsidR="005046EA" w:rsidRPr="0097054C" w:rsidRDefault="005046EA">
            <w:pPr>
              <w:rPr>
                <w:rFonts w:ascii="Times New Roman" w:hAnsi="Times New Roman" w:cs="Times New Roman"/>
                <w:b/>
                <w:noProof/>
              </w:rPr>
            </w:pPr>
            <w:r w:rsidRPr="0097054C">
              <w:rPr>
                <w:rFonts w:ascii="Times New Roman" w:hAnsi="Times New Roman" w:cs="Times New Roman"/>
                <w:b/>
                <w:noProof/>
              </w:rPr>
              <w:t>1.2 Is</w:t>
            </w:r>
            <w:r w:rsidR="007E3532" w:rsidRPr="0097054C">
              <w:rPr>
                <w:rFonts w:ascii="Times New Roman" w:hAnsi="Times New Roman" w:cs="Times New Roman"/>
                <w:b/>
                <w:noProof/>
              </w:rPr>
              <w:t xml:space="preserve"> the Union</w:t>
            </w:r>
            <w:r w:rsidRPr="0097054C">
              <w:rPr>
                <w:rFonts w:ascii="Times New Roman" w:hAnsi="Times New Roman" w:cs="Times New Roman"/>
                <w:b/>
                <w:noProof/>
              </w:rPr>
              <w:t xml:space="preserve"> competence represented by this Treaty article exclusive, shared or supporting in nature?</w:t>
            </w:r>
          </w:p>
        </w:tc>
      </w:tr>
      <w:tr w:rsidR="005046EA" w:rsidRPr="0097054C" w14:paraId="27A4AFC3" w14:textId="77777777" w:rsidTr="005046EA">
        <w:tc>
          <w:tcPr>
            <w:tcW w:w="9288" w:type="dxa"/>
          </w:tcPr>
          <w:p w14:paraId="26E12DBF" w14:textId="10CF21EC" w:rsidR="005046EA" w:rsidRPr="0097054C" w:rsidRDefault="008F2575" w:rsidP="0097054C">
            <w:pPr>
              <w:jc w:val="both"/>
              <w:rPr>
                <w:rFonts w:ascii="Times New Roman" w:hAnsi="Times New Roman" w:cs="Times New Roman"/>
                <w:i/>
                <w:noProof/>
              </w:rPr>
            </w:pPr>
            <w:r w:rsidRPr="0097054C">
              <w:rPr>
                <w:rFonts w:ascii="Times New Roman" w:hAnsi="Times New Roman" w:cs="Times New Roman"/>
                <w:noProof/>
                <w:lang w:val="en-IE"/>
              </w:rPr>
              <w:t>Th</w:t>
            </w:r>
            <w:r w:rsidR="008E22F2" w:rsidRPr="0097054C">
              <w:rPr>
                <w:rFonts w:ascii="Times New Roman" w:hAnsi="Times New Roman" w:cs="Times New Roman"/>
                <w:noProof/>
                <w:lang w:val="en-IE"/>
              </w:rPr>
              <w:t>is</w:t>
            </w:r>
            <w:r w:rsidRPr="0097054C">
              <w:rPr>
                <w:rFonts w:ascii="Times New Roman" w:hAnsi="Times New Roman" w:cs="Times New Roman"/>
                <w:noProof/>
                <w:lang w:val="en-IE"/>
              </w:rPr>
              <w:t xml:space="preserve"> </w:t>
            </w:r>
            <w:r w:rsidR="008E22F2" w:rsidRPr="0097054C">
              <w:rPr>
                <w:rFonts w:ascii="Times New Roman" w:hAnsi="Times New Roman" w:cs="Times New Roman"/>
                <w:noProof/>
                <w:lang w:val="en-IE"/>
              </w:rPr>
              <w:t xml:space="preserve">legislative proposal </w:t>
            </w:r>
            <w:r w:rsidRPr="0097054C">
              <w:rPr>
                <w:rFonts w:ascii="Times New Roman" w:hAnsi="Times New Roman" w:cs="Times New Roman"/>
                <w:noProof/>
                <w:lang w:val="en-IE"/>
              </w:rPr>
              <w:t>is a recast of the Late Payment Directive</w:t>
            </w:r>
            <w:r w:rsidR="008E22F2" w:rsidRPr="0097054C">
              <w:rPr>
                <w:rFonts w:ascii="Times New Roman" w:hAnsi="Times New Roman" w:cs="Times New Roman"/>
                <w:noProof/>
                <w:lang w:val="en-IE"/>
              </w:rPr>
              <w:t xml:space="preserve"> (LPD)</w:t>
            </w:r>
            <w:r w:rsidRPr="0097054C">
              <w:rPr>
                <w:rFonts w:ascii="Times New Roman" w:hAnsi="Times New Roman" w:cs="Times New Roman"/>
                <w:noProof/>
                <w:lang w:val="en-IE"/>
              </w:rPr>
              <w:t xml:space="preserve"> (Directive 2000/35/EC), based on Article 95 TEC. The LPD and its revision fall within the joint remit (‘shared competence’) of the EU and </w:t>
            </w:r>
            <w:r w:rsidR="00C43E7F" w:rsidRPr="0097054C">
              <w:rPr>
                <w:rFonts w:ascii="Times New Roman" w:hAnsi="Times New Roman" w:cs="Times New Roman"/>
                <w:noProof/>
                <w:lang w:val="en-IE"/>
              </w:rPr>
              <w:t xml:space="preserve">the Member States. </w:t>
            </w:r>
          </w:p>
        </w:tc>
      </w:tr>
      <w:tr w:rsidR="005046EA" w:rsidRPr="0097054C" w14:paraId="7A3228B4" w14:textId="77777777" w:rsidTr="0054546C">
        <w:tc>
          <w:tcPr>
            <w:tcW w:w="9288" w:type="dxa"/>
            <w:shd w:val="clear" w:color="auto" w:fill="808080" w:themeFill="background1" w:themeFillShade="80"/>
          </w:tcPr>
          <w:p w14:paraId="73F7883B" w14:textId="77777777" w:rsidR="005046EA" w:rsidRPr="0097054C" w:rsidRDefault="0054546C" w:rsidP="0054546C">
            <w:pPr>
              <w:pStyle w:val="ListParagraph"/>
              <w:numPr>
                <w:ilvl w:val="0"/>
                <w:numId w:val="1"/>
              </w:numPr>
              <w:rPr>
                <w:rFonts w:ascii="Times New Roman" w:hAnsi="Times New Roman" w:cs="Times New Roman"/>
                <w:b/>
                <w:noProof/>
                <w:color w:val="FFFFFF" w:themeColor="background1"/>
              </w:rPr>
            </w:pPr>
            <w:r w:rsidRPr="0097054C">
              <w:rPr>
                <w:rFonts w:ascii="Times New Roman" w:hAnsi="Times New Roman" w:cs="Times New Roman"/>
                <w:b/>
                <w:noProof/>
                <w:color w:val="FFFFFF" w:themeColor="background1"/>
              </w:rPr>
              <w:t>Subsidiarity Principle: Why should the EU act?</w:t>
            </w:r>
          </w:p>
        </w:tc>
      </w:tr>
      <w:tr w:rsidR="005046EA" w:rsidRPr="0097054C" w14:paraId="2E2902D3" w14:textId="77777777" w:rsidTr="005046EA">
        <w:tc>
          <w:tcPr>
            <w:tcW w:w="9288" w:type="dxa"/>
          </w:tcPr>
          <w:p w14:paraId="71508988" w14:textId="77777777" w:rsidR="005046EA" w:rsidRPr="0097054C" w:rsidRDefault="0054546C" w:rsidP="0054546C">
            <w:pPr>
              <w:pStyle w:val="ListParagraph"/>
              <w:numPr>
                <w:ilvl w:val="1"/>
                <w:numId w:val="1"/>
              </w:numPr>
              <w:rPr>
                <w:rFonts w:ascii="Times New Roman" w:hAnsi="Times New Roman" w:cs="Times New Roman"/>
                <w:b/>
                <w:noProof/>
              </w:rPr>
            </w:pPr>
            <w:r w:rsidRPr="0097054C">
              <w:rPr>
                <w:rFonts w:ascii="Times New Roman" w:hAnsi="Times New Roman" w:cs="Times New Roman"/>
                <w:b/>
                <w:noProof/>
              </w:rPr>
              <w:t>Does the proposal fulfil the procedural requirements of Protocol No. 2</w:t>
            </w:r>
            <w:r w:rsidR="00B55E58" w:rsidRPr="0097054C">
              <w:rPr>
                <w:rStyle w:val="FootnoteReference"/>
                <w:rFonts w:ascii="Times New Roman" w:hAnsi="Times New Roman" w:cs="Times New Roman"/>
                <w:b/>
                <w:noProof/>
              </w:rPr>
              <w:footnoteReference w:id="1"/>
            </w:r>
            <w:r w:rsidRPr="0097054C">
              <w:rPr>
                <w:rFonts w:ascii="Times New Roman" w:hAnsi="Times New Roman" w:cs="Times New Roman"/>
                <w:b/>
                <w:noProof/>
              </w:rPr>
              <w:t>:</w:t>
            </w:r>
          </w:p>
          <w:p w14:paraId="39B92842" w14:textId="77777777" w:rsidR="0054546C" w:rsidRPr="0097054C" w:rsidRDefault="0054546C" w:rsidP="0054546C">
            <w:pPr>
              <w:pStyle w:val="ListParagraph"/>
              <w:numPr>
                <w:ilvl w:val="0"/>
                <w:numId w:val="2"/>
              </w:numPr>
              <w:rPr>
                <w:rFonts w:ascii="Times New Roman" w:hAnsi="Times New Roman" w:cs="Times New Roman"/>
                <w:noProof/>
              </w:rPr>
            </w:pPr>
            <w:r w:rsidRPr="0097054C">
              <w:rPr>
                <w:rFonts w:ascii="Times New Roman" w:hAnsi="Times New Roman" w:cs="Times New Roman"/>
                <w:noProof/>
              </w:rPr>
              <w:t>Has there been a wide consultation before proposing the act?</w:t>
            </w:r>
          </w:p>
          <w:p w14:paraId="0F4A3D94" w14:textId="77777777" w:rsidR="0054546C" w:rsidRPr="0097054C" w:rsidRDefault="0054546C" w:rsidP="0054546C">
            <w:pPr>
              <w:pStyle w:val="ListParagraph"/>
              <w:numPr>
                <w:ilvl w:val="0"/>
                <w:numId w:val="2"/>
              </w:numPr>
              <w:rPr>
                <w:rFonts w:ascii="Times New Roman" w:hAnsi="Times New Roman" w:cs="Times New Roman"/>
                <w:noProof/>
              </w:rPr>
            </w:pPr>
            <w:r w:rsidRPr="0097054C">
              <w:rPr>
                <w:rFonts w:ascii="Times New Roman" w:hAnsi="Times New Roman" w:cs="Times New Roman"/>
                <w:noProof/>
              </w:rPr>
              <w:t>Is there a detailed statement with qualitative and, where possible, quantitative indicators allowing an appraisal of whether the action can best be achieved at Union level?</w:t>
            </w:r>
          </w:p>
        </w:tc>
      </w:tr>
      <w:tr w:rsidR="008F2575" w:rsidRPr="0097054C" w14:paraId="79871386" w14:textId="77777777" w:rsidTr="005046EA">
        <w:tc>
          <w:tcPr>
            <w:tcW w:w="9288" w:type="dxa"/>
          </w:tcPr>
          <w:p w14:paraId="12A54BB9" w14:textId="68BAD657" w:rsidR="003A0593" w:rsidRPr="0097054C" w:rsidRDefault="008F2575" w:rsidP="0097054C">
            <w:pPr>
              <w:jc w:val="both"/>
              <w:rPr>
                <w:rFonts w:ascii="Times New Roman" w:hAnsi="Times New Roman" w:cs="Times New Roman"/>
                <w:noProof/>
              </w:rPr>
            </w:pPr>
            <w:r w:rsidRPr="0097054C">
              <w:rPr>
                <w:rFonts w:ascii="Times New Roman" w:hAnsi="Times New Roman" w:cs="Times New Roman"/>
                <w:noProof/>
              </w:rPr>
              <w:t xml:space="preserve">The </w:t>
            </w:r>
            <w:r w:rsidR="00C43E7F" w:rsidRPr="0097054C">
              <w:rPr>
                <w:rFonts w:ascii="Times New Roman" w:hAnsi="Times New Roman" w:cs="Times New Roman"/>
                <w:noProof/>
              </w:rPr>
              <w:t>Call for Evidence</w:t>
            </w:r>
            <w:r w:rsidRPr="0097054C">
              <w:rPr>
                <w:rFonts w:ascii="Times New Roman" w:hAnsi="Times New Roman" w:cs="Times New Roman"/>
                <w:noProof/>
              </w:rPr>
              <w:t xml:space="preserve"> was published for feedback from </w:t>
            </w:r>
            <w:r w:rsidR="009B3FB7" w:rsidRPr="0097054C">
              <w:rPr>
                <w:rFonts w:ascii="Times New Roman" w:hAnsi="Times New Roman" w:cs="Times New Roman"/>
                <w:noProof/>
              </w:rPr>
              <w:t xml:space="preserve">12 January </w:t>
            </w:r>
            <w:r w:rsidRPr="0097054C">
              <w:rPr>
                <w:rFonts w:ascii="Times New Roman" w:hAnsi="Times New Roman" w:cs="Times New Roman"/>
                <w:noProof/>
              </w:rPr>
              <w:t xml:space="preserve">to </w:t>
            </w:r>
            <w:r w:rsidR="009B3FB7" w:rsidRPr="0097054C">
              <w:rPr>
                <w:rFonts w:ascii="Times New Roman" w:hAnsi="Times New Roman" w:cs="Times New Roman"/>
                <w:noProof/>
              </w:rPr>
              <w:t>17 March 2023</w:t>
            </w:r>
            <w:r w:rsidRPr="0097054C">
              <w:rPr>
                <w:rFonts w:ascii="Times New Roman" w:hAnsi="Times New Roman" w:cs="Times New Roman"/>
                <w:noProof/>
              </w:rPr>
              <w:t xml:space="preserve"> and </w:t>
            </w:r>
            <w:r w:rsidR="009B3FB7" w:rsidRPr="0097054C">
              <w:rPr>
                <w:rFonts w:ascii="Times New Roman" w:hAnsi="Times New Roman" w:cs="Times New Roman"/>
                <w:noProof/>
              </w:rPr>
              <w:t>received 137 re</w:t>
            </w:r>
            <w:r w:rsidRPr="0097054C">
              <w:rPr>
                <w:rFonts w:ascii="Times New Roman" w:hAnsi="Times New Roman" w:cs="Times New Roman"/>
                <w:noProof/>
              </w:rPr>
              <w:t>plies</w:t>
            </w:r>
            <w:r w:rsidR="009B3FB7" w:rsidRPr="0097054C">
              <w:rPr>
                <w:rFonts w:ascii="Times New Roman" w:hAnsi="Times New Roman" w:cs="Times New Roman"/>
                <w:noProof/>
              </w:rPr>
              <w:t>.</w:t>
            </w:r>
            <w:r w:rsidRPr="0097054C">
              <w:rPr>
                <w:rFonts w:ascii="Times New Roman" w:hAnsi="Times New Roman" w:cs="Times New Roman"/>
                <w:noProof/>
              </w:rPr>
              <w:t xml:space="preserve"> Most responses came from business associations</w:t>
            </w:r>
            <w:r w:rsidR="009B3FB7" w:rsidRPr="0097054C">
              <w:rPr>
                <w:rFonts w:ascii="Times New Roman" w:hAnsi="Times New Roman" w:cs="Times New Roman"/>
                <w:noProof/>
              </w:rPr>
              <w:t xml:space="preserve"> and companies</w:t>
            </w:r>
            <w:r w:rsidRPr="0097054C">
              <w:rPr>
                <w:rFonts w:ascii="Times New Roman" w:hAnsi="Times New Roman" w:cs="Times New Roman"/>
                <w:noProof/>
              </w:rPr>
              <w:t xml:space="preserve">, followed by </w:t>
            </w:r>
            <w:r w:rsidR="009B3FB7" w:rsidRPr="0097054C">
              <w:rPr>
                <w:rFonts w:ascii="Times New Roman" w:hAnsi="Times New Roman" w:cs="Times New Roman"/>
                <w:noProof/>
              </w:rPr>
              <w:t xml:space="preserve">public authorities, </w:t>
            </w:r>
            <w:r w:rsidRPr="0097054C">
              <w:rPr>
                <w:rFonts w:ascii="Times New Roman" w:hAnsi="Times New Roman" w:cs="Times New Roman"/>
                <w:noProof/>
              </w:rPr>
              <w:t>citizens</w:t>
            </w:r>
            <w:r w:rsidR="009B3FB7" w:rsidRPr="0097054C">
              <w:rPr>
                <w:rFonts w:ascii="Times New Roman" w:hAnsi="Times New Roman" w:cs="Times New Roman"/>
                <w:noProof/>
              </w:rPr>
              <w:t xml:space="preserve"> and other organisations</w:t>
            </w:r>
            <w:r w:rsidRPr="0097054C">
              <w:rPr>
                <w:rFonts w:ascii="Times New Roman" w:hAnsi="Times New Roman" w:cs="Times New Roman"/>
                <w:noProof/>
              </w:rPr>
              <w:t>. In addition, the Commission launched an online public consultation on 1</w:t>
            </w:r>
            <w:r w:rsidR="00564FF2" w:rsidRPr="0097054C">
              <w:rPr>
                <w:rFonts w:ascii="Times New Roman" w:hAnsi="Times New Roman" w:cs="Times New Roman"/>
                <w:noProof/>
              </w:rPr>
              <w:t>2 January 2023, open for feedback until 17 March 2023</w:t>
            </w:r>
            <w:r w:rsidRPr="0097054C">
              <w:rPr>
                <w:rFonts w:ascii="Times New Roman" w:hAnsi="Times New Roman" w:cs="Times New Roman"/>
                <w:noProof/>
              </w:rPr>
              <w:t>, in line with the Commission Better Regulation rules. It contain</w:t>
            </w:r>
            <w:r w:rsidR="00564FF2" w:rsidRPr="0097054C">
              <w:rPr>
                <w:rFonts w:ascii="Times New Roman" w:hAnsi="Times New Roman" w:cs="Times New Roman"/>
                <w:noProof/>
              </w:rPr>
              <w:t>ed</w:t>
            </w:r>
            <w:r w:rsidR="00AC7FC5" w:rsidRPr="0097054C">
              <w:rPr>
                <w:rFonts w:ascii="Times New Roman" w:hAnsi="Times New Roman" w:cs="Times New Roman"/>
                <w:noProof/>
              </w:rPr>
              <w:t xml:space="preserve"> </w:t>
            </w:r>
            <w:r w:rsidRPr="0097054C">
              <w:rPr>
                <w:rFonts w:ascii="Times New Roman" w:hAnsi="Times New Roman" w:cs="Times New Roman"/>
                <w:noProof/>
              </w:rPr>
              <w:t xml:space="preserve">questions covering a wide range of </w:t>
            </w:r>
            <w:r w:rsidR="00AC7FC5" w:rsidRPr="0097054C">
              <w:rPr>
                <w:rFonts w:ascii="Times New Roman" w:hAnsi="Times New Roman" w:cs="Times New Roman"/>
                <w:noProof/>
              </w:rPr>
              <w:t>aspects of</w:t>
            </w:r>
            <w:r w:rsidRPr="0097054C">
              <w:rPr>
                <w:rFonts w:ascii="Times New Roman" w:hAnsi="Times New Roman" w:cs="Times New Roman"/>
                <w:noProof/>
              </w:rPr>
              <w:t xml:space="preserve"> the </w:t>
            </w:r>
            <w:r w:rsidR="00564FF2" w:rsidRPr="0097054C">
              <w:rPr>
                <w:rFonts w:ascii="Times New Roman" w:hAnsi="Times New Roman" w:cs="Times New Roman"/>
                <w:noProof/>
              </w:rPr>
              <w:t>LPD</w:t>
            </w:r>
            <w:r w:rsidR="00AC7FC5" w:rsidRPr="0097054C">
              <w:rPr>
                <w:rFonts w:ascii="Times New Roman" w:hAnsi="Times New Roman" w:cs="Times New Roman"/>
                <w:noProof/>
              </w:rPr>
              <w:t xml:space="preserve"> – some of them specifically targeted at companies</w:t>
            </w:r>
            <w:r w:rsidRPr="0097054C">
              <w:rPr>
                <w:rFonts w:ascii="Times New Roman" w:hAnsi="Times New Roman" w:cs="Times New Roman"/>
                <w:noProof/>
              </w:rPr>
              <w:t xml:space="preserve">. </w:t>
            </w:r>
            <w:r w:rsidR="00AC7FC5" w:rsidRPr="0097054C">
              <w:rPr>
                <w:rFonts w:ascii="Times New Roman" w:hAnsi="Times New Roman" w:cs="Times New Roman"/>
                <w:noProof/>
              </w:rPr>
              <w:t>117</w:t>
            </w:r>
            <w:r w:rsidRPr="0097054C">
              <w:rPr>
                <w:rFonts w:ascii="Times New Roman" w:hAnsi="Times New Roman" w:cs="Times New Roman"/>
                <w:noProof/>
              </w:rPr>
              <w:t xml:space="preserve"> replies were received in total. </w:t>
            </w:r>
            <w:r w:rsidR="00AC7FC5" w:rsidRPr="0097054C">
              <w:rPr>
                <w:rFonts w:ascii="Times New Roman" w:hAnsi="Times New Roman" w:cs="Times New Roman"/>
                <w:noProof/>
              </w:rPr>
              <w:t>Other than that, a targeted SME panel took place between 26 January and 16 March 2023. In total, 939 SMEs replied to this consultation in the EU Survey webpage. Finally, an extensive number of meetings with stakeholders took place</w:t>
            </w:r>
            <w:r w:rsidR="003A0593" w:rsidRPr="0097054C">
              <w:rPr>
                <w:rFonts w:ascii="Times New Roman" w:hAnsi="Times New Roman" w:cs="Times New Roman"/>
                <w:noProof/>
              </w:rPr>
              <w:t xml:space="preserve">. The overview </w:t>
            </w:r>
            <w:r w:rsidR="00C43E7F" w:rsidRPr="0097054C">
              <w:rPr>
                <w:rFonts w:ascii="Times New Roman" w:hAnsi="Times New Roman" w:cs="Times New Roman"/>
                <w:noProof/>
              </w:rPr>
              <w:t xml:space="preserve">of consultation activities </w:t>
            </w:r>
            <w:r w:rsidR="003A0593" w:rsidRPr="0097054C">
              <w:rPr>
                <w:rFonts w:ascii="Times New Roman" w:hAnsi="Times New Roman" w:cs="Times New Roman"/>
                <w:noProof/>
              </w:rPr>
              <w:t xml:space="preserve">is presented in annex 2 of the </w:t>
            </w:r>
            <w:r w:rsidR="008E22F2" w:rsidRPr="0097054C">
              <w:rPr>
                <w:rFonts w:ascii="Times New Roman" w:hAnsi="Times New Roman" w:cs="Times New Roman"/>
                <w:noProof/>
              </w:rPr>
              <w:t>impact assessment</w:t>
            </w:r>
            <w:r w:rsidR="003A0593" w:rsidRPr="0097054C">
              <w:rPr>
                <w:rFonts w:ascii="Times New Roman" w:hAnsi="Times New Roman" w:cs="Times New Roman"/>
                <w:noProof/>
              </w:rPr>
              <w:t>.</w:t>
            </w:r>
          </w:p>
          <w:p w14:paraId="5F91DAE3" w14:textId="433BD243" w:rsidR="008F2575" w:rsidRPr="0097054C" w:rsidRDefault="008F2575" w:rsidP="0097054C">
            <w:pPr>
              <w:jc w:val="both"/>
              <w:rPr>
                <w:rFonts w:ascii="Times New Roman" w:hAnsi="Times New Roman" w:cs="Times New Roman"/>
                <w:noProof/>
              </w:rPr>
            </w:pPr>
            <w:r w:rsidRPr="0097054C">
              <w:rPr>
                <w:rFonts w:ascii="Times New Roman" w:hAnsi="Times New Roman" w:cs="Times New Roman"/>
                <w:noProof/>
              </w:rPr>
              <w:t xml:space="preserve">The explanatory memorandum and the impact assessment both contain </w:t>
            </w:r>
            <w:r w:rsidR="00E9565E" w:rsidRPr="0097054C">
              <w:rPr>
                <w:rFonts w:ascii="Times New Roman" w:hAnsi="Times New Roman" w:cs="Times New Roman"/>
                <w:noProof/>
              </w:rPr>
              <w:t xml:space="preserve">an assessment allowing an appraisal of the EU added value of the proposed action (see question 2.2 for more details). </w:t>
            </w:r>
          </w:p>
        </w:tc>
      </w:tr>
      <w:tr w:rsidR="008F2575" w:rsidRPr="0097054C" w14:paraId="2DEFB97E" w14:textId="77777777" w:rsidTr="005046EA">
        <w:tc>
          <w:tcPr>
            <w:tcW w:w="9288" w:type="dxa"/>
          </w:tcPr>
          <w:p w14:paraId="5DDA9C4E" w14:textId="77777777" w:rsidR="00E35E8B" w:rsidRPr="0097054C" w:rsidRDefault="008F2575" w:rsidP="00E35E8B">
            <w:pPr>
              <w:pStyle w:val="ListParagraph"/>
              <w:numPr>
                <w:ilvl w:val="1"/>
                <w:numId w:val="1"/>
              </w:numPr>
              <w:rPr>
                <w:rFonts w:ascii="Times New Roman" w:hAnsi="Times New Roman" w:cs="Times New Roman"/>
                <w:b/>
                <w:noProof/>
              </w:rPr>
            </w:pPr>
            <w:r w:rsidRPr="0097054C">
              <w:rPr>
                <w:rFonts w:ascii="Times New Roman" w:hAnsi="Times New Roman" w:cs="Times New Roman"/>
                <w:b/>
                <w:noProof/>
              </w:rPr>
              <w:t>Does the explanatory memorandum (and any impact assessment) accompanying the Commission’s proposal contain an adequate justification regarding the conformity with the principle of subsidiarity?</w:t>
            </w:r>
          </w:p>
          <w:p w14:paraId="4E04EC72" w14:textId="291CD414" w:rsidR="00E35E8B" w:rsidRPr="0097054C" w:rsidRDefault="00AF3155" w:rsidP="006E73E8">
            <w:pPr>
              <w:jc w:val="both"/>
              <w:rPr>
                <w:rFonts w:ascii="Times New Roman" w:hAnsi="Times New Roman" w:cs="Times New Roman"/>
                <w:b/>
                <w:noProof/>
              </w:rPr>
            </w:pPr>
            <w:r w:rsidRPr="0097054C">
              <w:rPr>
                <w:rFonts w:ascii="Times New Roman" w:hAnsi="Times New Roman" w:cs="Times New Roman"/>
                <w:noProof/>
              </w:rPr>
              <w:t>T</w:t>
            </w:r>
            <w:r w:rsidR="00961A7D" w:rsidRPr="0097054C">
              <w:rPr>
                <w:rFonts w:ascii="Times New Roman" w:hAnsi="Times New Roman" w:cs="Times New Roman"/>
                <w:noProof/>
              </w:rPr>
              <w:t>he evaluation of the Late Payment Directive concluded that the added value of having EU rules to combat payment delays was uncontested.</w:t>
            </w:r>
          </w:p>
        </w:tc>
      </w:tr>
      <w:tr w:rsidR="008F2575" w:rsidRPr="0097054C" w14:paraId="3B329723" w14:textId="77777777" w:rsidTr="005046EA">
        <w:tc>
          <w:tcPr>
            <w:tcW w:w="9288" w:type="dxa"/>
          </w:tcPr>
          <w:p w14:paraId="2728139A" w14:textId="2FBB4597" w:rsidR="00C43E7F" w:rsidRPr="0097054C" w:rsidRDefault="00C43E7F" w:rsidP="00AF3155">
            <w:pPr>
              <w:jc w:val="both"/>
              <w:rPr>
                <w:rFonts w:ascii="Times New Roman" w:hAnsi="Times New Roman" w:cs="Times New Roman"/>
                <w:noProof/>
              </w:rPr>
            </w:pPr>
            <w:r w:rsidRPr="0097054C">
              <w:rPr>
                <w:rFonts w:ascii="Times New Roman" w:hAnsi="Times New Roman" w:cs="Times New Roman"/>
                <w:noProof/>
              </w:rPr>
              <w:t xml:space="preserve">The explanatory memorandum (section </w:t>
            </w:r>
            <w:r w:rsidR="00961A7D" w:rsidRPr="0097054C">
              <w:rPr>
                <w:rFonts w:ascii="Times New Roman" w:hAnsi="Times New Roman" w:cs="Times New Roman"/>
                <w:noProof/>
              </w:rPr>
              <w:t>2</w:t>
            </w:r>
            <w:r w:rsidRPr="0097054C">
              <w:rPr>
                <w:rFonts w:ascii="Times New Roman" w:hAnsi="Times New Roman" w:cs="Times New Roman"/>
                <w:noProof/>
              </w:rPr>
              <w:t>) and the impact assessment (section 3) provide a justification regarding the conformity with the principle of subsidiarity and address this issue in the context of the options analysed, where appropriate</w:t>
            </w:r>
            <w:r w:rsidR="00961A7D" w:rsidRPr="0097054C">
              <w:rPr>
                <w:rFonts w:ascii="Times New Roman" w:hAnsi="Times New Roman" w:cs="Times New Roman"/>
                <w:noProof/>
              </w:rPr>
              <w:t>.</w:t>
            </w:r>
          </w:p>
          <w:p w14:paraId="4BA8F574" w14:textId="2220E397" w:rsidR="005139FE" w:rsidRPr="0097054C" w:rsidRDefault="005139FE" w:rsidP="00AF3155">
            <w:pPr>
              <w:jc w:val="both"/>
              <w:rPr>
                <w:rFonts w:ascii="Times New Roman" w:hAnsi="Times New Roman" w:cs="Times New Roman"/>
                <w:noProof/>
              </w:rPr>
            </w:pPr>
            <w:r w:rsidRPr="0097054C">
              <w:rPr>
                <w:rFonts w:ascii="Times New Roman" w:hAnsi="Times New Roman" w:cs="Times New Roman"/>
                <w:noProof/>
              </w:rPr>
              <w:t>The problem of late payments is widespread across the EU and affects all Member States. The causes of the problem are common in all EU Member States. Facilitating prompt payment will require all Member States to make rules stricter in a coordinated way. Implementing 27 national solutions would likely result in a lack of uniform rules, fragmentation of the single market and higher cost for companies trading across borders. The EU dimension is justified by the fact that this action affects all commercial transactions in public procurement and between businesses, regardless of their size. It is the very essence of the single market. This action concerns the revision of existing EU legislation</w:t>
            </w:r>
            <w:r w:rsidR="009D0F32" w:rsidRPr="0097054C">
              <w:rPr>
                <w:rFonts w:ascii="Times New Roman" w:hAnsi="Times New Roman" w:cs="Times New Roman"/>
                <w:noProof/>
              </w:rPr>
              <w:t xml:space="preserve">, </w:t>
            </w:r>
            <w:r w:rsidRPr="0097054C">
              <w:rPr>
                <w:rFonts w:ascii="Times New Roman" w:hAnsi="Times New Roman" w:cs="Times New Roman"/>
                <w:noProof/>
              </w:rPr>
              <w:t xml:space="preserve">in order to strengthen its provisions; therefore, it can be done only at EU level. </w:t>
            </w:r>
          </w:p>
          <w:p w14:paraId="2BDD35B7" w14:textId="77777777" w:rsidR="005139FE" w:rsidRPr="0097054C" w:rsidRDefault="005139FE" w:rsidP="00AF3155">
            <w:pPr>
              <w:jc w:val="both"/>
              <w:rPr>
                <w:rFonts w:ascii="Times New Roman" w:hAnsi="Times New Roman" w:cs="Times New Roman"/>
                <w:noProof/>
              </w:rPr>
            </w:pPr>
            <w:r w:rsidRPr="0097054C">
              <w:rPr>
                <w:rFonts w:ascii="Times New Roman" w:hAnsi="Times New Roman" w:cs="Times New Roman"/>
                <w:noProof/>
              </w:rPr>
              <w:t xml:space="preserve">Some EU countries have introduced national rules that are more stringent than the LPD and grant better protection to SMEs – for example capping payment terms in B2B transactions at 30 days when the creditor is an SME or setting up enforcement bodies. At the same time, some national legislations have introduced a ban on assigning receivables, thereby prohibiting the restriction on the parties’ ability to assign or transfer rights that helps getting finance. To avoid fragmentation of the single market, it is necessary to ensure homogenous implementation and enforcement of the rules. </w:t>
            </w:r>
          </w:p>
          <w:p w14:paraId="60626766" w14:textId="77777777" w:rsidR="005139FE" w:rsidRPr="0097054C" w:rsidRDefault="005139FE" w:rsidP="00AF3155">
            <w:pPr>
              <w:jc w:val="both"/>
              <w:rPr>
                <w:rFonts w:ascii="Times New Roman" w:hAnsi="Times New Roman" w:cs="Times New Roman"/>
                <w:noProof/>
              </w:rPr>
            </w:pPr>
            <w:r w:rsidRPr="0097054C">
              <w:rPr>
                <w:rFonts w:ascii="Times New Roman" w:hAnsi="Times New Roman" w:cs="Times New Roman"/>
                <w:noProof/>
              </w:rPr>
              <w:t xml:space="preserve">Similarly, co-ordinated action is required to tackle the asymmetry of power and asymmetry of information, as well as means of redress across Member States. </w:t>
            </w:r>
          </w:p>
          <w:p w14:paraId="60ABD5B6" w14:textId="57DC864A" w:rsidR="008F2575" w:rsidRPr="0097054C" w:rsidRDefault="005139FE" w:rsidP="00AF3155">
            <w:pPr>
              <w:jc w:val="both"/>
              <w:rPr>
                <w:rFonts w:ascii="Times New Roman" w:hAnsi="Times New Roman" w:cs="Times New Roman"/>
                <w:noProof/>
              </w:rPr>
            </w:pPr>
            <w:r w:rsidRPr="0097054C">
              <w:rPr>
                <w:rFonts w:ascii="Times New Roman" w:hAnsi="Times New Roman" w:cs="Times New Roman"/>
                <w:noProof/>
              </w:rPr>
              <w:t>Therefore, Member States acting individually could not satisfactorily remove the barriers to ensure prompt payment across the EU. A coherent legal framework for payment terms, payments of interest and compensation and enforcement, can only be achieved at EU level.</w:t>
            </w:r>
          </w:p>
        </w:tc>
      </w:tr>
      <w:tr w:rsidR="008F2575" w:rsidRPr="0097054C" w14:paraId="1AE61DE0" w14:textId="77777777" w:rsidTr="005046EA">
        <w:tc>
          <w:tcPr>
            <w:tcW w:w="9288" w:type="dxa"/>
          </w:tcPr>
          <w:p w14:paraId="1EDCE266" w14:textId="7C72301A" w:rsidR="008F2575" w:rsidRPr="0097054C" w:rsidRDefault="008F2575" w:rsidP="008F2575">
            <w:pPr>
              <w:pStyle w:val="ListParagraph"/>
              <w:numPr>
                <w:ilvl w:val="1"/>
                <w:numId w:val="1"/>
              </w:numPr>
              <w:rPr>
                <w:rFonts w:ascii="Times New Roman" w:hAnsi="Times New Roman" w:cs="Times New Roman"/>
                <w:b/>
                <w:noProof/>
              </w:rPr>
            </w:pPr>
            <w:r w:rsidRPr="0097054C">
              <w:rPr>
                <w:rFonts w:ascii="Times New Roman" w:hAnsi="Times New Roman" w:cs="Times New Roman"/>
                <w:b/>
                <w:noProof/>
              </w:rPr>
              <w:t>Based on the answers to the questions below, can the objectives of the proposed action be achieved sufficiently by the Member States acting alone (necessity for EU action)?</w:t>
            </w:r>
          </w:p>
        </w:tc>
      </w:tr>
      <w:tr w:rsidR="008F2575" w:rsidRPr="0097054C" w14:paraId="018B2EF2" w14:textId="77777777" w:rsidTr="005046EA">
        <w:tc>
          <w:tcPr>
            <w:tcW w:w="9288" w:type="dxa"/>
          </w:tcPr>
          <w:p w14:paraId="0914E468" w14:textId="12D99FDB" w:rsidR="008F2575" w:rsidRPr="0097054C" w:rsidRDefault="000D10F2" w:rsidP="0097054C">
            <w:pPr>
              <w:jc w:val="both"/>
              <w:rPr>
                <w:rFonts w:ascii="Times New Roman" w:hAnsi="Times New Roman" w:cs="Times New Roman"/>
                <w:noProof/>
                <w:lang w:val="en-IE"/>
              </w:rPr>
            </w:pPr>
            <w:r w:rsidRPr="0097054C">
              <w:rPr>
                <w:rFonts w:ascii="Times New Roman" w:hAnsi="Times New Roman" w:cs="Times New Roman"/>
                <w:noProof/>
                <w:lang w:val="en-IE"/>
              </w:rPr>
              <w:t>Member States acting individually could not satisfactorily remove the barriers to ensure prompt payment across the EU. A coherent legal framework for payment terms, payments of interest and compensation and enforcement, can only be achieved at EU level.</w:t>
            </w:r>
          </w:p>
        </w:tc>
      </w:tr>
      <w:tr w:rsidR="008F2575" w:rsidRPr="0097054C" w14:paraId="07CFDDE5" w14:textId="77777777" w:rsidTr="005046EA">
        <w:tc>
          <w:tcPr>
            <w:tcW w:w="9288" w:type="dxa"/>
          </w:tcPr>
          <w:p w14:paraId="5394A020" w14:textId="77777777" w:rsidR="008F2575" w:rsidRPr="0097054C" w:rsidRDefault="008F2575" w:rsidP="008F2575">
            <w:pPr>
              <w:pStyle w:val="ListParagraph"/>
              <w:numPr>
                <w:ilvl w:val="0"/>
                <w:numId w:val="3"/>
              </w:numPr>
              <w:rPr>
                <w:rFonts w:ascii="Times New Roman" w:hAnsi="Times New Roman" w:cs="Times New Roman"/>
                <w:noProof/>
              </w:rPr>
            </w:pPr>
            <w:r w:rsidRPr="0097054C">
              <w:rPr>
                <w:rFonts w:ascii="Times New Roman" w:hAnsi="Times New Roman" w:cs="Times New Roman"/>
                <w:noProof/>
              </w:rPr>
              <w:t>Are there significant/appreciable transnational/cross-border aspects to the problems being tackled? Have these been quantified?</w:t>
            </w:r>
          </w:p>
        </w:tc>
      </w:tr>
      <w:tr w:rsidR="008F2575" w:rsidRPr="0097054C" w14:paraId="72EB16E0" w14:textId="77777777" w:rsidTr="005046EA">
        <w:tc>
          <w:tcPr>
            <w:tcW w:w="9288" w:type="dxa"/>
          </w:tcPr>
          <w:p w14:paraId="4C805935" w14:textId="125AC173" w:rsidR="008F2575" w:rsidRPr="0097054C" w:rsidRDefault="000D10F2" w:rsidP="008F2575">
            <w:pPr>
              <w:rPr>
                <w:rFonts w:ascii="Times New Roman" w:hAnsi="Times New Roman" w:cs="Times New Roman"/>
                <w:noProof/>
              </w:rPr>
            </w:pPr>
            <w:r w:rsidRPr="0097054C">
              <w:rPr>
                <w:rFonts w:ascii="Times New Roman" w:hAnsi="Times New Roman" w:cs="Times New Roman"/>
                <w:noProof/>
                <w:lang w:val="en-IE"/>
              </w:rPr>
              <w:t>The problem of late payments is widespread across the EU and affects all Member States. The causes of the problem are common in all EU Member States.</w:t>
            </w:r>
          </w:p>
        </w:tc>
      </w:tr>
      <w:tr w:rsidR="008F2575" w:rsidRPr="0097054C" w14:paraId="1535973E" w14:textId="77777777" w:rsidTr="005046EA">
        <w:tc>
          <w:tcPr>
            <w:tcW w:w="9288" w:type="dxa"/>
          </w:tcPr>
          <w:p w14:paraId="3FD97A4C" w14:textId="77777777" w:rsidR="008F2575" w:rsidRPr="0097054C" w:rsidRDefault="008F2575" w:rsidP="008F2575">
            <w:pPr>
              <w:pStyle w:val="ListParagraph"/>
              <w:numPr>
                <w:ilvl w:val="0"/>
                <w:numId w:val="3"/>
              </w:numPr>
              <w:rPr>
                <w:rFonts w:ascii="Times New Roman" w:hAnsi="Times New Roman" w:cs="Times New Roman"/>
                <w:noProof/>
              </w:rPr>
            </w:pPr>
            <w:r w:rsidRPr="0097054C">
              <w:rPr>
                <w:rFonts w:ascii="Times New Roman" w:hAnsi="Times New Roman" w:cs="Times New Roman"/>
                <w:noProof/>
              </w:rPr>
              <w:t>Would national action or the absence of the EU level action conflict with core objectives of the Treaty</w:t>
            </w:r>
            <w:r w:rsidRPr="0097054C">
              <w:rPr>
                <w:rStyle w:val="FootnoteReference"/>
                <w:rFonts w:ascii="Times New Roman" w:hAnsi="Times New Roman" w:cs="Times New Roman"/>
                <w:noProof/>
              </w:rPr>
              <w:footnoteReference w:id="2"/>
            </w:r>
            <w:r w:rsidRPr="0097054C">
              <w:rPr>
                <w:rFonts w:ascii="Times New Roman" w:hAnsi="Times New Roman" w:cs="Times New Roman"/>
                <w:noProof/>
              </w:rPr>
              <w:t xml:space="preserve"> or significantly damage the interests of other Member States?</w:t>
            </w:r>
          </w:p>
        </w:tc>
      </w:tr>
      <w:tr w:rsidR="008F2575" w:rsidRPr="0097054C" w14:paraId="1A3219CC" w14:textId="77777777" w:rsidTr="005046EA">
        <w:tc>
          <w:tcPr>
            <w:tcW w:w="9288" w:type="dxa"/>
          </w:tcPr>
          <w:p w14:paraId="43F7F300" w14:textId="68FE1D65" w:rsidR="008F2575" w:rsidRPr="0097054C" w:rsidRDefault="000D10F2" w:rsidP="0097054C">
            <w:pPr>
              <w:jc w:val="both"/>
              <w:rPr>
                <w:rFonts w:ascii="Times New Roman" w:hAnsi="Times New Roman" w:cs="Times New Roman"/>
                <w:noProof/>
              </w:rPr>
            </w:pPr>
            <w:r w:rsidRPr="0097054C">
              <w:rPr>
                <w:rFonts w:ascii="Times New Roman" w:hAnsi="Times New Roman" w:cs="Times New Roman"/>
                <w:noProof/>
              </w:rPr>
              <w:t xml:space="preserve">Some EU countries have introduced national rules that are more stringent than the LPD and grant better protection to SMEs – for example capping payment terms in B2B transactions at 30 days when the creditor is an SME or setting up enforcement bodies. At the same time, some national legislations have introduced a ban on assigning receivables, thereby prohibiting the restriction on the parties’ ability to assign or transfer rights that helps getting finance. To avoid fragmentation of the single market, it is necessary to ensure homogenous implementation and enforcement of the rules. </w:t>
            </w:r>
          </w:p>
        </w:tc>
      </w:tr>
      <w:tr w:rsidR="008F2575" w:rsidRPr="0097054C" w14:paraId="1EFD2EF6" w14:textId="77777777" w:rsidTr="005046EA">
        <w:tc>
          <w:tcPr>
            <w:tcW w:w="9288" w:type="dxa"/>
          </w:tcPr>
          <w:p w14:paraId="0F1475F0" w14:textId="77777777" w:rsidR="008F2575" w:rsidRPr="0097054C" w:rsidRDefault="008F2575" w:rsidP="008F2575">
            <w:pPr>
              <w:pStyle w:val="ListParagraph"/>
              <w:numPr>
                <w:ilvl w:val="0"/>
                <w:numId w:val="3"/>
              </w:numPr>
              <w:rPr>
                <w:rFonts w:ascii="Times New Roman" w:hAnsi="Times New Roman" w:cs="Times New Roman"/>
                <w:noProof/>
              </w:rPr>
            </w:pPr>
            <w:r w:rsidRPr="0097054C">
              <w:rPr>
                <w:rFonts w:ascii="Times New Roman" w:hAnsi="Times New Roman" w:cs="Times New Roman"/>
                <w:noProof/>
              </w:rPr>
              <w:t>To what extent do Member States have the ability or possibility to enact appropriate measures?</w:t>
            </w:r>
          </w:p>
        </w:tc>
      </w:tr>
      <w:tr w:rsidR="008F2575" w:rsidRPr="0097054C" w14:paraId="6DC88A89" w14:textId="77777777" w:rsidTr="005046EA">
        <w:tc>
          <w:tcPr>
            <w:tcW w:w="9288" w:type="dxa"/>
          </w:tcPr>
          <w:p w14:paraId="71FF64BD" w14:textId="72677861" w:rsidR="008F2575" w:rsidRPr="0097054C" w:rsidRDefault="000D10F2" w:rsidP="00AF3155">
            <w:pPr>
              <w:rPr>
                <w:rFonts w:ascii="Times New Roman" w:hAnsi="Times New Roman" w:cs="Times New Roman"/>
                <w:noProof/>
              </w:rPr>
            </w:pPr>
            <w:r w:rsidRPr="0097054C">
              <w:rPr>
                <w:rFonts w:ascii="Times New Roman" w:hAnsi="Times New Roman" w:cs="Times New Roman"/>
                <w:noProof/>
              </w:rPr>
              <w:t xml:space="preserve">Member States can select enforcement bodies, create alternative dispute resolution mechanisms, ensure digital </w:t>
            </w:r>
            <w:r w:rsidR="00E9565E" w:rsidRPr="0097054C">
              <w:rPr>
                <w:rFonts w:ascii="Times New Roman" w:hAnsi="Times New Roman" w:cs="Times New Roman"/>
                <w:noProof/>
              </w:rPr>
              <w:t xml:space="preserve">tools </w:t>
            </w:r>
            <w:r w:rsidR="00F048D2" w:rsidRPr="0097054C">
              <w:rPr>
                <w:rFonts w:ascii="Times New Roman" w:hAnsi="Times New Roman" w:cs="Times New Roman"/>
                <w:noProof/>
              </w:rPr>
              <w:t>are used</w:t>
            </w:r>
            <w:r w:rsidRPr="0097054C">
              <w:rPr>
                <w:rFonts w:ascii="Times New Roman" w:hAnsi="Times New Roman" w:cs="Times New Roman"/>
                <w:noProof/>
              </w:rPr>
              <w:t xml:space="preserve"> by SMEs, adopt legislation to address unfair payment practices (and adopt legislation that sets payment terms below</w:t>
            </w:r>
            <w:r w:rsidR="00697982" w:rsidRPr="0097054C">
              <w:rPr>
                <w:rFonts w:ascii="Times New Roman" w:hAnsi="Times New Roman" w:cs="Times New Roman"/>
                <w:noProof/>
              </w:rPr>
              <w:t xml:space="preserve"> the maximum payment terms defined in the Regulation</w:t>
            </w:r>
            <w:r w:rsidRPr="0097054C">
              <w:rPr>
                <w:rFonts w:ascii="Times New Roman" w:hAnsi="Times New Roman" w:cs="Times New Roman"/>
                <w:noProof/>
              </w:rPr>
              <w:t>)</w:t>
            </w:r>
          </w:p>
        </w:tc>
      </w:tr>
      <w:tr w:rsidR="008F2575" w:rsidRPr="0097054C" w14:paraId="277E3EAC" w14:textId="77777777" w:rsidTr="005046EA">
        <w:tc>
          <w:tcPr>
            <w:tcW w:w="9288" w:type="dxa"/>
          </w:tcPr>
          <w:p w14:paraId="4177AEEB" w14:textId="77777777" w:rsidR="008F2575" w:rsidRPr="0097054C" w:rsidRDefault="008F2575" w:rsidP="008F2575">
            <w:pPr>
              <w:pStyle w:val="ListParagraph"/>
              <w:numPr>
                <w:ilvl w:val="0"/>
                <w:numId w:val="3"/>
              </w:numPr>
              <w:rPr>
                <w:rFonts w:ascii="Times New Roman" w:hAnsi="Times New Roman" w:cs="Times New Roman"/>
                <w:noProof/>
              </w:rPr>
            </w:pPr>
            <w:r w:rsidRPr="0097054C">
              <w:rPr>
                <w:rFonts w:ascii="Times New Roman" w:hAnsi="Times New Roman" w:cs="Times New Roman"/>
                <w:noProof/>
              </w:rPr>
              <w:t>How does the problem and its causes (e.g. negative externalities, spill-over effects) vary across the national, regional and local levels of the EU?</w:t>
            </w:r>
          </w:p>
        </w:tc>
      </w:tr>
      <w:tr w:rsidR="008F2575" w:rsidRPr="0097054C" w14:paraId="267C2CBD" w14:textId="77777777" w:rsidTr="005046EA">
        <w:tc>
          <w:tcPr>
            <w:tcW w:w="9288" w:type="dxa"/>
          </w:tcPr>
          <w:p w14:paraId="31370309" w14:textId="7E5E52FE" w:rsidR="008F2575" w:rsidRPr="0097054C" w:rsidRDefault="00961A7D" w:rsidP="009D0F32">
            <w:pPr>
              <w:jc w:val="both"/>
              <w:rPr>
                <w:rFonts w:ascii="Times New Roman" w:hAnsi="Times New Roman" w:cs="Times New Roman"/>
                <w:noProof/>
              </w:rPr>
            </w:pPr>
            <w:r w:rsidRPr="0097054C">
              <w:rPr>
                <w:rFonts w:ascii="Times New Roman" w:hAnsi="Times New Roman" w:cs="Times New Roman"/>
                <w:noProof/>
              </w:rPr>
              <w:t>Late payments are widespread across all EU countries. In 11 EU Member States, more than 50% of payments were made late in Q4 2021. However, even in the best performing EU Member States, more than 10% of all invoices are paid late. Long payment terms in B2B transactions came up even in countries with prompt payment traditions and drew the attention of regulators, e.g. in the Netherlands and Sweden, where government reviews showed increases in average payment terms. In all EU Member States, the average payment time is higher than the average payment term agreed.</w:t>
            </w:r>
          </w:p>
        </w:tc>
      </w:tr>
      <w:tr w:rsidR="008F2575" w:rsidRPr="0097054C" w14:paraId="4B3343B8" w14:textId="77777777" w:rsidTr="005046EA">
        <w:tc>
          <w:tcPr>
            <w:tcW w:w="9288" w:type="dxa"/>
          </w:tcPr>
          <w:p w14:paraId="04CD188B" w14:textId="77777777" w:rsidR="008F2575" w:rsidRPr="0097054C" w:rsidRDefault="008F2575" w:rsidP="008F2575">
            <w:pPr>
              <w:pStyle w:val="ListParagraph"/>
              <w:numPr>
                <w:ilvl w:val="0"/>
                <w:numId w:val="3"/>
              </w:numPr>
              <w:rPr>
                <w:rFonts w:ascii="Times New Roman" w:hAnsi="Times New Roman" w:cs="Times New Roman"/>
                <w:noProof/>
              </w:rPr>
            </w:pPr>
            <w:r w:rsidRPr="0097054C">
              <w:rPr>
                <w:rFonts w:ascii="Times New Roman" w:hAnsi="Times New Roman" w:cs="Times New Roman"/>
                <w:noProof/>
              </w:rPr>
              <w:t>Is the problem widespread across the EU or limited to a few Member States?</w:t>
            </w:r>
          </w:p>
        </w:tc>
      </w:tr>
      <w:tr w:rsidR="008F2575" w:rsidRPr="0097054C" w14:paraId="58D44AE9" w14:textId="77777777" w:rsidTr="005046EA">
        <w:tc>
          <w:tcPr>
            <w:tcW w:w="9288" w:type="dxa"/>
          </w:tcPr>
          <w:p w14:paraId="08B9BEAB" w14:textId="7CDA442C" w:rsidR="008F2575" w:rsidRPr="0097054C" w:rsidRDefault="00697982" w:rsidP="00AF3155">
            <w:pPr>
              <w:rPr>
                <w:rFonts w:ascii="Times New Roman" w:hAnsi="Times New Roman" w:cs="Times New Roman"/>
                <w:noProof/>
              </w:rPr>
            </w:pPr>
            <w:r w:rsidRPr="0097054C">
              <w:rPr>
                <w:rFonts w:ascii="Times New Roman" w:hAnsi="Times New Roman" w:cs="Times New Roman"/>
                <w:noProof/>
              </w:rPr>
              <w:t>The problem is widespread across the EU.</w:t>
            </w:r>
          </w:p>
        </w:tc>
      </w:tr>
      <w:tr w:rsidR="008F2575" w:rsidRPr="0097054C" w14:paraId="42F2C86F" w14:textId="77777777" w:rsidTr="005046EA">
        <w:tc>
          <w:tcPr>
            <w:tcW w:w="9288" w:type="dxa"/>
          </w:tcPr>
          <w:p w14:paraId="634AAD9A" w14:textId="77777777" w:rsidR="008F2575" w:rsidRPr="0097054C" w:rsidRDefault="008F2575" w:rsidP="008F2575">
            <w:pPr>
              <w:pStyle w:val="ListParagraph"/>
              <w:numPr>
                <w:ilvl w:val="0"/>
                <w:numId w:val="3"/>
              </w:numPr>
              <w:rPr>
                <w:rFonts w:ascii="Times New Roman" w:hAnsi="Times New Roman" w:cs="Times New Roman"/>
                <w:noProof/>
              </w:rPr>
            </w:pPr>
            <w:r w:rsidRPr="0097054C">
              <w:rPr>
                <w:rFonts w:ascii="Times New Roman" w:hAnsi="Times New Roman" w:cs="Times New Roman"/>
                <w:noProof/>
              </w:rPr>
              <w:t>Are Member States overstretched in achieving the objectives of the planned measure?</w:t>
            </w:r>
          </w:p>
        </w:tc>
      </w:tr>
      <w:tr w:rsidR="008F2575" w:rsidRPr="0097054C" w14:paraId="5A391F49" w14:textId="77777777" w:rsidTr="005046EA">
        <w:tc>
          <w:tcPr>
            <w:tcW w:w="9288" w:type="dxa"/>
          </w:tcPr>
          <w:p w14:paraId="77001BD8" w14:textId="399DE37B" w:rsidR="008F2575" w:rsidRPr="0097054C" w:rsidRDefault="00697982" w:rsidP="00AF3155">
            <w:pPr>
              <w:rPr>
                <w:rFonts w:ascii="Times New Roman" w:hAnsi="Times New Roman" w:cs="Times New Roman"/>
                <w:noProof/>
              </w:rPr>
            </w:pPr>
            <w:r w:rsidRPr="0097054C">
              <w:rPr>
                <w:rFonts w:ascii="Times New Roman" w:hAnsi="Times New Roman" w:cs="Times New Roman"/>
                <w:noProof/>
              </w:rPr>
              <w:t xml:space="preserve">The problems in late payment are present in all MS. </w:t>
            </w:r>
          </w:p>
        </w:tc>
      </w:tr>
      <w:tr w:rsidR="008F2575" w:rsidRPr="0097054C" w14:paraId="1DF8D9C9" w14:textId="77777777" w:rsidTr="005046EA">
        <w:tc>
          <w:tcPr>
            <w:tcW w:w="9288" w:type="dxa"/>
          </w:tcPr>
          <w:p w14:paraId="0D249115" w14:textId="77777777" w:rsidR="008F2575" w:rsidRPr="0097054C" w:rsidRDefault="008F2575" w:rsidP="008F2575">
            <w:pPr>
              <w:pStyle w:val="ListParagraph"/>
              <w:numPr>
                <w:ilvl w:val="0"/>
                <w:numId w:val="3"/>
              </w:numPr>
              <w:rPr>
                <w:rFonts w:ascii="Times New Roman" w:hAnsi="Times New Roman" w:cs="Times New Roman"/>
                <w:noProof/>
              </w:rPr>
            </w:pPr>
            <w:r w:rsidRPr="0097054C">
              <w:rPr>
                <w:rFonts w:ascii="Times New Roman" w:hAnsi="Times New Roman" w:cs="Times New Roman"/>
                <w:noProof/>
              </w:rPr>
              <w:t>How do the views/preferred courses of action of national, regional and local authorities differ across the EU?</w:t>
            </w:r>
          </w:p>
          <w:p w14:paraId="050B4579" w14:textId="629C8C6B" w:rsidR="00D514F2" w:rsidRPr="0097054C" w:rsidRDefault="00D514F2" w:rsidP="009D0F32">
            <w:pPr>
              <w:jc w:val="both"/>
              <w:rPr>
                <w:rFonts w:ascii="Times New Roman" w:hAnsi="Times New Roman" w:cs="Times New Roman"/>
                <w:noProof/>
              </w:rPr>
            </w:pPr>
            <w:r w:rsidRPr="0097054C">
              <w:rPr>
                <w:rFonts w:ascii="Times New Roman" w:hAnsi="Times New Roman" w:cs="Times New Roman"/>
                <w:noProof/>
              </w:rPr>
              <w:t>Most authorities support the revision as confirmed in the results of the consultation activities (e.g. public consultation and feedback on the call for evidence). According to the results of the public consultation, there is a strong support of a relative majority of M</w:t>
            </w:r>
            <w:r w:rsidR="00AF3155" w:rsidRPr="0097054C">
              <w:rPr>
                <w:rFonts w:ascii="Times New Roman" w:hAnsi="Times New Roman" w:cs="Times New Roman"/>
                <w:noProof/>
              </w:rPr>
              <w:t>ember States’</w:t>
            </w:r>
            <w:r w:rsidRPr="0097054C">
              <w:rPr>
                <w:rFonts w:ascii="Times New Roman" w:hAnsi="Times New Roman" w:cs="Times New Roman"/>
                <w:noProof/>
              </w:rPr>
              <w:t xml:space="preserve"> authorities for the capping of payment with a preference for 30 day</w:t>
            </w:r>
            <w:r w:rsidR="009D0F32" w:rsidRPr="0097054C">
              <w:rPr>
                <w:rFonts w:ascii="Times New Roman" w:hAnsi="Times New Roman" w:cs="Times New Roman"/>
                <w:noProof/>
              </w:rPr>
              <w:t>s</w:t>
            </w:r>
            <w:r w:rsidRPr="0097054C">
              <w:rPr>
                <w:rFonts w:ascii="Times New Roman" w:hAnsi="Times New Roman" w:cs="Times New Roman"/>
                <w:noProof/>
              </w:rPr>
              <w:t xml:space="preserve"> (8 replies out of 18). Some M</w:t>
            </w:r>
            <w:r w:rsidR="00AF3155" w:rsidRPr="0097054C">
              <w:rPr>
                <w:rFonts w:ascii="Times New Roman" w:hAnsi="Times New Roman" w:cs="Times New Roman"/>
                <w:noProof/>
              </w:rPr>
              <w:t xml:space="preserve">ember States’ </w:t>
            </w:r>
            <w:r w:rsidRPr="0097054C">
              <w:rPr>
                <w:rFonts w:ascii="Times New Roman" w:hAnsi="Times New Roman" w:cs="Times New Roman"/>
                <w:noProof/>
              </w:rPr>
              <w:t xml:space="preserve">authorities (5 replies out of 18) prefer to not change the current provisions. This is reflected by the feedback received for the call for evidence. A large majority supported the proposal to improve the provision of training on credit management and financial literacy while the views are mixed concerning the European Observatory of payments. </w:t>
            </w:r>
          </w:p>
          <w:p w14:paraId="5C720A0F" w14:textId="7F3E2F27" w:rsidR="00CA4087" w:rsidRPr="0097054C" w:rsidRDefault="00D514F2" w:rsidP="009D0F32">
            <w:pPr>
              <w:jc w:val="both"/>
              <w:rPr>
                <w:rFonts w:ascii="Times New Roman" w:hAnsi="Times New Roman" w:cs="Times New Roman"/>
                <w:noProof/>
              </w:rPr>
            </w:pPr>
            <w:r w:rsidRPr="0097054C">
              <w:rPr>
                <w:rFonts w:ascii="Times New Roman" w:hAnsi="Times New Roman" w:cs="Times New Roman"/>
                <w:noProof/>
              </w:rPr>
              <w:t>The views of authorities are more divergent as to the legal form of the instrument</w:t>
            </w:r>
            <w:r w:rsidR="00AF3155" w:rsidRPr="0097054C">
              <w:rPr>
                <w:rFonts w:ascii="Times New Roman" w:hAnsi="Times New Roman" w:cs="Times New Roman"/>
                <w:noProof/>
              </w:rPr>
              <w:t>,</w:t>
            </w:r>
            <w:r w:rsidRPr="0097054C">
              <w:rPr>
                <w:rFonts w:ascii="Times New Roman" w:hAnsi="Times New Roman" w:cs="Times New Roman"/>
                <w:noProof/>
              </w:rPr>
              <w:t xml:space="preserve"> with most authorities in favour of maintaining a Directive.</w:t>
            </w:r>
          </w:p>
        </w:tc>
      </w:tr>
      <w:tr w:rsidR="008F2575" w:rsidRPr="0097054C" w14:paraId="008D957B" w14:textId="77777777" w:rsidTr="005046EA">
        <w:tc>
          <w:tcPr>
            <w:tcW w:w="9288" w:type="dxa"/>
          </w:tcPr>
          <w:p w14:paraId="6EC7C2EB" w14:textId="28D81610" w:rsidR="008F2575" w:rsidRPr="0097054C" w:rsidRDefault="008F2575" w:rsidP="00AF3155">
            <w:pPr>
              <w:pStyle w:val="ListParagraph"/>
              <w:jc w:val="both"/>
              <w:rPr>
                <w:rFonts w:ascii="Times New Roman" w:hAnsi="Times New Roman" w:cs="Times New Roman"/>
                <w:noProof/>
              </w:rPr>
            </w:pPr>
          </w:p>
        </w:tc>
      </w:tr>
      <w:tr w:rsidR="008F2575" w:rsidRPr="0097054C" w14:paraId="33B6634C" w14:textId="77777777" w:rsidTr="005046EA">
        <w:tc>
          <w:tcPr>
            <w:tcW w:w="9288" w:type="dxa"/>
          </w:tcPr>
          <w:p w14:paraId="52AC3692" w14:textId="77777777" w:rsidR="008F2575" w:rsidRPr="0097054C" w:rsidRDefault="008F2575" w:rsidP="008F2575">
            <w:pPr>
              <w:pStyle w:val="ListParagraph"/>
              <w:numPr>
                <w:ilvl w:val="1"/>
                <w:numId w:val="1"/>
              </w:numPr>
              <w:rPr>
                <w:rFonts w:ascii="Times New Roman" w:hAnsi="Times New Roman" w:cs="Times New Roman"/>
                <w:b/>
                <w:noProof/>
              </w:rPr>
            </w:pPr>
            <w:r w:rsidRPr="0097054C">
              <w:rPr>
                <w:rFonts w:ascii="Times New Roman" w:hAnsi="Times New Roman" w:cs="Times New Roman"/>
                <w:b/>
                <w:noProof/>
              </w:rPr>
              <w:t>Based on the answer to the questions below, can the objectives of the proposed action be better achieved at Union level by reason of scale or effects of that action (EU added value)?</w:t>
            </w:r>
          </w:p>
        </w:tc>
      </w:tr>
      <w:tr w:rsidR="008F2575" w:rsidRPr="0097054C" w14:paraId="2670BD8D" w14:textId="77777777" w:rsidTr="005046EA">
        <w:tc>
          <w:tcPr>
            <w:tcW w:w="9288" w:type="dxa"/>
          </w:tcPr>
          <w:p w14:paraId="770C1AE5" w14:textId="44780D91" w:rsidR="00EC34F8" w:rsidRPr="0097054C" w:rsidRDefault="00EC34F8" w:rsidP="00B56705">
            <w:pPr>
              <w:rPr>
                <w:rFonts w:ascii="Times New Roman" w:hAnsi="Times New Roman" w:cs="Times New Roman"/>
                <w:noProof/>
                <w:color w:val="4F81BD" w:themeColor="accent1"/>
              </w:rPr>
            </w:pPr>
            <w:r w:rsidRPr="0097054C">
              <w:rPr>
                <w:rFonts w:ascii="Times New Roman" w:hAnsi="Times New Roman" w:cs="Times New Roman"/>
                <w:noProof/>
              </w:rPr>
              <w:t>Value added of EU action for this initiative is strong because it seeks to address a widespread, EU-wide problem, which affects not only intra-Member State transactions, but also cross-border transactions in the single market.</w:t>
            </w:r>
          </w:p>
        </w:tc>
      </w:tr>
      <w:tr w:rsidR="008F2575" w:rsidRPr="0097054C" w14:paraId="6C892492" w14:textId="77777777" w:rsidTr="005046EA">
        <w:tc>
          <w:tcPr>
            <w:tcW w:w="9288" w:type="dxa"/>
          </w:tcPr>
          <w:p w14:paraId="4E249586" w14:textId="64077782" w:rsidR="008F2575" w:rsidRPr="0097054C" w:rsidRDefault="008F2575" w:rsidP="008F2575">
            <w:pPr>
              <w:pStyle w:val="ListParagraph"/>
              <w:numPr>
                <w:ilvl w:val="0"/>
                <w:numId w:val="5"/>
              </w:numPr>
              <w:rPr>
                <w:rFonts w:ascii="Times New Roman" w:hAnsi="Times New Roman" w:cs="Times New Roman"/>
                <w:noProof/>
              </w:rPr>
            </w:pPr>
            <w:r w:rsidRPr="0097054C">
              <w:rPr>
                <w:rFonts w:ascii="Times New Roman" w:hAnsi="Times New Roman" w:cs="Times New Roman"/>
                <w:noProof/>
              </w:rPr>
              <w:t xml:space="preserve">Are there clear benefits from EU level action? </w:t>
            </w:r>
          </w:p>
        </w:tc>
      </w:tr>
      <w:tr w:rsidR="00697982" w:rsidRPr="0097054C" w14:paraId="766C28A6" w14:textId="77777777" w:rsidTr="005046EA">
        <w:tc>
          <w:tcPr>
            <w:tcW w:w="9288" w:type="dxa"/>
          </w:tcPr>
          <w:p w14:paraId="644CEEA5" w14:textId="2AC3C741" w:rsidR="00697982" w:rsidRPr="0097054C" w:rsidRDefault="00B56705" w:rsidP="0097054C">
            <w:pPr>
              <w:jc w:val="both"/>
              <w:rPr>
                <w:rFonts w:ascii="Times New Roman" w:hAnsi="Times New Roman" w:cs="Times New Roman"/>
                <w:noProof/>
              </w:rPr>
            </w:pPr>
            <w:r w:rsidRPr="0097054C">
              <w:rPr>
                <w:rFonts w:ascii="Times New Roman" w:hAnsi="Times New Roman" w:cs="Times New Roman"/>
                <w:noProof/>
              </w:rPr>
              <w:t xml:space="preserve">Value added of EU action for this initiative is </w:t>
            </w:r>
            <w:r w:rsidR="00B952A5" w:rsidRPr="0097054C">
              <w:rPr>
                <w:rFonts w:ascii="Times New Roman" w:hAnsi="Times New Roman" w:cs="Times New Roman"/>
                <w:noProof/>
              </w:rPr>
              <w:t xml:space="preserve">significant </w:t>
            </w:r>
            <w:r w:rsidRPr="0097054C">
              <w:rPr>
                <w:rFonts w:ascii="Times New Roman" w:hAnsi="Times New Roman" w:cs="Times New Roman"/>
                <w:noProof/>
              </w:rPr>
              <w:t>because it seeks to address a widespread, EU-wide problem, which affects not only intra-Member State transactions, but also cross-border transactions in the single market. Payments allow the single market to function. Late payment may affect any commercial transaction in the EU. This initiative concerns the revision of an already exiting EU legislation (Directive 2011/7/EU) therefore, it can be done only at EU level. Implementing 27 solutions to lay down rules on national level would risk fragmenting the single market and bring additional familiarisation and compliance costs for companies trading across borders in the EU.</w:t>
            </w:r>
          </w:p>
        </w:tc>
      </w:tr>
      <w:tr w:rsidR="00697982" w:rsidRPr="0097054C" w14:paraId="416B4E02" w14:textId="77777777" w:rsidTr="005046EA">
        <w:tc>
          <w:tcPr>
            <w:tcW w:w="9288" w:type="dxa"/>
          </w:tcPr>
          <w:p w14:paraId="2E605A0C" w14:textId="77777777" w:rsidR="00697982" w:rsidRPr="0097054C" w:rsidRDefault="00697982" w:rsidP="00697982">
            <w:pPr>
              <w:pStyle w:val="ListParagraph"/>
              <w:numPr>
                <w:ilvl w:val="0"/>
                <w:numId w:val="5"/>
              </w:numPr>
              <w:rPr>
                <w:rFonts w:ascii="Times New Roman" w:hAnsi="Times New Roman" w:cs="Times New Roman"/>
                <w:noProof/>
              </w:rPr>
            </w:pPr>
            <w:r w:rsidRPr="0097054C">
              <w:rPr>
                <w:rFonts w:ascii="Times New Roman" w:hAnsi="Times New Roman" w:cs="Times New Roman"/>
                <w:noProof/>
              </w:rPr>
              <w:t>Are there economies of scale? Can the objectives be met more efficiently at EU level (larger benefits per unit cost)? Will the functioning of the internal market be improved?</w:t>
            </w:r>
          </w:p>
        </w:tc>
      </w:tr>
      <w:tr w:rsidR="00B56705" w:rsidRPr="0097054C" w14:paraId="2ADF32CA" w14:textId="77777777" w:rsidTr="005046EA">
        <w:tc>
          <w:tcPr>
            <w:tcW w:w="9288" w:type="dxa"/>
          </w:tcPr>
          <w:p w14:paraId="4C9C7FC9" w14:textId="77BA8959" w:rsidR="00B56705" w:rsidRPr="0097054C" w:rsidRDefault="00B56705" w:rsidP="0097054C">
            <w:pPr>
              <w:jc w:val="both"/>
              <w:rPr>
                <w:rFonts w:ascii="Times New Roman" w:hAnsi="Times New Roman" w:cs="Times New Roman"/>
                <w:noProof/>
              </w:rPr>
            </w:pPr>
            <w:r w:rsidRPr="0097054C">
              <w:rPr>
                <w:rFonts w:ascii="Times New Roman" w:hAnsi="Times New Roman" w:cs="Times New Roman"/>
                <w:noProof/>
              </w:rPr>
              <w:t>A coordinated action at EU level including Member States is required to: define provisions on interest and compensation fees (articles 3,4, and 6) so that they can be transposed in a uniform manner into national legislations, establish clearer payment terms for B2B, as well as enforcement and monitoring provisions, that apply cross border; ensure that there are synergies with the public procurement framework, and especially taking into account that the National Recovery and Resilience Plans in the Member States are implemented primarily through public procurement.</w:t>
            </w:r>
          </w:p>
        </w:tc>
      </w:tr>
      <w:tr w:rsidR="00B56705" w:rsidRPr="0097054C" w14:paraId="1BE16B27" w14:textId="77777777" w:rsidTr="005046EA">
        <w:tc>
          <w:tcPr>
            <w:tcW w:w="9288" w:type="dxa"/>
          </w:tcPr>
          <w:p w14:paraId="4FAC3105" w14:textId="28E6E329" w:rsidR="00B56705" w:rsidRPr="0097054C" w:rsidRDefault="00B56705" w:rsidP="00B56705">
            <w:pPr>
              <w:pStyle w:val="ListParagraph"/>
              <w:numPr>
                <w:ilvl w:val="0"/>
                <w:numId w:val="5"/>
              </w:numPr>
              <w:rPr>
                <w:rFonts w:ascii="Times New Roman" w:hAnsi="Times New Roman" w:cs="Times New Roman"/>
                <w:noProof/>
              </w:rPr>
            </w:pPr>
            <w:r w:rsidRPr="0097054C">
              <w:rPr>
                <w:rFonts w:ascii="Times New Roman" w:hAnsi="Times New Roman" w:cs="Times New Roman"/>
                <w:noProof/>
              </w:rPr>
              <w:t>What are the benefits in replacing different national policies and rules with a more homogenous policy approach?</w:t>
            </w:r>
          </w:p>
        </w:tc>
      </w:tr>
      <w:tr w:rsidR="00B56705" w:rsidRPr="0097054C" w14:paraId="5A710038" w14:textId="77777777" w:rsidTr="005046EA">
        <w:tc>
          <w:tcPr>
            <w:tcW w:w="9288" w:type="dxa"/>
          </w:tcPr>
          <w:p w14:paraId="31D884F2" w14:textId="4C72CD32" w:rsidR="00B56705" w:rsidRPr="0097054C" w:rsidRDefault="00B56705" w:rsidP="00AF3155">
            <w:pPr>
              <w:rPr>
                <w:rFonts w:ascii="Times New Roman" w:hAnsi="Times New Roman" w:cs="Times New Roman"/>
                <w:noProof/>
              </w:rPr>
            </w:pPr>
            <w:r w:rsidRPr="0097054C">
              <w:rPr>
                <w:rFonts w:ascii="Times New Roman" w:hAnsi="Times New Roman" w:cs="Times New Roman"/>
                <w:noProof/>
              </w:rPr>
              <w:t xml:space="preserve">The Regulation replaces the current LPD Directive. While some national legislation might need to be adapted, there will be no need for transposition and therefore there is less replacement of national rules. </w:t>
            </w:r>
          </w:p>
        </w:tc>
      </w:tr>
      <w:tr w:rsidR="00B56705" w:rsidRPr="0097054C" w14:paraId="0A592FFF" w14:textId="77777777" w:rsidTr="005046EA">
        <w:tc>
          <w:tcPr>
            <w:tcW w:w="9288" w:type="dxa"/>
          </w:tcPr>
          <w:p w14:paraId="3C22490C" w14:textId="77777777" w:rsidR="00B56705" w:rsidRPr="0097054C" w:rsidRDefault="00B56705" w:rsidP="00B56705">
            <w:pPr>
              <w:pStyle w:val="ListParagraph"/>
              <w:numPr>
                <w:ilvl w:val="0"/>
                <w:numId w:val="5"/>
              </w:numPr>
              <w:rPr>
                <w:rFonts w:ascii="Times New Roman" w:hAnsi="Times New Roman" w:cs="Times New Roman"/>
                <w:noProof/>
              </w:rPr>
            </w:pPr>
            <w:r w:rsidRPr="0097054C">
              <w:rPr>
                <w:rFonts w:ascii="Times New Roman" w:hAnsi="Times New Roman" w:cs="Times New Roman"/>
                <w:noProof/>
              </w:rPr>
              <w:t>Do the benefits of EU-level action outweigh the loss of competence of the Member States and the local and regional authorities (beyond the costs and benefits of acting at national, regional and local levels)?</w:t>
            </w:r>
          </w:p>
        </w:tc>
      </w:tr>
      <w:tr w:rsidR="00B56705" w:rsidRPr="0097054C" w14:paraId="166397EC" w14:textId="77777777" w:rsidTr="005046EA">
        <w:tc>
          <w:tcPr>
            <w:tcW w:w="9288" w:type="dxa"/>
          </w:tcPr>
          <w:p w14:paraId="1A930CED" w14:textId="6E98CF2D" w:rsidR="00B56705" w:rsidRPr="0097054C" w:rsidRDefault="00575925" w:rsidP="0097054C">
            <w:pPr>
              <w:jc w:val="both"/>
              <w:rPr>
                <w:rFonts w:ascii="Times New Roman" w:hAnsi="Times New Roman" w:cs="Times New Roman"/>
                <w:noProof/>
              </w:rPr>
            </w:pPr>
            <w:r w:rsidRPr="0097054C">
              <w:rPr>
                <w:rFonts w:ascii="Times New Roman" w:hAnsi="Times New Roman" w:cs="Times New Roman"/>
                <w:noProof/>
              </w:rPr>
              <w:t>EU-level action brings additional benefits compared to national, regional and local action, as many B2B transactions</w:t>
            </w:r>
            <w:r w:rsidR="00F0799D" w:rsidRPr="0097054C">
              <w:rPr>
                <w:rFonts w:ascii="Times New Roman" w:hAnsi="Times New Roman" w:cs="Times New Roman"/>
                <w:noProof/>
              </w:rPr>
              <w:t xml:space="preserve"> are</w:t>
            </w:r>
            <w:r w:rsidRPr="0097054C">
              <w:rPr>
                <w:rFonts w:ascii="Times New Roman" w:hAnsi="Times New Roman" w:cs="Times New Roman"/>
                <w:noProof/>
              </w:rPr>
              <w:t xml:space="preserve"> cross borders and common rules across the EU would therefore be simpler for businesses to understand. EU-level action reduces the need for a business to familiarise themselves with payment regulation in each individual Member State. As the Regulation will replace an existing Directive, Member States have already ceded some competence under the baseline scenario. Where relevant, certain specific provisions could explicitly allow Member States to adopt more stringent provisions, where this is carefully calibrated so as to allow national authorities exercise their remaining competence.</w:t>
            </w:r>
          </w:p>
        </w:tc>
      </w:tr>
      <w:tr w:rsidR="00B56705" w:rsidRPr="0097054C" w14:paraId="6397EFF3" w14:textId="77777777" w:rsidTr="005046EA">
        <w:tc>
          <w:tcPr>
            <w:tcW w:w="9288" w:type="dxa"/>
          </w:tcPr>
          <w:p w14:paraId="05C7F894" w14:textId="77777777" w:rsidR="00B56705" w:rsidRPr="0097054C" w:rsidRDefault="00B56705" w:rsidP="00B56705">
            <w:pPr>
              <w:pStyle w:val="ListParagraph"/>
              <w:numPr>
                <w:ilvl w:val="0"/>
                <w:numId w:val="5"/>
              </w:numPr>
              <w:rPr>
                <w:rFonts w:ascii="Times New Roman" w:hAnsi="Times New Roman" w:cs="Times New Roman"/>
                <w:noProof/>
              </w:rPr>
            </w:pPr>
            <w:r w:rsidRPr="0097054C">
              <w:rPr>
                <w:rFonts w:ascii="Times New Roman" w:hAnsi="Times New Roman" w:cs="Times New Roman"/>
                <w:noProof/>
              </w:rPr>
              <w:t>Will there be improved legal clarity for those having to implement the legislation?</w:t>
            </w:r>
          </w:p>
        </w:tc>
      </w:tr>
      <w:tr w:rsidR="00B56705" w:rsidRPr="0097054C" w14:paraId="7C50BA1C" w14:textId="77777777" w:rsidTr="005046EA">
        <w:tc>
          <w:tcPr>
            <w:tcW w:w="9288" w:type="dxa"/>
          </w:tcPr>
          <w:p w14:paraId="56DD213B" w14:textId="273ABAC3" w:rsidR="00B56705" w:rsidRPr="0097054C" w:rsidRDefault="00B56705" w:rsidP="00AF3155">
            <w:pPr>
              <w:rPr>
                <w:rFonts w:ascii="Times New Roman" w:hAnsi="Times New Roman" w:cs="Times New Roman"/>
                <w:noProof/>
              </w:rPr>
            </w:pPr>
            <w:r w:rsidRPr="0097054C">
              <w:rPr>
                <w:rFonts w:ascii="Times New Roman" w:hAnsi="Times New Roman" w:cs="Times New Roman"/>
                <w:noProof/>
              </w:rPr>
              <w:t>Yes. There will be one set of rules applicable, present in the Regulation.</w:t>
            </w:r>
          </w:p>
        </w:tc>
      </w:tr>
      <w:tr w:rsidR="00B56705" w:rsidRPr="0097054C" w14:paraId="75866A8E" w14:textId="77777777" w:rsidTr="009A140A">
        <w:tc>
          <w:tcPr>
            <w:tcW w:w="9288" w:type="dxa"/>
            <w:shd w:val="clear" w:color="auto" w:fill="808080" w:themeFill="background1" w:themeFillShade="80"/>
          </w:tcPr>
          <w:p w14:paraId="4000B0AB" w14:textId="77777777" w:rsidR="00B56705" w:rsidRPr="0097054C" w:rsidRDefault="00B56705" w:rsidP="00B56705">
            <w:pPr>
              <w:rPr>
                <w:rFonts w:ascii="Times New Roman" w:hAnsi="Times New Roman" w:cs="Times New Roman"/>
                <w:b/>
                <w:noProof/>
                <w:color w:val="FFFFFF" w:themeColor="background1"/>
              </w:rPr>
            </w:pPr>
            <w:r w:rsidRPr="0097054C">
              <w:rPr>
                <w:rFonts w:ascii="Times New Roman" w:hAnsi="Times New Roman" w:cs="Times New Roman"/>
                <w:b/>
                <w:noProof/>
                <w:color w:val="FFFFFF" w:themeColor="background1"/>
              </w:rPr>
              <w:t>3.  Proportionality: How the EU should act</w:t>
            </w:r>
          </w:p>
        </w:tc>
      </w:tr>
      <w:tr w:rsidR="00B56705" w:rsidRPr="0097054C" w14:paraId="2755AC4D" w14:textId="77777777" w:rsidTr="005046EA">
        <w:tc>
          <w:tcPr>
            <w:tcW w:w="9288" w:type="dxa"/>
          </w:tcPr>
          <w:p w14:paraId="40B2D301" w14:textId="77777777" w:rsidR="00B56705" w:rsidRPr="0097054C" w:rsidRDefault="00B56705" w:rsidP="00B56705">
            <w:pPr>
              <w:pStyle w:val="ListParagraph"/>
              <w:numPr>
                <w:ilvl w:val="1"/>
                <w:numId w:val="6"/>
              </w:numPr>
              <w:rPr>
                <w:rFonts w:ascii="Times New Roman" w:hAnsi="Times New Roman" w:cs="Times New Roman"/>
                <w:b/>
                <w:noProof/>
              </w:rPr>
            </w:pPr>
            <w:r w:rsidRPr="0097054C">
              <w:rPr>
                <w:rFonts w:ascii="Times New Roman" w:hAnsi="Times New Roman" w:cs="Times New Roman"/>
                <w:b/>
                <w:noProof/>
              </w:rPr>
              <w:t xml:space="preserve"> Does the explanatory memorandum (and any impact assessment) accompanying the Commission’s proposal contain an adequate justification regarding the proportionality of the proposal and a statement allowing appraisal of the compliance of the proposal with the principle of proportionality?</w:t>
            </w:r>
          </w:p>
        </w:tc>
      </w:tr>
      <w:tr w:rsidR="00B56705" w:rsidRPr="0097054C" w14:paraId="03065945" w14:textId="77777777" w:rsidTr="005046EA">
        <w:tc>
          <w:tcPr>
            <w:tcW w:w="9288" w:type="dxa"/>
          </w:tcPr>
          <w:p w14:paraId="1CD80A7E" w14:textId="77777777" w:rsidR="00EC34F8" w:rsidRPr="0097054C" w:rsidRDefault="00EC34F8" w:rsidP="0097054C">
            <w:pPr>
              <w:jc w:val="both"/>
              <w:rPr>
                <w:rFonts w:ascii="Times New Roman" w:hAnsi="Times New Roman" w:cs="Times New Roman"/>
                <w:noProof/>
              </w:rPr>
            </w:pPr>
            <w:r w:rsidRPr="0097054C">
              <w:rPr>
                <w:rFonts w:ascii="Times New Roman" w:hAnsi="Times New Roman" w:cs="Times New Roman"/>
                <w:noProof/>
              </w:rPr>
              <w:t>The measures proposed impose only the cost on businesses that is necessary to achieve the objectives and leave room for discretion to Member States in how enforcement bodies are designated.</w:t>
            </w:r>
          </w:p>
          <w:p w14:paraId="2717469C" w14:textId="77777777" w:rsidR="00EC34F8" w:rsidRPr="0097054C" w:rsidRDefault="00EC34F8" w:rsidP="0097054C">
            <w:pPr>
              <w:jc w:val="both"/>
              <w:rPr>
                <w:rFonts w:ascii="Times New Roman" w:hAnsi="Times New Roman" w:cs="Times New Roman"/>
                <w:noProof/>
              </w:rPr>
            </w:pPr>
            <w:r w:rsidRPr="0097054C">
              <w:rPr>
                <w:rFonts w:ascii="Times New Roman" w:hAnsi="Times New Roman" w:cs="Times New Roman"/>
                <w:noProof/>
              </w:rPr>
              <w:t>The measures proposed are well targeted as they focus on the needs of their direct users (e.g. companies, in particular SMEs) to prevent late payments from occurring and making timely payments actually happen.</w:t>
            </w:r>
          </w:p>
          <w:p w14:paraId="1CBFBEC5" w14:textId="116A7A6C" w:rsidR="00B56705" w:rsidRPr="0097054C" w:rsidRDefault="00EC34F8" w:rsidP="0097054C">
            <w:pPr>
              <w:jc w:val="both"/>
              <w:rPr>
                <w:rFonts w:ascii="Times New Roman" w:hAnsi="Times New Roman" w:cs="Times New Roman"/>
                <w:noProof/>
              </w:rPr>
            </w:pPr>
            <w:r w:rsidRPr="0097054C">
              <w:rPr>
                <w:rFonts w:ascii="Times New Roman" w:hAnsi="Times New Roman" w:cs="Times New Roman"/>
                <w:noProof/>
              </w:rPr>
              <w:t>The summary of costs, benefits and impacts on stakeholders of the preferred combination of policy options is presented in Annex 3 of the impact assessment.</w:t>
            </w:r>
            <w:r w:rsidR="00F0799D" w:rsidRPr="0097054C">
              <w:rPr>
                <w:rFonts w:ascii="Times New Roman" w:hAnsi="Times New Roman" w:cs="Times New Roman"/>
                <w:noProof/>
              </w:rPr>
              <w:t xml:space="preserve"> The assessment of all policy options in terms of proportionality is provided in section 7.2 and more specifically in section 8 for the preferred policy option.</w:t>
            </w:r>
          </w:p>
        </w:tc>
      </w:tr>
      <w:tr w:rsidR="00B56705" w:rsidRPr="0097054C" w14:paraId="56C0F13E" w14:textId="77777777" w:rsidTr="005046EA">
        <w:tc>
          <w:tcPr>
            <w:tcW w:w="9288" w:type="dxa"/>
          </w:tcPr>
          <w:p w14:paraId="259B6D68" w14:textId="5ED41F54" w:rsidR="00B56705" w:rsidRPr="0097054C" w:rsidRDefault="00B56705" w:rsidP="00B56705">
            <w:pPr>
              <w:pStyle w:val="ListParagraph"/>
              <w:numPr>
                <w:ilvl w:val="1"/>
                <w:numId w:val="6"/>
              </w:numPr>
              <w:rPr>
                <w:rFonts w:ascii="Times New Roman" w:hAnsi="Times New Roman" w:cs="Times New Roman"/>
                <w:b/>
                <w:noProof/>
              </w:rPr>
            </w:pPr>
            <w:r w:rsidRPr="0097054C">
              <w:rPr>
                <w:rFonts w:ascii="Times New Roman" w:hAnsi="Times New Roman" w:cs="Times New Roman"/>
                <w:b/>
                <w:noProof/>
              </w:rPr>
              <w:t>Based on the answers to the questions below and information available from any impact assessment, the explanatory memorandum or other sources, is the proposed action an appropriate way to achieve the intended objectives?</w:t>
            </w:r>
          </w:p>
        </w:tc>
      </w:tr>
      <w:tr w:rsidR="00B56705" w:rsidRPr="0097054C" w14:paraId="1E041F20" w14:textId="77777777" w:rsidTr="005046EA">
        <w:tc>
          <w:tcPr>
            <w:tcW w:w="9288" w:type="dxa"/>
          </w:tcPr>
          <w:p w14:paraId="42F3CCC9" w14:textId="523E7976" w:rsidR="00B56705" w:rsidRPr="0097054C" w:rsidRDefault="00EC34F8" w:rsidP="00EC34F8">
            <w:pPr>
              <w:rPr>
                <w:rFonts w:ascii="Times New Roman" w:hAnsi="Times New Roman" w:cs="Times New Roman"/>
                <w:noProof/>
              </w:rPr>
            </w:pPr>
            <w:r w:rsidRPr="0097054C">
              <w:rPr>
                <w:rFonts w:ascii="Times New Roman" w:hAnsi="Times New Roman" w:cs="Times New Roman"/>
                <w:noProof/>
              </w:rPr>
              <w:t>In line with the principle of proportionality, the planned initiative will not go beyond what is necessary to achieve its objectives by revising the current rules applicable to all commercial transactions in public procurement and between businesses, which could not be achieved by Member States on their own.</w:t>
            </w:r>
          </w:p>
        </w:tc>
      </w:tr>
      <w:tr w:rsidR="00B56705" w:rsidRPr="0097054C" w14:paraId="4A4204A1" w14:textId="77777777" w:rsidTr="005046EA">
        <w:tc>
          <w:tcPr>
            <w:tcW w:w="9288" w:type="dxa"/>
          </w:tcPr>
          <w:p w14:paraId="1F2ADBE1" w14:textId="77777777" w:rsidR="00B56705" w:rsidRPr="0097054C" w:rsidRDefault="00B56705" w:rsidP="00B56705">
            <w:pPr>
              <w:pStyle w:val="ListParagraph"/>
              <w:numPr>
                <w:ilvl w:val="0"/>
                <w:numId w:val="7"/>
              </w:numPr>
              <w:rPr>
                <w:rFonts w:ascii="Times New Roman" w:hAnsi="Times New Roman" w:cs="Times New Roman"/>
                <w:noProof/>
              </w:rPr>
            </w:pPr>
            <w:r w:rsidRPr="0097054C">
              <w:rPr>
                <w:rFonts w:ascii="Times New Roman" w:hAnsi="Times New Roman" w:cs="Times New Roman"/>
                <w:noProof/>
              </w:rPr>
              <w:t>Is the initiative limited to those aspects that Member States cannot achieve satisfactorily on their own, and where the Union can do better?</w:t>
            </w:r>
          </w:p>
        </w:tc>
      </w:tr>
      <w:tr w:rsidR="00B56705" w:rsidRPr="0097054C" w14:paraId="7BA11BDB" w14:textId="77777777" w:rsidTr="005046EA">
        <w:tc>
          <w:tcPr>
            <w:tcW w:w="9288" w:type="dxa"/>
          </w:tcPr>
          <w:p w14:paraId="61B86FAD" w14:textId="4E82DA30" w:rsidR="00B56705" w:rsidRPr="0097054C" w:rsidRDefault="00EC34F8" w:rsidP="0097054C">
            <w:pPr>
              <w:jc w:val="both"/>
              <w:rPr>
                <w:rFonts w:ascii="Times New Roman" w:hAnsi="Times New Roman" w:cs="Times New Roman"/>
                <w:noProof/>
              </w:rPr>
            </w:pPr>
            <w:r w:rsidRPr="0097054C">
              <w:rPr>
                <w:rFonts w:ascii="Times New Roman" w:hAnsi="Times New Roman" w:cs="Times New Roman"/>
                <w:noProof/>
              </w:rPr>
              <w:t>This initiative seeks to address a widespread, EU-wide problem, which affects not only intra-Member State transactions, but also cross-border transactions in the single market. This initiative concerns the revision of an already exiting EU legislation (Directive 2011/7/EU) therefore, it can be done only at EU level. Implementing 27 solutions to lay down rules on national level would risk fragmenting the single market and bring additional familiarisation and compliance costs for companies trading across borders in the EU.</w:t>
            </w:r>
          </w:p>
        </w:tc>
      </w:tr>
      <w:tr w:rsidR="00B56705" w:rsidRPr="0097054C" w14:paraId="6F92A6F7" w14:textId="77777777" w:rsidTr="005046EA">
        <w:tc>
          <w:tcPr>
            <w:tcW w:w="9288" w:type="dxa"/>
          </w:tcPr>
          <w:p w14:paraId="6EB6A2DB" w14:textId="59250AEB" w:rsidR="00B56705" w:rsidRPr="0097054C" w:rsidRDefault="00B56705" w:rsidP="00B56705">
            <w:pPr>
              <w:pStyle w:val="ListParagraph"/>
              <w:numPr>
                <w:ilvl w:val="0"/>
                <w:numId w:val="7"/>
              </w:numPr>
              <w:rPr>
                <w:rFonts w:ascii="Times New Roman" w:hAnsi="Times New Roman" w:cs="Times New Roman"/>
                <w:noProof/>
              </w:rPr>
            </w:pPr>
            <w:r w:rsidRPr="0097054C">
              <w:rPr>
                <w:rFonts w:ascii="Times New Roman" w:hAnsi="Times New Roman" w:cs="Times New Roman"/>
                <w:noProof/>
              </w:rPr>
              <w:t>Is the form of Union action (choice of instrument) justified, as simple as possible, and coherent with the satisfactory achievement of, and ensuring compliance with the objectives pursued (e.g. choice between regulation, (framework) directive, recommendation, or alternative regulatory methods such as co-legislation, etc.)?</w:t>
            </w:r>
          </w:p>
        </w:tc>
      </w:tr>
      <w:tr w:rsidR="00B56705" w:rsidRPr="0097054C" w14:paraId="1CB1C6ED" w14:textId="77777777" w:rsidTr="005046EA">
        <w:tc>
          <w:tcPr>
            <w:tcW w:w="9288" w:type="dxa"/>
          </w:tcPr>
          <w:p w14:paraId="40748B63" w14:textId="77777777" w:rsidR="00EC34F8" w:rsidRPr="0097054C" w:rsidRDefault="00EC34F8" w:rsidP="0097054C">
            <w:pPr>
              <w:jc w:val="both"/>
              <w:rPr>
                <w:rFonts w:ascii="Times New Roman" w:hAnsi="Times New Roman" w:cs="Times New Roman"/>
                <w:noProof/>
              </w:rPr>
            </w:pPr>
            <w:r w:rsidRPr="0097054C">
              <w:rPr>
                <w:rFonts w:ascii="Times New Roman" w:hAnsi="Times New Roman" w:cs="Times New Roman"/>
                <w:noProof/>
              </w:rPr>
              <w:t>The instrument chosen is a regulation, which will replace the current Late Payment Directive.</w:t>
            </w:r>
          </w:p>
          <w:p w14:paraId="681C31DD" w14:textId="238F2598" w:rsidR="00B56705" w:rsidRPr="0097054C" w:rsidRDefault="00EC34F8" w:rsidP="0097054C">
            <w:pPr>
              <w:jc w:val="both"/>
              <w:rPr>
                <w:rFonts w:ascii="Times New Roman" w:hAnsi="Times New Roman" w:cs="Times New Roman"/>
                <w:noProof/>
                <w:color w:val="4F81BD" w:themeColor="accent1"/>
              </w:rPr>
            </w:pPr>
            <w:r w:rsidRPr="0097054C">
              <w:rPr>
                <w:rFonts w:ascii="Times New Roman" w:hAnsi="Times New Roman" w:cs="Times New Roman"/>
                <w:noProof/>
              </w:rPr>
              <w:t xml:space="preserve">A regulation will repeal and replace the current directive, the provisions of the future act would be drafted in such a way that they are directly applicable. Such provisions would be directly applicable in all Member States since its entry into force. While national law would need to adjust to the EU regulation, there would be no need for a transposition. A regulation would be binding and the same rules would apply in all Member States. This could happen in particular as regards measures such as the setting of maximum payment terms, the duration of the verification procedures or the rate of late payment interests and the amount of the flat fee compensation. </w:t>
            </w:r>
          </w:p>
        </w:tc>
      </w:tr>
      <w:tr w:rsidR="00B56705" w:rsidRPr="0097054C" w14:paraId="32CF6CA2" w14:textId="77777777" w:rsidTr="005046EA">
        <w:tc>
          <w:tcPr>
            <w:tcW w:w="9288" w:type="dxa"/>
          </w:tcPr>
          <w:p w14:paraId="003CAD42" w14:textId="24368646" w:rsidR="00B56705" w:rsidRPr="0097054C" w:rsidRDefault="00B56705" w:rsidP="00B56705">
            <w:pPr>
              <w:pStyle w:val="ListParagraph"/>
              <w:numPr>
                <w:ilvl w:val="0"/>
                <w:numId w:val="7"/>
              </w:numPr>
              <w:rPr>
                <w:rFonts w:ascii="Times New Roman" w:hAnsi="Times New Roman" w:cs="Times New Roman"/>
                <w:noProof/>
              </w:rPr>
            </w:pPr>
            <w:r w:rsidRPr="0097054C">
              <w:rPr>
                <w:rFonts w:ascii="Times New Roman" w:hAnsi="Times New Roman" w:cs="Times New Roman"/>
                <w:noProof/>
              </w:rPr>
              <w:t>Does the Union action leave as much scope for national decision as possible while achieving satisfactorily the objectives set? (e.g. is it possible to limit the European action to minimum standards or use a less stringent policy instrument o</w:t>
            </w:r>
            <w:r w:rsidR="00DA3E85" w:rsidRPr="0097054C">
              <w:rPr>
                <w:rFonts w:ascii="Times New Roman" w:hAnsi="Times New Roman" w:cs="Times New Roman"/>
                <w:noProof/>
              </w:rPr>
              <w:t>r</w:t>
            </w:r>
            <w:r w:rsidRPr="0097054C">
              <w:rPr>
                <w:rFonts w:ascii="Times New Roman" w:hAnsi="Times New Roman" w:cs="Times New Roman"/>
                <w:noProof/>
              </w:rPr>
              <w:t xml:space="preserve"> approach?)</w:t>
            </w:r>
          </w:p>
        </w:tc>
      </w:tr>
      <w:tr w:rsidR="00B56705" w:rsidRPr="0097054C" w14:paraId="028BE21D" w14:textId="77777777" w:rsidTr="005046EA">
        <w:tc>
          <w:tcPr>
            <w:tcW w:w="9288" w:type="dxa"/>
          </w:tcPr>
          <w:p w14:paraId="6294D3BD" w14:textId="45A20339" w:rsidR="00B56705" w:rsidRPr="0097054C" w:rsidRDefault="00EC34F8" w:rsidP="0097054C">
            <w:pPr>
              <w:jc w:val="both"/>
              <w:rPr>
                <w:rFonts w:ascii="Times New Roman" w:hAnsi="Times New Roman" w:cs="Times New Roman"/>
                <w:noProof/>
              </w:rPr>
            </w:pPr>
            <w:r w:rsidRPr="0097054C">
              <w:rPr>
                <w:rFonts w:ascii="Times New Roman" w:hAnsi="Times New Roman" w:cs="Times New Roman"/>
                <w:noProof/>
              </w:rPr>
              <w:t>As a minimum harmonisation instrument, the regulation would also lay down obligations and definitions concerning the designation of national enforcement bodies, national mediation systems, credit management and financial literacy training and unfair contractual practices and provisions, but it would be for the Member States to complement them as these provisions might not be directly applicable.</w:t>
            </w:r>
          </w:p>
        </w:tc>
      </w:tr>
      <w:tr w:rsidR="00B56705" w:rsidRPr="0097054C" w14:paraId="03C66F16" w14:textId="77777777" w:rsidTr="005046EA">
        <w:tc>
          <w:tcPr>
            <w:tcW w:w="9288" w:type="dxa"/>
          </w:tcPr>
          <w:p w14:paraId="1E281BFD" w14:textId="6020940C" w:rsidR="00B56705" w:rsidRPr="0097054C" w:rsidRDefault="00B56705" w:rsidP="00B56705">
            <w:pPr>
              <w:pStyle w:val="ListParagraph"/>
              <w:numPr>
                <w:ilvl w:val="0"/>
                <w:numId w:val="7"/>
              </w:numPr>
              <w:rPr>
                <w:rFonts w:ascii="Times New Roman" w:hAnsi="Times New Roman" w:cs="Times New Roman"/>
                <w:noProof/>
              </w:rPr>
            </w:pPr>
            <w:r w:rsidRPr="0097054C">
              <w:rPr>
                <w:rFonts w:ascii="Times New Roman" w:hAnsi="Times New Roman" w:cs="Times New Roman"/>
                <w:noProof/>
              </w:rPr>
              <w:t>Does the initiative create financial or administrative cost for the Union, national governments, regional or local authorities, economic operators or citizens? Are these costs commensurate with the objective to be achieved?</w:t>
            </w:r>
          </w:p>
        </w:tc>
      </w:tr>
      <w:tr w:rsidR="00B56705" w:rsidRPr="0097054C" w14:paraId="0601A714" w14:textId="77777777" w:rsidTr="005046EA">
        <w:tc>
          <w:tcPr>
            <w:tcW w:w="9288" w:type="dxa"/>
          </w:tcPr>
          <w:p w14:paraId="47EA63C0" w14:textId="13F9970F" w:rsidR="00B56705" w:rsidRPr="0097054C" w:rsidRDefault="0006078C" w:rsidP="0097054C">
            <w:pPr>
              <w:jc w:val="both"/>
              <w:rPr>
                <w:rFonts w:ascii="Times New Roman" w:hAnsi="Times New Roman" w:cs="Times New Roman"/>
                <w:noProof/>
              </w:rPr>
            </w:pPr>
            <w:r w:rsidRPr="0097054C">
              <w:rPr>
                <w:rFonts w:ascii="Times New Roman" w:hAnsi="Times New Roman" w:cs="Times New Roman"/>
                <w:noProof/>
              </w:rPr>
              <w:t>The initiative creates some costs for public authorities as well as businesses. These costs are fully assessed in the accompanying impact assessment</w:t>
            </w:r>
            <w:r w:rsidR="00962DCE" w:rsidRPr="0097054C">
              <w:rPr>
                <w:rFonts w:ascii="Times New Roman" w:hAnsi="Times New Roman" w:cs="Times New Roman"/>
                <w:noProof/>
              </w:rPr>
              <w:t xml:space="preserve"> (a summary of these costs is provided in annex 3 of the impact assessment)</w:t>
            </w:r>
            <w:r w:rsidRPr="0097054C">
              <w:rPr>
                <w:rFonts w:ascii="Times New Roman" w:hAnsi="Times New Roman" w:cs="Times New Roman"/>
                <w:noProof/>
              </w:rPr>
              <w:t>. Most costs affecting businesses are one-off, such as updating standard invoices, while recurring costs are mainly borne by debtors that currently pay late. It is important to note that debtors can avoid most of these costs by paying on time. Public authorities would face some costs to designate and run the enforcement and mediation bodies foreseen in this initiative. The initiative imposes only the cost on businesses and public authorities that is necessary to achieve the objectives. Overall, the benefits are judged to significantly outweigh the associated costs, even under conservative assumptions for resulting benefits.</w:t>
            </w:r>
          </w:p>
        </w:tc>
      </w:tr>
      <w:tr w:rsidR="00B56705" w:rsidRPr="0097054C" w14:paraId="5182BBE0" w14:textId="77777777" w:rsidTr="005046EA">
        <w:tc>
          <w:tcPr>
            <w:tcW w:w="9288" w:type="dxa"/>
          </w:tcPr>
          <w:p w14:paraId="629D8EF8" w14:textId="07935887" w:rsidR="00B56705" w:rsidRPr="0097054C" w:rsidRDefault="00B56705" w:rsidP="00B56705">
            <w:pPr>
              <w:pStyle w:val="ListParagraph"/>
              <w:numPr>
                <w:ilvl w:val="0"/>
                <w:numId w:val="7"/>
              </w:numPr>
              <w:rPr>
                <w:rFonts w:ascii="Times New Roman" w:hAnsi="Times New Roman" w:cs="Times New Roman"/>
                <w:noProof/>
              </w:rPr>
            </w:pPr>
            <w:r w:rsidRPr="0097054C">
              <w:rPr>
                <w:rFonts w:ascii="Times New Roman" w:hAnsi="Times New Roman" w:cs="Times New Roman"/>
                <w:noProof/>
              </w:rPr>
              <w:t>While respecting the Union law, have special circumstances applying in individual Member States been taken into account?</w:t>
            </w:r>
          </w:p>
        </w:tc>
      </w:tr>
      <w:tr w:rsidR="00B56705" w:rsidRPr="0097054C" w14:paraId="6C54A8A2" w14:textId="77777777" w:rsidTr="005046EA">
        <w:tc>
          <w:tcPr>
            <w:tcW w:w="9288" w:type="dxa"/>
          </w:tcPr>
          <w:p w14:paraId="16203317" w14:textId="6A10F0F1" w:rsidR="00B56705" w:rsidRPr="0097054C" w:rsidRDefault="00EC34F8" w:rsidP="0097054C">
            <w:pPr>
              <w:jc w:val="both"/>
              <w:rPr>
                <w:rFonts w:ascii="Times New Roman" w:hAnsi="Times New Roman" w:cs="Times New Roman"/>
                <w:noProof/>
              </w:rPr>
            </w:pPr>
            <w:r w:rsidRPr="0097054C">
              <w:rPr>
                <w:rFonts w:ascii="Times New Roman" w:hAnsi="Times New Roman" w:cs="Times New Roman"/>
                <w:noProof/>
              </w:rPr>
              <w:t>It will be for Member States to better decide how to implement the obligations concerning the designation of national enforcement bodies, national mediation systems, credit management and financial literacy training and unfair contractual practices and provisions, in accordance with their individual circumstances/ national laws.</w:t>
            </w:r>
          </w:p>
        </w:tc>
      </w:tr>
    </w:tbl>
    <w:p w14:paraId="6B292B31" w14:textId="77777777" w:rsidR="005046EA" w:rsidRPr="0097054C" w:rsidRDefault="005046EA">
      <w:pPr>
        <w:rPr>
          <w:rFonts w:ascii="Times New Roman" w:hAnsi="Times New Roman" w:cs="Times New Roman"/>
          <w:noProof/>
        </w:rPr>
      </w:pPr>
    </w:p>
    <w:sectPr w:rsidR="005046EA" w:rsidRPr="0097054C" w:rsidSect="002B6B94">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6896" w14:textId="77777777" w:rsidR="00CD5DB9" w:rsidRDefault="00CD5DB9" w:rsidP="0054546C">
      <w:pPr>
        <w:spacing w:after="0" w:line="240" w:lineRule="auto"/>
      </w:pPr>
      <w:r>
        <w:separator/>
      </w:r>
    </w:p>
  </w:endnote>
  <w:endnote w:type="continuationSeparator" w:id="0">
    <w:p w14:paraId="31F01BDD" w14:textId="77777777" w:rsidR="00CD5DB9" w:rsidRDefault="00CD5DB9" w:rsidP="00545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15A0" w14:textId="77777777" w:rsidR="006F357C" w:rsidRDefault="006F3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6F357C" w:rsidRPr="00D94637" w14:paraId="5EF233AA" w14:textId="77777777" w:rsidTr="006F357C">
      <w:trPr>
        <w:jc w:val="center"/>
      </w:trPr>
      <w:tc>
        <w:tcPr>
          <w:tcW w:w="5000" w:type="pct"/>
          <w:gridSpan w:val="7"/>
          <w:shd w:val="clear" w:color="auto" w:fill="auto"/>
          <w:tcMar>
            <w:top w:w="57" w:type="dxa"/>
          </w:tcMar>
        </w:tcPr>
        <w:p w14:paraId="478F490C" w14:textId="77777777" w:rsidR="006F357C" w:rsidRPr="00D94637" w:rsidRDefault="006F357C" w:rsidP="00D94637">
          <w:pPr>
            <w:pStyle w:val="FooterText"/>
            <w:pBdr>
              <w:top w:val="single" w:sz="4" w:space="1" w:color="auto"/>
            </w:pBdr>
            <w:spacing w:before="200"/>
            <w:rPr>
              <w:sz w:val="2"/>
              <w:szCs w:val="2"/>
            </w:rPr>
          </w:pPr>
          <w:bookmarkStart w:id="2" w:name="FOOTER_STANDARD"/>
        </w:p>
      </w:tc>
    </w:tr>
    <w:tr w:rsidR="006F357C" w:rsidRPr="00B310DC" w14:paraId="6014EFA5" w14:textId="77777777" w:rsidTr="006F357C">
      <w:trPr>
        <w:jc w:val="center"/>
      </w:trPr>
      <w:tc>
        <w:tcPr>
          <w:tcW w:w="2500" w:type="pct"/>
          <w:gridSpan w:val="2"/>
          <w:shd w:val="clear" w:color="auto" w:fill="auto"/>
          <w:tcMar>
            <w:top w:w="0" w:type="dxa"/>
          </w:tcMar>
        </w:tcPr>
        <w:p w14:paraId="0CB4E697" w14:textId="41FAC536" w:rsidR="006F357C" w:rsidRPr="00AD7BF2" w:rsidRDefault="006F357C" w:rsidP="004F54B2">
          <w:pPr>
            <w:pStyle w:val="FooterText"/>
          </w:pPr>
          <w:r>
            <w:t>12976/23</w:t>
          </w:r>
          <w:r w:rsidRPr="002511D8">
            <w:t xml:space="preserve"> </w:t>
          </w:r>
          <w:r>
            <w:t>ADD 2</w:t>
          </w:r>
        </w:p>
      </w:tc>
      <w:tc>
        <w:tcPr>
          <w:tcW w:w="625" w:type="pct"/>
          <w:shd w:val="clear" w:color="auto" w:fill="auto"/>
          <w:tcMar>
            <w:top w:w="0" w:type="dxa"/>
          </w:tcMar>
        </w:tcPr>
        <w:p w14:paraId="12FEDC91" w14:textId="77777777" w:rsidR="006F357C" w:rsidRPr="00AD7BF2" w:rsidRDefault="006F357C" w:rsidP="00D94637">
          <w:pPr>
            <w:pStyle w:val="FooterText"/>
            <w:jc w:val="center"/>
          </w:pPr>
        </w:p>
      </w:tc>
      <w:tc>
        <w:tcPr>
          <w:tcW w:w="1286" w:type="pct"/>
          <w:gridSpan w:val="3"/>
          <w:shd w:val="clear" w:color="auto" w:fill="auto"/>
          <w:tcMar>
            <w:top w:w="0" w:type="dxa"/>
          </w:tcMar>
        </w:tcPr>
        <w:p w14:paraId="56605282" w14:textId="2C487C2A" w:rsidR="006F357C" w:rsidRPr="002511D8" w:rsidRDefault="006F357C" w:rsidP="00D94637">
          <w:pPr>
            <w:pStyle w:val="FooterText"/>
            <w:jc w:val="center"/>
          </w:pPr>
          <w:r>
            <w:t>TP/ae</w:t>
          </w:r>
        </w:p>
      </w:tc>
      <w:tc>
        <w:tcPr>
          <w:tcW w:w="589" w:type="pct"/>
          <w:shd w:val="clear" w:color="auto" w:fill="auto"/>
          <w:tcMar>
            <w:top w:w="0" w:type="dxa"/>
          </w:tcMar>
        </w:tcPr>
        <w:p w14:paraId="484A2908" w14:textId="157AC6EE" w:rsidR="006F357C" w:rsidRPr="00B310DC" w:rsidRDefault="006F357C"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6F357C" w:rsidRPr="00D94637" w14:paraId="15EAB587" w14:textId="77777777" w:rsidTr="006F357C">
      <w:trPr>
        <w:jc w:val="center"/>
      </w:trPr>
      <w:tc>
        <w:tcPr>
          <w:tcW w:w="1774" w:type="pct"/>
          <w:shd w:val="clear" w:color="auto" w:fill="auto"/>
        </w:tcPr>
        <w:p w14:paraId="1E3A81AF" w14:textId="1B0C85A8" w:rsidR="006F357C" w:rsidRPr="00AD7BF2" w:rsidRDefault="006F357C" w:rsidP="00D94637">
          <w:pPr>
            <w:pStyle w:val="FooterText"/>
            <w:spacing w:before="40"/>
          </w:pPr>
        </w:p>
      </w:tc>
      <w:tc>
        <w:tcPr>
          <w:tcW w:w="1455" w:type="pct"/>
          <w:gridSpan w:val="3"/>
          <w:shd w:val="clear" w:color="auto" w:fill="auto"/>
        </w:tcPr>
        <w:p w14:paraId="458DC9E6" w14:textId="0FE1AA5C" w:rsidR="006F357C" w:rsidRPr="00AD7BF2" w:rsidRDefault="006F357C" w:rsidP="00D204D6">
          <w:pPr>
            <w:pStyle w:val="FooterText"/>
            <w:spacing w:before="40"/>
            <w:jc w:val="center"/>
          </w:pPr>
          <w:r>
            <w:t>COMPET.1</w:t>
          </w:r>
        </w:p>
      </w:tc>
      <w:tc>
        <w:tcPr>
          <w:tcW w:w="742" w:type="pct"/>
          <w:shd w:val="clear" w:color="auto" w:fill="auto"/>
        </w:tcPr>
        <w:p w14:paraId="6B8766A7" w14:textId="3B3366C5" w:rsidR="006F357C" w:rsidRPr="00D94637" w:rsidRDefault="006F357C" w:rsidP="002F0099">
          <w:pPr>
            <w:pStyle w:val="FooterText"/>
            <w:jc w:val="center"/>
            <w:rPr>
              <w:b/>
              <w:position w:val="-4"/>
              <w:sz w:val="36"/>
            </w:rPr>
          </w:pPr>
        </w:p>
      </w:tc>
      <w:tc>
        <w:tcPr>
          <w:tcW w:w="1029" w:type="pct"/>
          <w:gridSpan w:val="2"/>
          <w:shd w:val="clear" w:color="auto" w:fill="auto"/>
        </w:tcPr>
        <w:p w14:paraId="4479F64D" w14:textId="3FE65FAB" w:rsidR="006F357C" w:rsidRPr="000310C2" w:rsidRDefault="006F357C" w:rsidP="00D94637">
          <w:pPr>
            <w:pStyle w:val="FooterText"/>
            <w:jc w:val="right"/>
            <w:rPr>
              <w:spacing w:val="-20"/>
              <w:sz w:val="16"/>
            </w:rPr>
          </w:pPr>
          <w:r>
            <w:rPr>
              <w:b/>
              <w:spacing w:val="-20"/>
              <w:position w:val="-4"/>
              <w:sz w:val="36"/>
            </w:rPr>
            <w:t>EN</w:t>
          </w:r>
        </w:p>
      </w:tc>
    </w:tr>
    <w:bookmarkEnd w:id="2"/>
  </w:tbl>
  <w:p w14:paraId="391D6404" w14:textId="23DD5091" w:rsidR="004068AD" w:rsidRPr="006F357C" w:rsidRDefault="004068AD" w:rsidP="006F357C">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6F357C" w:rsidRPr="00D94637" w14:paraId="4FE921B9" w14:textId="77777777" w:rsidTr="006F357C">
      <w:trPr>
        <w:jc w:val="center"/>
      </w:trPr>
      <w:tc>
        <w:tcPr>
          <w:tcW w:w="5000" w:type="pct"/>
          <w:gridSpan w:val="7"/>
          <w:shd w:val="clear" w:color="auto" w:fill="auto"/>
          <w:tcMar>
            <w:top w:w="57" w:type="dxa"/>
          </w:tcMar>
        </w:tcPr>
        <w:p w14:paraId="19D65E37" w14:textId="77777777" w:rsidR="006F357C" w:rsidRPr="00D94637" w:rsidRDefault="006F357C" w:rsidP="00D94637">
          <w:pPr>
            <w:pStyle w:val="FooterText"/>
            <w:pBdr>
              <w:top w:val="single" w:sz="4" w:space="1" w:color="auto"/>
            </w:pBdr>
            <w:spacing w:before="200"/>
            <w:rPr>
              <w:sz w:val="2"/>
              <w:szCs w:val="2"/>
            </w:rPr>
          </w:pPr>
        </w:p>
      </w:tc>
    </w:tr>
    <w:tr w:rsidR="006F357C" w:rsidRPr="00B310DC" w14:paraId="6AA3465F" w14:textId="77777777" w:rsidTr="006F357C">
      <w:trPr>
        <w:jc w:val="center"/>
      </w:trPr>
      <w:tc>
        <w:tcPr>
          <w:tcW w:w="2500" w:type="pct"/>
          <w:gridSpan w:val="2"/>
          <w:shd w:val="clear" w:color="auto" w:fill="auto"/>
          <w:tcMar>
            <w:top w:w="0" w:type="dxa"/>
          </w:tcMar>
        </w:tcPr>
        <w:p w14:paraId="3DBF8375" w14:textId="2147BAEE" w:rsidR="006F357C" w:rsidRPr="00AD7BF2" w:rsidRDefault="006F357C" w:rsidP="004F54B2">
          <w:pPr>
            <w:pStyle w:val="FooterText"/>
          </w:pPr>
          <w:r>
            <w:t>12976/23</w:t>
          </w:r>
          <w:r w:rsidRPr="002511D8">
            <w:t xml:space="preserve"> </w:t>
          </w:r>
          <w:r>
            <w:t>ADD 2</w:t>
          </w:r>
        </w:p>
      </w:tc>
      <w:tc>
        <w:tcPr>
          <w:tcW w:w="625" w:type="pct"/>
          <w:shd w:val="clear" w:color="auto" w:fill="auto"/>
          <w:tcMar>
            <w:top w:w="0" w:type="dxa"/>
          </w:tcMar>
        </w:tcPr>
        <w:p w14:paraId="772303C1" w14:textId="77777777" w:rsidR="006F357C" w:rsidRPr="00AD7BF2" w:rsidRDefault="006F357C" w:rsidP="00D94637">
          <w:pPr>
            <w:pStyle w:val="FooterText"/>
            <w:jc w:val="center"/>
          </w:pPr>
        </w:p>
      </w:tc>
      <w:tc>
        <w:tcPr>
          <w:tcW w:w="1286" w:type="pct"/>
          <w:gridSpan w:val="3"/>
          <w:shd w:val="clear" w:color="auto" w:fill="auto"/>
          <w:tcMar>
            <w:top w:w="0" w:type="dxa"/>
          </w:tcMar>
        </w:tcPr>
        <w:p w14:paraId="155404AB" w14:textId="1A41058C" w:rsidR="006F357C" w:rsidRPr="002511D8" w:rsidRDefault="006F357C" w:rsidP="00D94637">
          <w:pPr>
            <w:pStyle w:val="FooterText"/>
            <w:jc w:val="center"/>
          </w:pPr>
          <w:r>
            <w:t>TP/ae</w:t>
          </w:r>
        </w:p>
      </w:tc>
      <w:tc>
        <w:tcPr>
          <w:tcW w:w="589" w:type="pct"/>
          <w:shd w:val="clear" w:color="auto" w:fill="auto"/>
          <w:tcMar>
            <w:top w:w="0" w:type="dxa"/>
          </w:tcMar>
        </w:tcPr>
        <w:p w14:paraId="5343C9D8" w14:textId="4473C405" w:rsidR="006F357C" w:rsidRPr="00B310DC" w:rsidRDefault="006F357C" w:rsidP="00D94637">
          <w:pPr>
            <w:pStyle w:val="FooterText"/>
            <w:jc w:val="right"/>
          </w:pPr>
        </w:p>
      </w:tc>
    </w:tr>
    <w:tr w:rsidR="006F357C" w:rsidRPr="00D94637" w14:paraId="6A8C3AB0" w14:textId="77777777" w:rsidTr="006F357C">
      <w:trPr>
        <w:jc w:val="center"/>
      </w:trPr>
      <w:tc>
        <w:tcPr>
          <w:tcW w:w="1774" w:type="pct"/>
          <w:shd w:val="clear" w:color="auto" w:fill="auto"/>
        </w:tcPr>
        <w:p w14:paraId="14CFA1BA" w14:textId="172371BF" w:rsidR="006F357C" w:rsidRPr="00AD7BF2" w:rsidRDefault="006F357C" w:rsidP="00D94637">
          <w:pPr>
            <w:pStyle w:val="FooterText"/>
            <w:spacing w:before="40"/>
          </w:pPr>
        </w:p>
      </w:tc>
      <w:tc>
        <w:tcPr>
          <w:tcW w:w="1455" w:type="pct"/>
          <w:gridSpan w:val="3"/>
          <w:shd w:val="clear" w:color="auto" w:fill="auto"/>
        </w:tcPr>
        <w:p w14:paraId="7C7C0FAB" w14:textId="36D6F68B" w:rsidR="006F357C" w:rsidRPr="00AD7BF2" w:rsidRDefault="006F357C" w:rsidP="00D204D6">
          <w:pPr>
            <w:pStyle w:val="FooterText"/>
            <w:spacing w:before="40"/>
            <w:jc w:val="center"/>
          </w:pPr>
          <w:r>
            <w:t>COMPET.1</w:t>
          </w:r>
        </w:p>
      </w:tc>
      <w:tc>
        <w:tcPr>
          <w:tcW w:w="742" w:type="pct"/>
          <w:shd w:val="clear" w:color="auto" w:fill="auto"/>
        </w:tcPr>
        <w:p w14:paraId="3E720EAE" w14:textId="7B8E7C7F" w:rsidR="006F357C" w:rsidRPr="00D94637" w:rsidRDefault="006F357C" w:rsidP="002F0099">
          <w:pPr>
            <w:pStyle w:val="FooterText"/>
            <w:jc w:val="center"/>
            <w:rPr>
              <w:b/>
              <w:position w:val="-4"/>
              <w:sz w:val="36"/>
            </w:rPr>
          </w:pPr>
        </w:p>
      </w:tc>
      <w:tc>
        <w:tcPr>
          <w:tcW w:w="1029" w:type="pct"/>
          <w:gridSpan w:val="2"/>
          <w:shd w:val="clear" w:color="auto" w:fill="auto"/>
        </w:tcPr>
        <w:p w14:paraId="38A9F0EB" w14:textId="410D7899" w:rsidR="006F357C" w:rsidRPr="000310C2" w:rsidRDefault="006F357C" w:rsidP="00D94637">
          <w:pPr>
            <w:pStyle w:val="FooterText"/>
            <w:jc w:val="right"/>
            <w:rPr>
              <w:spacing w:val="-20"/>
              <w:sz w:val="16"/>
            </w:rPr>
          </w:pPr>
          <w:r>
            <w:rPr>
              <w:b/>
              <w:spacing w:val="-20"/>
              <w:position w:val="-4"/>
              <w:sz w:val="36"/>
            </w:rPr>
            <w:t>EN</w:t>
          </w:r>
        </w:p>
      </w:tc>
    </w:tr>
  </w:tbl>
  <w:p w14:paraId="79F6F2D0" w14:textId="77777777" w:rsidR="00457EB5" w:rsidRPr="006F357C" w:rsidRDefault="00457EB5" w:rsidP="006F357C">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1400" w14:textId="77777777" w:rsidR="00594763" w:rsidRPr="00457EB5" w:rsidRDefault="00594763" w:rsidP="00457E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8B" w14:textId="77777777" w:rsidR="00594763" w:rsidRPr="00457EB5" w:rsidRDefault="00594763" w:rsidP="00457EB5">
    <w:pPr>
      <w:pStyle w:val="FooterCoverPage"/>
      <w:rPr>
        <w:rFonts w:ascii="Arial" w:hAnsi="Arial" w:cs="Arial"/>
        <w:b/>
        <w:sz w:val="48"/>
      </w:rPr>
    </w:pPr>
    <w:r w:rsidRPr="00457EB5">
      <w:rPr>
        <w:rFonts w:ascii="Arial" w:hAnsi="Arial" w:cs="Arial"/>
        <w:b/>
        <w:sz w:val="48"/>
      </w:rPr>
      <w:t>EN</w:t>
    </w:r>
    <w:r w:rsidRPr="00457EB5">
      <w:rPr>
        <w:rFonts w:ascii="Arial" w:hAnsi="Arial" w:cs="Arial"/>
        <w:b/>
        <w:sz w:val="48"/>
      </w:rPr>
      <w:tab/>
    </w:r>
    <w:r w:rsidRPr="00457EB5">
      <w:rPr>
        <w:rFonts w:ascii="Arial" w:hAnsi="Arial" w:cs="Arial"/>
        <w:b/>
        <w:sz w:val="48"/>
      </w:rPr>
      <w:tab/>
    </w:r>
    <w:r w:rsidRPr="00457EB5">
      <w:tab/>
    </w:r>
    <w:r w:rsidRPr="00457EB5">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7EAA" w14:textId="77777777" w:rsidR="00594763" w:rsidRPr="00457EB5" w:rsidRDefault="00594763" w:rsidP="00457EB5">
    <w:pPr>
      <w:pStyle w:val="FooterCover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9E66" w14:textId="77777777" w:rsidR="002B6B94" w:rsidRDefault="002B6B9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637664"/>
      <w:docPartObj>
        <w:docPartGallery w:val="Page Numbers (Bottom of Page)"/>
        <w:docPartUnique/>
      </w:docPartObj>
    </w:sdtPr>
    <w:sdtEndPr>
      <w:rPr>
        <w:noProof/>
      </w:rPr>
    </w:sdtEndPr>
    <w:sdtContent>
      <w:p w14:paraId="020D9909" w14:textId="4A0529D7" w:rsidR="002B6B94" w:rsidRDefault="002B6B94">
        <w:pPr>
          <w:pStyle w:val="Footer"/>
          <w:jc w:val="center"/>
        </w:pPr>
        <w:r>
          <w:fldChar w:fldCharType="begin"/>
        </w:r>
        <w:r>
          <w:instrText xml:space="preserve"> PAGE   \* MERGEFORMAT </w:instrText>
        </w:r>
        <w:r>
          <w:fldChar w:fldCharType="separate"/>
        </w:r>
        <w:r w:rsidR="00457EB5">
          <w:rPr>
            <w:noProof/>
          </w:rPr>
          <w:t>1</w:t>
        </w:r>
        <w:r>
          <w:rPr>
            <w:noProof/>
          </w:rPr>
          <w:fldChar w:fldCharType="end"/>
        </w:r>
      </w:p>
    </w:sdtContent>
  </w:sdt>
  <w:p w14:paraId="5EB4B12E" w14:textId="77777777" w:rsidR="002B6B94" w:rsidRDefault="002B6B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FF50" w14:textId="77777777" w:rsidR="002B6B94" w:rsidRDefault="002B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B4B4" w14:textId="77777777" w:rsidR="00CD5DB9" w:rsidRDefault="00CD5DB9" w:rsidP="0054546C">
      <w:pPr>
        <w:spacing w:after="0" w:line="240" w:lineRule="auto"/>
      </w:pPr>
      <w:r>
        <w:separator/>
      </w:r>
    </w:p>
  </w:footnote>
  <w:footnote w:type="continuationSeparator" w:id="0">
    <w:p w14:paraId="6CD2395E" w14:textId="77777777" w:rsidR="00CD5DB9" w:rsidRDefault="00CD5DB9" w:rsidP="0054546C">
      <w:pPr>
        <w:spacing w:after="0" w:line="240" w:lineRule="auto"/>
      </w:pPr>
      <w:r>
        <w:continuationSeparator/>
      </w:r>
    </w:p>
  </w:footnote>
  <w:footnote w:id="1">
    <w:p w14:paraId="286BF9B0" w14:textId="77777777" w:rsidR="00B55E58" w:rsidRPr="00B159C0" w:rsidRDefault="00B55E58">
      <w:pPr>
        <w:pStyle w:val="FootnoteText"/>
        <w:rPr>
          <w:lang w:val="fr-BE"/>
        </w:rPr>
      </w:pPr>
      <w:r>
        <w:rPr>
          <w:rStyle w:val="FootnoteReference"/>
        </w:rPr>
        <w:footnoteRef/>
      </w:r>
      <w:r w:rsidRPr="00B159C0">
        <w:rPr>
          <w:lang w:val="fr-BE"/>
        </w:rPr>
        <w:t xml:space="preserve"> </w:t>
      </w:r>
      <w:hyperlink r:id="rId1" w:history="1">
        <w:r w:rsidRPr="00B159C0">
          <w:rPr>
            <w:rStyle w:val="Hyperlink"/>
            <w:rFonts w:ascii="Times New Roman" w:hAnsi="Times New Roman" w:cs="Times New Roman"/>
            <w:lang w:val="fr-BE"/>
          </w:rPr>
          <w:t>https://eur-lex.europa.eu/legal-content/EN/TXT/HTML/?uri=CELEX:12016E/PRO/02&amp;from=EN</w:t>
        </w:r>
      </w:hyperlink>
      <w:r w:rsidRPr="00B159C0">
        <w:rPr>
          <w:lang w:val="fr-BE"/>
        </w:rPr>
        <w:t xml:space="preserve"> </w:t>
      </w:r>
    </w:p>
  </w:footnote>
  <w:footnote w:id="2">
    <w:p w14:paraId="51568CFC" w14:textId="77777777" w:rsidR="008F2575" w:rsidRPr="0006744D" w:rsidRDefault="008F2575">
      <w:pPr>
        <w:pStyle w:val="FootnoteText"/>
        <w:rPr>
          <w:lang w:val="fr-BE"/>
        </w:rPr>
      </w:pPr>
      <w:r>
        <w:rPr>
          <w:rStyle w:val="FootnoteReference"/>
        </w:rPr>
        <w:footnoteRef/>
      </w:r>
      <w:r w:rsidRPr="0006744D">
        <w:rPr>
          <w:lang w:val="fr-BE"/>
        </w:rPr>
        <w:t xml:space="preserve"> </w:t>
      </w:r>
      <w:hyperlink r:id="rId2" w:history="1">
        <w:r w:rsidRPr="0006744D">
          <w:rPr>
            <w:rStyle w:val="Hyperlink"/>
            <w:lang w:val="fr-BE"/>
          </w:rPr>
          <w:t>https://europa.eu/european-union/about-eu/eu-in-brief_en</w:t>
        </w:r>
      </w:hyperlink>
      <w:r w:rsidRPr="0006744D">
        <w:rPr>
          <w:lang w:val="fr-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25C6" w14:textId="77777777" w:rsidR="006F357C" w:rsidRDefault="006F3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59CE" w14:textId="2895524F" w:rsidR="00457EB5" w:rsidRPr="006F357C" w:rsidRDefault="006F357C" w:rsidP="006F357C">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FF47" w14:textId="490E5B7F" w:rsidR="00457EB5" w:rsidRPr="006F357C" w:rsidRDefault="006F357C" w:rsidP="006F357C">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52AD" w14:textId="77777777" w:rsidR="00594763" w:rsidRPr="00457EB5" w:rsidRDefault="00594763" w:rsidP="00457E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914C" w14:textId="77777777" w:rsidR="00594763" w:rsidRPr="00457EB5" w:rsidRDefault="00594763" w:rsidP="00457EB5">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F82" w14:textId="77777777" w:rsidR="00594763" w:rsidRPr="00457EB5" w:rsidRDefault="00594763" w:rsidP="00457EB5">
    <w:pPr>
      <w:pStyle w:val="HeaderCoverPag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86F4" w14:textId="77777777" w:rsidR="002B6B94" w:rsidRDefault="002B6B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262A" w14:textId="77777777" w:rsidR="002B6B94" w:rsidRDefault="002B6B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7FA5" w14:textId="77777777" w:rsidR="002B6B94" w:rsidRDefault="002B6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0CB6"/>
    <w:multiLevelType w:val="hybridMultilevel"/>
    <w:tmpl w:val="68224F72"/>
    <w:lvl w:ilvl="0" w:tplc="479C9B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4E5021"/>
    <w:multiLevelType w:val="multilevel"/>
    <w:tmpl w:val="958824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7256C0"/>
    <w:multiLevelType w:val="hybridMultilevel"/>
    <w:tmpl w:val="526C7502"/>
    <w:lvl w:ilvl="0" w:tplc="EA8CAF2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165BC"/>
    <w:multiLevelType w:val="hybridMultilevel"/>
    <w:tmpl w:val="76D44204"/>
    <w:lvl w:ilvl="0" w:tplc="EA8CAF2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D15CB"/>
    <w:multiLevelType w:val="multilevel"/>
    <w:tmpl w:val="6F58FE10"/>
    <w:lvl w:ilvl="0">
      <w:start w:val="1"/>
      <w:numFmt w:val="decimal"/>
      <w:lvlText w:val="%1."/>
      <w:lvlJc w:val="left"/>
      <w:pPr>
        <w:ind w:left="360" w:hanging="360"/>
      </w:pPr>
      <w:rPr>
        <w:rFonts w:hint="default"/>
        <w:color w:val="FFFFFF" w:themeColor="background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2DA3FEE"/>
    <w:multiLevelType w:val="hybridMultilevel"/>
    <w:tmpl w:val="810C10B2"/>
    <w:lvl w:ilvl="0" w:tplc="2E420C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080CDE"/>
    <w:multiLevelType w:val="hybridMultilevel"/>
    <w:tmpl w:val="8F6EE310"/>
    <w:lvl w:ilvl="0" w:tplc="69FAF7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A33A61"/>
    <w:multiLevelType w:val="hybridMultilevel"/>
    <w:tmpl w:val="681EE3CC"/>
    <w:lvl w:ilvl="0" w:tplc="C95C8986">
      <w:start w:val="1"/>
      <w:numFmt w:val="decimal"/>
      <w:pStyle w:val="NormalPara"/>
      <w:lvlText w:val="%1."/>
      <w:lvlJc w:val="left"/>
      <w:pPr>
        <w:ind w:left="720" w:hanging="720"/>
      </w:pPr>
      <w:rPr>
        <w:rFonts w:hint="default"/>
        <w:b w:val="0"/>
        <w:color w:val="595959" w:themeColor="text1" w:themeTint="A6"/>
        <w:vertAlign w:val="baseline"/>
        <w:lang w:val="en-G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9287E26"/>
    <w:multiLevelType w:val="multilevel"/>
    <w:tmpl w:val="6EF08C14"/>
    <w:lvl w:ilvl="0">
      <w:start w:val="1"/>
      <w:numFmt w:val="upperLetter"/>
      <w:pStyle w:val="AnnexTitle"/>
      <w:lvlText w:val="%1."/>
      <w:lvlJc w:val="left"/>
      <w:pPr>
        <w:tabs>
          <w:tab w:val="num" w:pos="480"/>
        </w:tabs>
        <w:ind w:left="480" w:hanging="480"/>
      </w:pPr>
      <w:rPr>
        <w:rFonts w:hint="default"/>
      </w:rPr>
    </w:lvl>
    <w:lvl w:ilvl="1">
      <w:start w:val="1"/>
      <w:numFmt w:val="decimal"/>
      <w:pStyle w:val="AnnexLevel1"/>
      <w:lvlText w:val="%2."/>
      <w:lvlJc w:val="left"/>
      <w:pPr>
        <w:tabs>
          <w:tab w:val="num" w:pos="1200"/>
        </w:tabs>
        <w:ind w:left="1200" w:hanging="720"/>
      </w:pPr>
      <w:rPr>
        <w:rFonts w:hint="default"/>
      </w:rPr>
    </w:lvl>
    <w:lvl w:ilvl="2">
      <w:start w:val="1"/>
      <w:numFmt w:val="decimal"/>
      <w:pStyle w:val="AnnexLevel2"/>
      <w:lvlText w:val="%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14E1A3A"/>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4358818">
    <w:abstractNumId w:val="4"/>
  </w:num>
  <w:num w:numId="2" w16cid:durableId="298413676">
    <w:abstractNumId w:val="2"/>
  </w:num>
  <w:num w:numId="3" w16cid:durableId="1365522541">
    <w:abstractNumId w:val="6"/>
  </w:num>
  <w:num w:numId="4" w16cid:durableId="596251393">
    <w:abstractNumId w:val="3"/>
  </w:num>
  <w:num w:numId="5" w16cid:durableId="1808933853">
    <w:abstractNumId w:val="0"/>
  </w:num>
  <w:num w:numId="6" w16cid:durableId="1854685917">
    <w:abstractNumId w:val="1"/>
  </w:num>
  <w:num w:numId="7" w16cid:durableId="1096439272">
    <w:abstractNumId w:val="5"/>
  </w:num>
  <w:num w:numId="8" w16cid:durableId="718817695">
    <w:abstractNumId w:val="7"/>
  </w:num>
  <w:num w:numId="9" w16cid:durableId="1136802095">
    <w:abstractNumId w:val="8"/>
  </w:num>
  <w:num w:numId="10" w16cid:durableId="1474592066">
    <w:abstractNumId w:val="9"/>
  </w:num>
  <w:num w:numId="11" w16cid:durableId="1991863824">
    <w:abstractNumId w:val="7"/>
  </w:num>
  <w:num w:numId="12" w16cid:durableId="260183630">
    <w:abstractNumId w:val="7"/>
  </w:num>
  <w:num w:numId="13" w16cid:durableId="1557084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true"/>
    <w:docVar w:name="CR_RefLast" w:val="0"/>
    <w:docVar w:name="DocStatus" w:val="Green"/>
    <w:docVar w:name="DocuWriteMetaData" w:val="&lt;metadataset docuwriteversion=&quot;4.8.2&quot; technicalblockguid=&quot;519764581948629946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09-14&lt;/text&gt;_x000d__x000a_  &lt;/metadata&gt;_x000d__x000a_  &lt;metadata key=&quot;md_Prefix&quot;&gt;_x000d__x000a_    &lt;text&gt;&lt;/text&gt;_x000d__x000a_  &lt;/metadata&gt;_x000d__x000a_  &lt;metadata key=&quot;md_DocumentNumber&quot;&gt;_x000d__x000a_    &lt;text&gt;12976&lt;/text&gt;_x000d__x000a_  &lt;/metadata&gt;_x000d__x000a_  &lt;metadata key=&quot;md_YearDocumentNumber&quot;&gt;_x000d__x000a_    &lt;text&gt;2023&lt;/text&gt;_x000d__x000a_  &lt;/metadata&gt;_x000d__x000a_  &lt;metadata key=&quot;md_Suffixes&quot;&gt;_x000d__x000a_    &lt;text&gt;ADD 2&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MPET 873&lt;/text&gt;_x000d__x000a_      &lt;text&gt;MI 742&lt;/text&gt;_x000d__x000a_      &lt;text&gt;IND 467&lt;/text&gt;_x000d__x000a_      &lt;text&gt;ECOFIN 873&lt;/text&gt;_x000d__x000a_      &lt;text&gt;FIN 922&lt;/text&gt;_x000d__x000a_      &lt;text&gt;CODEC 1594&lt;/text&gt;_x000d__x000a_      &lt;text&gt;IA 22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23(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09-1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SWD(2023) 312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COMMISSION STAFF WORKING DOCUMENT Subsidiarity Grid Accompanying the document Proposal for a REGULATION OF THE EUROPEAN PARLIAMENT AND OF THE COUNCIL on combating late payment in commercial transactions&quot;&gt;&amp;lt;FlowDocument FontFamily=&quot;Segoe UI&quot; FontSize=&quot;12&quot; PagePadding=&quot;2,2,2,2&quot; AllowDrop=&quot;False&quot; xmlns=&quot;http://schemas.microsoft.com/winfx/2006/xaml/presentation&quot;&amp;gt;&amp;lt;Paragraph&amp;gt;COMMISSION STAFF WORKING DOCUMENT Subsidiarity Grid Accompanying the document Proposal for a REGULATION OF THE EUROPEAN PARLIAMENT AND OF THE COUNCIL on combating late payment in commercial transactions&amp;lt;/Paragraph&amp;gt;&amp;lt;/FlowDocument&amp;gt;&lt;/xaml&gt;_x000d__x000a_  &lt;/metadata&gt;_x000d__x000a_  &lt;metadata key=&quot;md_SubjectFootnote&quot; /&gt;_x000d__x000a_  &lt;metadata key=&quot;md_DG&quot;&gt;_x000d__x000a_    &lt;text&gt;COMPET.1&lt;/text&gt;_x000d__x000a_  &lt;/metadata&gt;_x000d__x000a_  &lt;metadata key=&quot;md_Initials&quot;&gt;_x000d__x000a_    &lt;text&gt;TP/ae&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COMMISSION STAFF WORKING DOCUMENT&lt;/text&gt;_x000d__x000a_  &lt;/metadata&gt;_x000d__x000a_  &lt;metadata key=&quot;md_SourceDocTitle&quot;&gt;_x000d__x000a_    &lt;text&gt;Subsidiarity Grid _x000d__x000a_Accompanying the document _x000d__x000a_Proposal for a_x000d__x000a_REGULATION OF THE EUROPEAN PARLIAMENT AND OF THE COUNCIL _x000d__x000a_on combating late payment in commercial transactions_x000d__x000a__x000d__x000a__x000d__x000a__x000d__x000a__x000d__x000a_&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LW_ACCOMPAGNANT.CP" w:val="Accompanying the document"/>
    <w:docVar w:name="LW_CORRIGENDUM" w:val="&lt;UNUSED&gt;"/>
    <w:docVar w:name="LW_COVERPAGE_EXISTS" w:val="True"/>
    <w:docVar w:name="LW_COVERPAGE_GUID" w:val="DD0DC8D6-B446-4FAF-8D37-231EB05AF49A"/>
    <w:docVar w:name="LW_COVERPAGE_TYPE" w:val="1"/>
    <w:docVar w:name="LW_CROSSREFERENCE" w:val="{COM(2023) 533 final} - {SEC(2023) 313 final} - {SWD(2023) 313 final} - {SWD(2023) 314 final}"/>
    <w:docVar w:name="LW_DocType" w:val="NORMAL"/>
    <w:docVar w:name="LW_EMISSION" w:val="12.9.2023"/>
    <w:docVar w:name="LW_EMISSION_ISODATE" w:val="2023-09-12"/>
    <w:docVar w:name="LW_EMISSION_LOCATION" w:val="STR"/>
    <w:docVar w:name="LW_EMISSION_PREFIX" w:val="Strasbourg,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on combating late payment in commercial transactions_x000d__x000d__x000d__x000d__x000b_"/>
    <w:docVar w:name="LW_PART_NBR" w:val="1"/>
    <w:docVar w:name="LW_PART_NBR_TOTAL" w:val="1"/>
    <w:docVar w:name="LW_REF.INST.NEW" w:val="SWD"/>
    <w:docVar w:name="LW_REF.INST.NEW_ADOPTED" w:val="final"/>
    <w:docVar w:name="LW_REF.INST.NEW_TEXT" w:val="(2023) 31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bsidiarity Grid"/>
    <w:docVar w:name="LW_TYPE.DOC.CP" w:val="COMMISSION STAFF WORKING DOCUMENT"/>
    <w:docVar w:name="LW_TYPEACTEPRINCIPAL.CP" w:val="Proposal for a_x000b_REGULATION OF THE EUROPEAN PARLIAMENT AND OF THE COUNCIL"/>
    <w:docVar w:name="LwApiVersions" w:val="LW4CoDe 1.23.2.0; LW 8.0, Build 20211117"/>
  </w:docVars>
  <w:rsids>
    <w:rsidRoot w:val="005046EA"/>
    <w:rsid w:val="00006A80"/>
    <w:rsid w:val="000559A6"/>
    <w:rsid w:val="0006078C"/>
    <w:rsid w:val="0006744D"/>
    <w:rsid w:val="000D10F2"/>
    <w:rsid w:val="000F6398"/>
    <w:rsid w:val="00125FAE"/>
    <w:rsid w:val="001361E8"/>
    <w:rsid w:val="00140994"/>
    <w:rsid w:val="00171591"/>
    <w:rsid w:val="001A1AF4"/>
    <w:rsid w:val="001D0A3C"/>
    <w:rsid w:val="00257C8C"/>
    <w:rsid w:val="00293B95"/>
    <w:rsid w:val="00296AC7"/>
    <w:rsid w:val="002A51B1"/>
    <w:rsid w:val="002A5EDE"/>
    <w:rsid w:val="002B6B94"/>
    <w:rsid w:val="002D7D02"/>
    <w:rsid w:val="00391C91"/>
    <w:rsid w:val="003A0593"/>
    <w:rsid w:val="003D658D"/>
    <w:rsid w:val="003D7918"/>
    <w:rsid w:val="003E628C"/>
    <w:rsid w:val="003F3794"/>
    <w:rsid w:val="004068AD"/>
    <w:rsid w:val="00420625"/>
    <w:rsid w:val="00424C26"/>
    <w:rsid w:val="00457EB5"/>
    <w:rsid w:val="0049195F"/>
    <w:rsid w:val="004D04B0"/>
    <w:rsid w:val="005046EA"/>
    <w:rsid w:val="005139FE"/>
    <w:rsid w:val="0054546C"/>
    <w:rsid w:val="00564FF2"/>
    <w:rsid w:val="00575925"/>
    <w:rsid w:val="00594763"/>
    <w:rsid w:val="00594BC8"/>
    <w:rsid w:val="005C7BD6"/>
    <w:rsid w:val="005D5EC7"/>
    <w:rsid w:val="005D76F4"/>
    <w:rsid w:val="005E3D58"/>
    <w:rsid w:val="005E45BB"/>
    <w:rsid w:val="005E4A2D"/>
    <w:rsid w:val="00697982"/>
    <w:rsid w:val="006C5137"/>
    <w:rsid w:val="006E3251"/>
    <w:rsid w:val="006E73E8"/>
    <w:rsid w:val="006F357C"/>
    <w:rsid w:val="00703891"/>
    <w:rsid w:val="00723F5C"/>
    <w:rsid w:val="00734A25"/>
    <w:rsid w:val="007448C0"/>
    <w:rsid w:val="0076151A"/>
    <w:rsid w:val="007E3532"/>
    <w:rsid w:val="00834F3A"/>
    <w:rsid w:val="008377E8"/>
    <w:rsid w:val="008459EF"/>
    <w:rsid w:val="008823C2"/>
    <w:rsid w:val="00893739"/>
    <w:rsid w:val="008A6508"/>
    <w:rsid w:val="008E22F2"/>
    <w:rsid w:val="008F2575"/>
    <w:rsid w:val="009139CD"/>
    <w:rsid w:val="00954161"/>
    <w:rsid w:val="00956ECA"/>
    <w:rsid w:val="00961A7D"/>
    <w:rsid w:val="00962DCE"/>
    <w:rsid w:val="0097054C"/>
    <w:rsid w:val="00995938"/>
    <w:rsid w:val="009A140A"/>
    <w:rsid w:val="009B3FB7"/>
    <w:rsid w:val="009C6248"/>
    <w:rsid w:val="009D0F32"/>
    <w:rsid w:val="00A83B46"/>
    <w:rsid w:val="00AB3EF8"/>
    <w:rsid w:val="00AC2F37"/>
    <w:rsid w:val="00AC7FC5"/>
    <w:rsid w:val="00AE27EB"/>
    <w:rsid w:val="00AF3155"/>
    <w:rsid w:val="00AF3775"/>
    <w:rsid w:val="00B159C0"/>
    <w:rsid w:val="00B55E58"/>
    <w:rsid w:val="00B56705"/>
    <w:rsid w:val="00B74758"/>
    <w:rsid w:val="00B77993"/>
    <w:rsid w:val="00B952A5"/>
    <w:rsid w:val="00B96242"/>
    <w:rsid w:val="00BB296F"/>
    <w:rsid w:val="00BD0EBB"/>
    <w:rsid w:val="00BF7528"/>
    <w:rsid w:val="00C43E7F"/>
    <w:rsid w:val="00C57FFD"/>
    <w:rsid w:val="00C64D89"/>
    <w:rsid w:val="00C95D8E"/>
    <w:rsid w:val="00CA4087"/>
    <w:rsid w:val="00CD5DB9"/>
    <w:rsid w:val="00D411EA"/>
    <w:rsid w:val="00D514F2"/>
    <w:rsid w:val="00D9305B"/>
    <w:rsid w:val="00DA3E85"/>
    <w:rsid w:val="00DD4E38"/>
    <w:rsid w:val="00E04FF9"/>
    <w:rsid w:val="00E35E8B"/>
    <w:rsid w:val="00E9565E"/>
    <w:rsid w:val="00EC34F8"/>
    <w:rsid w:val="00EF3756"/>
    <w:rsid w:val="00F043F9"/>
    <w:rsid w:val="00F048D2"/>
    <w:rsid w:val="00F0699D"/>
    <w:rsid w:val="00F0799D"/>
    <w:rsid w:val="00F35A70"/>
    <w:rsid w:val="00F80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E1426C5"/>
  <w15:chartTrackingRefBased/>
  <w15:docId w15:val="{11333CD4-3053-433C-805A-E22D6919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F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6EA"/>
    <w:pPr>
      <w:ind w:left="720"/>
      <w:contextualSpacing/>
    </w:pPr>
  </w:style>
  <w:style w:type="paragraph" w:styleId="BalloonText">
    <w:name w:val="Balloon Text"/>
    <w:basedOn w:val="Normal"/>
    <w:link w:val="BalloonTextChar"/>
    <w:uiPriority w:val="99"/>
    <w:semiHidden/>
    <w:unhideWhenUsed/>
    <w:rsid w:val="0050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6EA"/>
    <w:rPr>
      <w:rFonts w:ascii="Segoe UI" w:hAnsi="Segoe UI" w:cs="Segoe UI"/>
      <w:sz w:val="18"/>
      <w:szCs w:val="18"/>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54546C"/>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54546C"/>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54546C"/>
    <w:rPr>
      <w:vertAlign w:val="superscript"/>
    </w:rPr>
  </w:style>
  <w:style w:type="character" w:styleId="Hyperlink">
    <w:name w:val="Hyperlink"/>
    <w:basedOn w:val="DefaultParagraphFont"/>
    <w:uiPriority w:val="99"/>
    <w:unhideWhenUsed/>
    <w:rsid w:val="0054546C"/>
    <w:rPr>
      <w:color w:val="0000FF" w:themeColor="hyperlink"/>
      <w:u w:val="single"/>
    </w:rPr>
  </w:style>
  <w:style w:type="paragraph" w:styleId="Header">
    <w:name w:val="header"/>
    <w:basedOn w:val="Normal"/>
    <w:link w:val="HeaderChar"/>
    <w:uiPriority w:val="99"/>
    <w:unhideWhenUsed/>
    <w:rsid w:val="00391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91"/>
  </w:style>
  <w:style w:type="paragraph" w:styleId="Footer">
    <w:name w:val="footer"/>
    <w:basedOn w:val="Normal"/>
    <w:link w:val="FooterChar"/>
    <w:uiPriority w:val="99"/>
    <w:unhideWhenUsed/>
    <w:rsid w:val="00391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91"/>
  </w:style>
  <w:style w:type="character" w:styleId="CommentReference">
    <w:name w:val="annotation reference"/>
    <w:basedOn w:val="DefaultParagraphFont"/>
    <w:uiPriority w:val="99"/>
    <w:semiHidden/>
    <w:unhideWhenUsed/>
    <w:rsid w:val="00257C8C"/>
    <w:rPr>
      <w:sz w:val="16"/>
      <w:szCs w:val="16"/>
    </w:rPr>
  </w:style>
  <w:style w:type="paragraph" w:styleId="CommentText">
    <w:name w:val="annotation text"/>
    <w:basedOn w:val="Normal"/>
    <w:link w:val="CommentTextChar"/>
    <w:uiPriority w:val="99"/>
    <w:semiHidden/>
    <w:unhideWhenUsed/>
    <w:rsid w:val="00257C8C"/>
    <w:pPr>
      <w:spacing w:line="240" w:lineRule="auto"/>
    </w:pPr>
    <w:rPr>
      <w:sz w:val="20"/>
      <w:szCs w:val="20"/>
    </w:rPr>
  </w:style>
  <w:style w:type="character" w:customStyle="1" w:styleId="CommentTextChar">
    <w:name w:val="Comment Text Char"/>
    <w:basedOn w:val="DefaultParagraphFont"/>
    <w:link w:val="CommentText"/>
    <w:uiPriority w:val="99"/>
    <w:semiHidden/>
    <w:rsid w:val="00257C8C"/>
    <w:rPr>
      <w:sz w:val="20"/>
      <w:szCs w:val="20"/>
    </w:rPr>
  </w:style>
  <w:style w:type="paragraph" w:styleId="CommentSubject">
    <w:name w:val="annotation subject"/>
    <w:basedOn w:val="CommentText"/>
    <w:next w:val="CommentText"/>
    <w:link w:val="CommentSubjectChar"/>
    <w:uiPriority w:val="99"/>
    <w:semiHidden/>
    <w:unhideWhenUsed/>
    <w:rsid w:val="00257C8C"/>
    <w:rPr>
      <w:b/>
      <w:bCs/>
    </w:rPr>
  </w:style>
  <w:style w:type="character" w:customStyle="1" w:styleId="CommentSubjectChar">
    <w:name w:val="Comment Subject Char"/>
    <w:basedOn w:val="CommentTextChar"/>
    <w:link w:val="CommentSubject"/>
    <w:uiPriority w:val="99"/>
    <w:semiHidden/>
    <w:rsid w:val="00257C8C"/>
    <w:rPr>
      <w:b/>
      <w:bCs/>
      <w:sz w:val="20"/>
      <w:szCs w:val="20"/>
    </w:rPr>
  </w:style>
  <w:style w:type="character" w:customStyle="1" w:styleId="Marker">
    <w:name w:val="Marker"/>
    <w:basedOn w:val="DefaultParagraphFont"/>
    <w:rsid w:val="00594763"/>
    <w:rPr>
      <w:color w:val="0000FF"/>
      <w:bdr w:val="none" w:sz="0" w:space="0" w:color="auto"/>
      <w:shd w:val="clear" w:color="auto" w:fill="auto"/>
    </w:rPr>
  </w:style>
  <w:style w:type="paragraph" w:customStyle="1" w:styleId="Pagedecouverture">
    <w:name w:val="Page de couverture"/>
    <w:basedOn w:val="Normal"/>
    <w:next w:val="Normal"/>
    <w:rsid w:val="002B6B94"/>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B6B9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B6B94"/>
    <w:rPr>
      <w:rFonts w:ascii="Times New Roman" w:hAnsi="Times New Roman" w:cs="Times New Roman"/>
      <w:sz w:val="24"/>
    </w:rPr>
  </w:style>
  <w:style w:type="paragraph" w:customStyle="1" w:styleId="FooterSensitivity">
    <w:name w:val="Footer Sensitivity"/>
    <w:basedOn w:val="Normal"/>
    <w:link w:val="FooterSensitivityChar"/>
    <w:rsid w:val="002B6B9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B6B94"/>
    <w:rPr>
      <w:rFonts w:ascii="Times New Roman" w:hAnsi="Times New Roman" w:cs="Times New Roman"/>
      <w:b/>
      <w:sz w:val="32"/>
    </w:rPr>
  </w:style>
  <w:style w:type="paragraph" w:customStyle="1" w:styleId="HeaderCoverPage">
    <w:name w:val="Header Cover Page"/>
    <w:basedOn w:val="Normal"/>
    <w:link w:val="HeaderCoverPageChar"/>
    <w:rsid w:val="002B6B9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B6B94"/>
    <w:rPr>
      <w:rFonts w:ascii="Times New Roman" w:hAnsi="Times New Roman" w:cs="Times New Roman"/>
      <w:sz w:val="24"/>
    </w:rPr>
  </w:style>
  <w:style w:type="paragraph" w:customStyle="1" w:styleId="HeaderSensitivity">
    <w:name w:val="Header Sensitivity"/>
    <w:basedOn w:val="Normal"/>
    <w:link w:val="HeaderSensitivityChar"/>
    <w:rsid w:val="002B6B9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B6B94"/>
    <w:rPr>
      <w:rFonts w:ascii="Times New Roman" w:hAnsi="Times New Roman" w:cs="Times New Roman"/>
      <w:b/>
      <w:sz w:val="32"/>
    </w:rPr>
  </w:style>
  <w:style w:type="paragraph" w:customStyle="1" w:styleId="HeaderSensitivityRight">
    <w:name w:val="Header Sensitivity Right"/>
    <w:basedOn w:val="Normal"/>
    <w:link w:val="HeaderSensitivityRightChar"/>
    <w:rsid w:val="002B6B9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B6B94"/>
    <w:rPr>
      <w:rFonts w:ascii="Times New Roman" w:hAnsi="Times New Roman" w:cs="Times New Roman"/>
      <w:sz w:val="28"/>
    </w:rPr>
  </w:style>
  <w:style w:type="paragraph" w:customStyle="1" w:styleId="NormalPara">
    <w:name w:val="Normal # Para"/>
    <w:basedOn w:val="Normal"/>
    <w:qFormat/>
    <w:rsid w:val="008F2575"/>
    <w:pPr>
      <w:numPr>
        <w:numId w:val="8"/>
      </w:numPr>
      <w:spacing w:after="240" w:line="240" w:lineRule="auto"/>
      <w:jc w:val="both"/>
    </w:pPr>
    <w:rPr>
      <w:rFonts w:ascii="Times New Roman" w:hAnsi="Times New Roman" w:cs="Times New Roman"/>
      <w:sz w:val="24"/>
      <w:szCs w:val="24"/>
      <w:lang w:val="en-IE"/>
    </w:rPr>
  </w:style>
  <w:style w:type="paragraph" w:customStyle="1" w:styleId="AnnexTitle">
    <w:name w:val="Annex Title"/>
    <w:basedOn w:val="Heading1"/>
    <w:next w:val="Normal"/>
    <w:autoRedefine/>
    <w:qFormat/>
    <w:rsid w:val="009B3FB7"/>
    <w:pPr>
      <w:keepLines w:val="0"/>
      <w:numPr>
        <w:numId w:val="9"/>
      </w:numPr>
      <w:tabs>
        <w:tab w:val="clear" w:pos="480"/>
        <w:tab w:val="num" w:pos="360"/>
      </w:tabs>
      <w:spacing w:after="480" w:line="240" w:lineRule="auto"/>
      <w:ind w:left="0" w:firstLine="0"/>
      <w:jc w:val="center"/>
    </w:pPr>
    <w:rPr>
      <w:rFonts w:ascii="Times New Roman" w:eastAsia="Times New Roman" w:hAnsi="Times New Roman" w:cs="Times New Roman"/>
      <w:b/>
      <w:smallCaps/>
      <w:color w:val="auto"/>
      <w:szCs w:val="20"/>
    </w:rPr>
  </w:style>
  <w:style w:type="paragraph" w:customStyle="1" w:styleId="CharCharChar1">
    <w:name w:val="Char Char Char1"/>
    <w:basedOn w:val="Normal"/>
    <w:link w:val="FootnoteReference"/>
    <w:uiPriority w:val="99"/>
    <w:rsid w:val="009B3FB7"/>
    <w:pPr>
      <w:spacing w:after="160" w:line="240" w:lineRule="exact"/>
      <w:jc w:val="both"/>
    </w:pPr>
    <w:rPr>
      <w:vertAlign w:val="superscript"/>
    </w:rPr>
  </w:style>
  <w:style w:type="paragraph" w:customStyle="1" w:styleId="Default">
    <w:name w:val="Default"/>
    <w:rsid w:val="009B3FB7"/>
    <w:pPr>
      <w:autoSpaceDE w:val="0"/>
      <w:autoSpaceDN w:val="0"/>
      <w:adjustRightInd w:val="0"/>
      <w:spacing w:after="0" w:line="240" w:lineRule="auto"/>
    </w:pPr>
    <w:rPr>
      <w:rFonts w:ascii="Arial" w:hAnsi="Arial" w:cs="Arial"/>
      <w:color w:val="000000"/>
      <w:sz w:val="24"/>
      <w:szCs w:val="24"/>
    </w:rPr>
  </w:style>
  <w:style w:type="paragraph" w:customStyle="1" w:styleId="AnnexLevel1">
    <w:name w:val="Annex Level 1"/>
    <w:basedOn w:val="Normal"/>
    <w:next w:val="NormalPara"/>
    <w:qFormat/>
    <w:rsid w:val="009B3FB7"/>
    <w:pPr>
      <w:keepNext/>
      <w:numPr>
        <w:ilvl w:val="1"/>
        <w:numId w:val="9"/>
      </w:numPr>
      <w:spacing w:after="240" w:line="240" w:lineRule="auto"/>
      <w:jc w:val="both"/>
    </w:pPr>
    <w:rPr>
      <w:rFonts w:ascii="Times New Roman Bold" w:hAnsi="Times New Roman Bold" w:cs="Times New Roman"/>
      <w:b/>
      <w:bCs/>
      <w:smallCaps/>
      <w:sz w:val="24"/>
      <w:szCs w:val="24"/>
      <w:lang w:val="en-IE"/>
    </w:rPr>
  </w:style>
  <w:style w:type="paragraph" w:customStyle="1" w:styleId="AnnexLevel2">
    <w:name w:val="Annex Level 2"/>
    <w:basedOn w:val="AnnexLevel1"/>
    <w:qFormat/>
    <w:rsid w:val="009B3FB7"/>
    <w:pPr>
      <w:numPr>
        <w:ilvl w:val="2"/>
      </w:numPr>
    </w:pPr>
    <w:rPr>
      <w:rFonts w:ascii="Times New Roman" w:hAnsi="Times New Roman"/>
      <w:b w:val="0"/>
    </w:rPr>
  </w:style>
  <w:style w:type="character" w:customStyle="1" w:styleId="Heading1Char">
    <w:name w:val="Heading 1 Char"/>
    <w:basedOn w:val="DefaultParagraphFont"/>
    <w:link w:val="Heading1"/>
    <w:uiPriority w:val="9"/>
    <w:rsid w:val="009B3FB7"/>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8E22F2"/>
    <w:pPr>
      <w:spacing w:after="0" w:line="240" w:lineRule="auto"/>
    </w:pPr>
  </w:style>
  <w:style w:type="paragraph" w:customStyle="1" w:styleId="TechnicalBlock">
    <w:name w:val="Technical Block"/>
    <w:basedOn w:val="Normal"/>
    <w:link w:val="TechnicalBlockChar"/>
    <w:rsid w:val="00594763"/>
    <w:pPr>
      <w:spacing w:after="240" w:line="240" w:lineRule="auto"/>
      <w:jc w:val="center"/>
    </w:pPr>
  </w:style>
  <w:style w:type="character" w:customStyle="1" w:styleId="TechnicalBlockChar">
    <w:name w:val="Technical Block Char"/>
    <w:basedOn w:val="DefaultParagraphFont"/>
    <w:link w:val="TechnicalBlock"/>
    <w:rsid w:val="00594763"/>
  </w:style>
  <w:style w:type="paragraph" w:customStyle="1" w:styleId="EntText">
    <w:name w:val="EntText"/>
    <w:basedOn w:val="Normal"/>
    <w:rsid w:val="00594763"/>
    <w:pPr>
      <w:spacing w:before="120" w:after="120" w:line="360" w:lineRule="auto"/>
    </w:pPr>
    <w:rPr>
      <w:rFonts w:ascii="Times New Roman" w:hAnsi="Times New Roman" w:cs="Times New Roman"/>
      <w:sz w:val="24"/>
    </w:rPr>
  </w:style>
  <w:style w:type="paragraph" w:customStyle="1" w:styleId="Lignefinal">
    <w:name w:val="Ligne final"/>
    <w:basedOn w:val="Normal"/>
    <w:next w:val="Normal"/>
    <w:rsid w:val="00594763"/>
    <w:pPr>
      <w:pBdr>
        <w:bottom w:val="single" w:sz="4" w:space="0" w:color="000000"/>
      </w:pBdr>
      <w:spacing w:before="360" w:after="120" w:line="360" w:lineRule="auto"/>
      <w:ind w:left="3400" w:right="3400"/>
      <w:jc w:val="center"/>
    </w:pPr>
    <w:rPr>
      <w:rFonts w:ascii="Times New Roman" w:hAnsi="Times New Roman" w:cs="Times New Roman"/>
      <w:b/>
      <w:sz w:val="24"/>
    </w:rPr>
  </w:style>
  <w:style w:type="paragraph" w:customStyle="1" w:styleId="pj">
    <w:name w:val="p.j."/>
    <w:basedOn w:val="Normal"/>
    <w:link w:val="pjChar"/>
    <w:rsid w:val="00594763"/>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sid w:val="00594763"/>
    <w:rPr>
      <w:rFonts w:ascii="Times New Roman" w:hAnsi="Times New Roman" w:cs="Times New Roman"/>
      <w:sz w:val="24"/>
    </w:rPr>
  </w:style>
  <w:style w:type="paragraph" w:customStyle="1" w:styleId="nbbordered">
    <w:name w:val="nb bordered"/>
    <w:basedOn w:val="Normal"/>
    <w:link w:val="nbborderedChar"/>
    <w:rsid w:val="00594763"/>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imes New Roman" w:hAnsi="Times New Roman" w:cs="Times New Roman"/>
      <w:b/>
      <w:sz w:val="24"/>
    </w:rPr>
  </w:style>
  <w:style w:type="character" w:customStyle="1" w:styleId="nbborderedChar">
    <w:name w:val="nb bordered Char"/>
    <w:basedOn w:val="TechnicalBlockChar"/>
    <w:link w:val="nbbordered"/>
    <w:rsid w:val="00594763"/>
    <w:rPr>
      <w:rFonts w:ascii="Times New Roman" w:hAnsi="Times New Roman" w:cs="Times New Roman"/>
      <w:b/>
      <w:sz w:val="24"/>
    </w:rPr>
  </w:style>
  <w:style w:type="paragraph" w:customStyle="1" w:styleId="HeaderCouncil">
    <w:name w:val="Header Council"/>
    <w:basedOn w:val="Normal"/>
    <w:link w:val="HeaderCouncilChar"/>
    <w:rsid w:val="00594763"/>
    <w:pPr>
      <w:spacing w:after="0"/>
    </w:pPr>
    <w:rPr>
      <w:noProof/>
      <w:sz w:val="2"/>
    </w:rPr>
  </w:style>
  <w:style w:type="character" w:customStyle="1" w:styleId="HeaderCouncilChar">
    <w:name w:val="Header Council Char"/>
    <w:basedOn w:val="DefaultParagraphFont"/>
    <w:link w:val="HeaderCouncil"/>
    <w:rsid w:val="00594763"/>
    <w:rPr>
      <w:noProof/>
      <w:sz w:val="2"/>
    </w:rPr>
  </w:style>
  <w:style w:type="paragraph" w:customStyle="1" w:styleId="HeaderCouncilLarge">
    <w:name w:val="Header Council Large"/>
    <w:basedOn w:val="Normal"/>
    <w:link w:val="HeaderCouncilLargeChar"/>
    <w:rsid w:val="00594763"/>
    <w:pPr>
      <w:spacing w:after="440"/>
    </w:pPr>
    <w:rPr>
      <w:noProof/>
      <w:sz w:val="2"/>
    </w:rPr>
  </w:style>
  <w:style w:type="character" w:customStyle="1" w:styleId="HeaderCouncilLargeChar">
    <w:name w:val="Header Council Large Char"/>
    <w:basedOn w:val="DefaultParagraphFont"/>
    <w:link w:val="HeaderCouncilLarge"/>
    <w:rsid w:val="00594763"/>
    <w:rPr>
      <w:noProof/>
      <w:sz w:val="2"/>
    </w:rPr>
  </w:style>
  <w:style w:type="paragraph" w:customStyle="1" w:styleId="FooterCouncil">
    <w:name w:val="Footer Council"/>
    <w:basedOn w:val="Normal"/>
    <w:link w:val="FooterCouncilChar"/>
    <w:rsid w:val="00594763"/>
    <w:pPr>
      <w:spacing w:after="0"/>
    </w:pPr>
    <w:rPr>
      <w:noProof/>
      <w:sz w:val="2"/>
    </w:rPr>
  </w:style>
  <w:style w:type="character" w:customStyle="1" w:styleId="FooterCouncilChar">
    <w:name w:val="Footer Council Char"/>
    <w:basedOn w:val="DefaultParagraphFont"/>
    <w:link w:val="FooterCouncil"/>
    <w:rsid w:val="00594763"/>
    <w:rPr>
      <w:noProof/>
      <w:sz w:val="2"/>
    </w:rPr>
  </w:style>
  <w:style w:type="paragraph" w:customStyle="1" w:styleId="FooterText">
    <w:name w:val="Footer Text"/>
    <w:basedOn w:val="Normal"/>
    <w:rsid w:val="00594763"/>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947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s://europa.eu/european-union/about-eu/eu-in-brief_en" TargetMode="External"/><Relationship Id="rId1" Type="http://schemas.openxmlformats.org/officeDocument/2006/relationships/hyperlink" Target="https://eur-lex.europa.eu/legal-content/EN/TXT/HTML/?uri=CELEX:12016E/PRO/02&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9FEFD-2FEF-48D5-B5DE-51710C7D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2742</Words>
  <Characters>15001</Characters>
  <Application>Microsoft Office Word</Application>
  <DocSecurity>0</DocSecurity>
  <Lines>220</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EICHER Acki</dc:creator>
  <cp:keywords/>
  <dc:description/>
  <cp:lastModifiedBy>EICHER Acki</cp:lastModifiedBy>
  <cp:revision>5</cp:revision>
  <dcterms:created xsi:type="dcterms:W3CDTF">2023-09-13T16:20:00Z</dcterms:created>
  <dcterms:modified xsi:type="dcterms:W3CDTF">2023-09-14T13:43:00Z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DocuWrite 4.8.2, Build 20230330</vt:lpwstr>
  </property>
  <property fmtid="{D5CDD505-2E9C-101B-9397-08002B2CF9AE}" pid="8" name="Created using">
    <vt:lpwstr>DocuWrite 4.8.2, Build 20230330</vt:lpwstr>
  </property>
  <property fmtid="{D5CDD505-2E9C-101B-9397-08002B2CF9AE}" pid="9" name="MSIP_Label_6bd9ddd1-4d20-43f6-abfa-fc3c07406f94_Enabled">
    <vt:lpwstr>true</vt:lpwstr>
  </property>
  <property fmtid="{D5CDD505-2E9C-101B-9397-08002B2CF9AE}" pid="10" name="MSIP_Label_6bd9ddd1-4d20-43f6-abfa-fc3c07406f94_SetDate">
    <vt:lpwstr>2023-05-08T08:59:37Z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1b12eff4-fb23-4b79-a9ea-2d925e4ff1f0</vt:lpwstr>
  </property>
  <property fmtid="{D5CDD505-2E9C-101B-9397-08002B2CF9AE}" pid="15" name="MSIP_Label_6bd9ddd1-4d20-43f6-abfa-fc3c07406f94_ContentBits">
    <vt:lpwstr>0</vt:lpwstr>
  </property>
  <property fmtid="{D5CDD505-2E9C-101B-9397-08002B2CF9AE}" pid="16" name="MSIP_Label_b1df41d6-74a9-4a97-809c-213cd32520cc_Enabled">
    <vt:lpwstr>true</vt:lpwstr>
  </property>
  <property fmtid="{D5CDD505-2E9C-101B-9397-08002B2CF9AE}" pid="17" name="MSIP_Label_b1df41d6-74a9-4a97-809c-213cd32520cc_SetDate">
    <vt:lpwstr>2023-09-13T16:20:35Z</vt:lpwstr>
  </property>
  <property fmtid="{D5CDD505-2E9C-101B-9397-08002B2CF9AE}" pid="18" name="MSIP_Label_b1df41d6-74a9-4a97-809c-213cd32520cc_Method">
    <vt:lpwstr>Privileged</vt:lpwstr>
  </property>
  <property fmtid="{D5CDD505-2E9C-101B-9397-08002B2CF9AE}" pid="19" name="MSIP_Label_b1df41d6-74a9-4a97-809c-213cd32520cc_Name">
    <vt:lpwstr>GSCEU - NON PUBLIC Label</vt:lpwstr>
  </property>
  <property fmtid="{D5CDD505-2E9C-101B-9397-08002B2CF9AE}" pid="20" name="MSIP_Label_b1df41d6-74a9-4a97-809c-213cd32520cc_SiteId">
    <vt:lpwstr>03ad1c97-0a4d-4e82-8f93-27291a6a0767</vt:lpwstr>
  </property>
  <property fmtid="{D5CDD505-2E9C-101B-9397-08002B2CF9AE}" pid="21" name="MSIP_Label_b1df41d6-74a9-4a97-809c-213cd32520cc_ActionId">
    <vt:lpwstr>d87bafc5-a254-4622-a500-0142100b3138</vt:lpwstr>
  </property>
  <property fmtid="{D5CDD505-2E9C-101B-9397-08002B2CF9AE}" pid="22" name="MSIP_Label_b1df41d6-74a9-4a97-809c-213cd32520cc_ContentBits">
    <vt:lpwstr>0</vt:lpwstr>
  </property>
</Properties>
</file>